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DB2" w:rsidRPr="00D12899" w:rsidRDefault="00AE0DB2" w:rsidP="00892E67">
      <w:pPr>
        <w:pStyle w:val="Sinespaciado"/>
        <w:ind w:left="708" w:hanging="708"/>
        <w:rPr>
          <w:rFonts w:ascii="Arial Narrow" w:hAnsi="Arial Narrow"/>
        </w:rPr>
      </w:pPr>
    </w:p>
    <w:p w:rsidR="00AE0DB2" w:rsidRPr="00D12899" w:rsidRDefault="00AE0DB2" w:rsidP="00AE0DB2">
      <w:pPr>
        <w:autoSpaceDE w:val="0"/>
        <w:autoSpaceDN w:val="0"/>
        <w:adjustRightInd w:val="0"/>
        <w:spacing w:after="0" w:line="240" w:lineRule="auto"/>
        <w:jc w:val="center"/>
        <w:rPr>
          <w:rFonts w:ascii="Arial Narrow" w:hAnsi="Arial Narrow" w:cs="FrutigerLTStd-BoldCn"/>
          <w:b/>
          <w:bCs/>
          <w:sz w:val="40"/>
          <w:szCs w:val="40"/>
        </w:rPr>
      </w:pPr>
    </w:p>
    <w:p w:rsidR="00AE0DB2" w:rsidRPr="00D12899" w:rsidRDefault="00AE0DB2" w:rsidP="00AE0DB2">
      <w:pPr>
        <w:autoSpaceDE w:val="0"/>
        <w:autoSpaceDN w:val="0"/>
        <w:adjustRightInd w:val="0"/>
        <w:spacing w:after="0" w:line="240" w:lineRule="auto"/>
        <w:jc w:val="center"/>
        <w:rPr>
          <w:rFonts w:ascii="Arial Narrow" w:hAnsi="Arial Narrow" w:cs="FrutigerLTStd-BoldCn"/>
          <w:b/>
          <w:bCs/>
          <w:sz w:val="40"/>
          <w:szCs w:val="40"/>
        </w:rPr>
      </w:pPr>
    </w:p>
    <w:p w:rsidR="00AE0DB2" w:rsidRPr="00D12899" w:rsidRDefault="00AE0DB2" w:rsidP="00AE0DB2">
      <w:pPr>
        <w:autoSpaceDE w:val="0"/>
        <w:autoSpaceDN w:val="0"/>
        <w:adjustRightInd w:val="0"/>
        <w:spacing w:after="0" w:line="240" w:lineRule="auto"/>
        <w:jc w:val="center"/>
        <w:rPr>
          <w:rFonts w:ascii="Arial Narrow" w:hAnsi="Arial Narrow" w:cs="FrutigerLTStd-BoldCn"/>
          <w:b/>
          <w:bCs/>
          <w:sz w:val="40"/>
          <w:szCs w:val="40"/>
        </w:rPr>
      </w:pPr>
    </w:p>
    <w:p w:rsidR="00AE0DB2" w:rsidRPr="00D12899" w:rsidRDefault="00AE0DB2" w:rsidP="00AE0DB2">
      <w:pPr>
        <w:autoSpaceDE w:val="0"/>
        <w:autoSpaceDN w:val="0"/>
        <w:adjustRightInd w:val="0"/>
        <w:spacing w:after="0" w:line="240" w:lineRule="auto"/>
        <w:jc w:val="center"/>
        <w:rPr>
          <w:rFonts w:ascii="Arial Narrow" w:hAnsi="Arial Narrow" w:cs="FrutigerLTStd-BoldCn"/>
          <w:b/>
          <w:bCs/>
          <w:sz w:val="40"/>
          <w:szCs w:val="40"/>
        </w:rPr>
      </w:pPr>
    </w:p>
    <w:p w:rsidR="00AE0DB2" w:rsidRPr="00D12899" w:rsidRDefault="00AE0DB2" w:rsidP="00AE0DB2">
      <w:pPr>
        <w:autoSpaceDE w:val="0"/>
        <w:autoSpaceDN w:val="0"/>
        <w:adjustRightInd w:val="0"/>
        <w:spacing w:after="0" w:line="240" w:lineRule="auto"/>
        <w:jc w:val="center"/>
        <w:rPr>
          <w:rFonts w:ascii="Arial Narrow" w:hAnsi="Arial Narrow" w:cs="FrutigerLTStd-BoldCn"/>
          <w:b/>
          <w:bCs/>
          <w:sz w:val="40"/>
          <w:szCs w:val="40"/>
        </w:rPr>
      </w:pPr>
    </w:p>
    <w:p w:rsidR="00AE0DB2" w:rsidRPr="00D12899" w:rsidRDefault="00AE0DB2" w:rsidP="00AE0DB2">
      <w:pPr>
        <w:autoSpaceDE w:val="0"/>
        <w:autoSpaceDN w:val="0"/>
        <w:adjustRightInd w:val="0"/>
        <w:spacing w:after="0" w:line="240" w:lineRule="auto"/>
        <w:jc w:val="center"/>
        <w:rPr>
          <w:rFonts w:ascii="Arial Narrow" w:hAnsi="Arial Narrow" w:cs="FrutigerLTStd-BoldCn"/>
          <w:b/>
          <w:bCs/>
          <w:sz w:val="40"/>
          <w:szCs w:val="40"/>
        </w:rPr>
      </w:pPr>
    </w:p>
    <w:p w:rsidR="00AE0DB2" w:rsidRPr="00D12899" w:rsidRDefault="00AE0DB2" w:rsidP="00AE0DB2">
      <w:pPr>
        <w:autoSpaceDE w:val="0"/>
        <w:autoSpaceDN w:val="0"/>
        <w:adjustRightInd w:val="0"/>
        <w:spacing w:after="0" w:line="240" w:lineRule="auto"/>
        <w:jc w:val="center"/>
        <w:rPr>
          <w:rFonts w:ascii="Arial Narrow" w:hAnsi="Arial Narrow" w:cs="FrutigerLTStd-BoldCn"/>
          <w:b/>
          <w:bCs/>
          <w:sz w:val="40"/>
          <w:szCs w:val="40"/>
        </w:rPr>
      </w:pPr>
    </w:p>
    <w:p w:rsidR="008D0CB9" w:rsidRPr="00EE003F" w:rsidRDefault="008D0CB9" w:rsidP="00AE0DB2">
      <w:pPr>
        <w:autoSpaceDE w:val="0"/>
        <w:autoSpaceDN w:val="0"/>
        <w:adjustRightInd w:val="0"/>
        <w:spacing w:after="0" w:line="240" w:lineRule="auto"/>
        <w:jc w:val="center"/>
        <w:rPr>
          <w:rFonts w:ascii="Arial Narrow" w:hAnsi="Arial Narrow" w:cs="FrutigerLTStd-BoldCn"/>
          <w:b/>
          <w:bCs/>
          <w:sz w:val="40"/>
          <w:szCs w:val="40"/>
        </w:rPr>
      </w:pPr>
      <w:r w:rsidRPr="00EE003F">
        <w:rPr>
          <w:rFonts w:ascii="Arial Narrow" w:hAnsi="Arial Narrow" w:cs="FrutigerLTStd-BoldCn"/>
          <w:b/>
          <w:bCs/>
          <w:sz w:val="40"/>
          <w:szCs w:val="40"/>
        </w:rPr>
        <w:t>Plan Estratégico de Desarrollo Nacional Actualizado</w:t>
      </w:r>
    </w:p>
    <w:p w:rsidR="008D0CB9" w:rsidRPr="00EE003F" w:rsidRDefault="008D0CB9" w:rsidP="00AE0DB2">
      <w:pPr>
        <w:jc w:val="center"/>
        <w:rPr>
          <w:rFonts w:ascii="Arial Narrow" w:hAnsi="Arial Narrow" w:cs="FrutigerLTStd-BoldCn"/>
          <w:b/>
          <w:bCs/>
          <w:sz w:val="40"/>
          <w:szCs w:val="40"/>
        </w:rPr>
      </w:pPr>
      <w:r w:rsidRPr="00EE003F">
        <w:rPr>
          <w:rFonts w:ascii="Arial Narrow" w:hAnsi="Arial Narrow" w:cs="FrutigerLTStd-BoldCn"/>
          <w:b/>
          <w:bCs/>
          <w:sz w:val="40"/>
          <w:szCs w:val="40"/>
        </w:rPr>
        <w:t>Perú hacia el 2021</w:t>
      </w:r>
    </w:p>
    <w:p w:rsidR="008D0CB9" w:rsidRPr="00EE003F" w:rsidRDefault="008D0CB9" w:rsidP="008D0CB9">
      <w:pPr>
        <w:autoSpaceDE w:val="0"/>
        <w:autoSpaceDN w:val="0"/>
        <w:adjustRightInd w:val="0"/>
        <w:spacing w:after="0" w:line="240" w:lineRule="auto"/>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AE0DB2" w:rsidRPr="00EE003F" w:rsidRDefault="00AE0DB2" w:rsidP="008D0CB9">
      <w:pPr>
        <w:autoSpaceDE w:val="0"/>
        <w:autoSpaceDN w:val="0"/>
        <w:adjustRightInd w:val="0"/>
        <w:spacing w:after="0" w:line="240" w:lineRule="auto"/>
        <w:rPr>
          <w:rFonts w:ascii="Arial Narrow" w:eastAsia="FrutigerLTStd-Light" w:hAnsi="Arial Narrow" w:cs="FrutigerLTStd-Light"/>
          <w:sz w:val="24"/>
          <w:szCs w:val="24"/>
        </w:rPr>
      </w:pPr>
    </w:p>
    <w:p w:rsidR="008F2112" w:rsidRPr="00EE003F" w:rsidRDefault="008F2112">
      <w:pPr>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br w:type="page"/>
      </w:r>
    </w:p>
    <w:p w:rsidR="008D0CB9" w:rsidRPr="00EE003F" w:rsidRDefault="008D0CB9" w:rsidP="008D0CB9">
      <w:pPr>
        <w:autoSpaceDE w:val="0"/>
        <w:autoSpaceDN w:val="0"/>
        <w:adjustRightInd w:val="0"/>
        <w:spacing w:after="0" w:line="240" w:lineRule="auto"/>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Presidente de la Republica</w:t>
      </w:r>
    </w:p>
    <w:p w:rsidR="008D0CB9" w:rsidRPr="00EE003F" w:rsidRDefault="008D0CB9" w:rsidP="008D0CB9">
      <w:pPr>
        <w:autoSpaceDE w:val="0"/>
        <w:autoSpaceDN w:val="0"/>
        <w:adjustRightInd w:val="0"/>
        <w:spacing w:after="0" w:line="240" w:lineRule="auto"/>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Ollanta Moisés Humala Tasso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Presidente del Consejo de Ministros</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Pedro </w:t>
      </w:r>
      <w:proofErr w:type="spellStart"/>
      <w:r w:rsidRPr="00EE003F">
        <w:rPr>
          <w:rFonts w:ascii="Arial Narrow" w:eastAsia="FrutigerLTStd-Light" w:hAnsi="Arial Narrow" w:cs="FrutigerLTStd-Light"/>
          <w:sz w:val="24"/>
          <w:szCs w:val="24"/>
        </w:rPr>
        <w:t>Cateriano</w:t>
      </w:r>
      <w:proofErr w:type="spellEnd"/>
      <w:r w:rsidRPr="00EE003F">
        <w:rPr>
          <w:rFonts w:ascii="Arial Narrow" w:eastAsia="FrutigerLTStd-Light" w:hAnsi="Arial Narrow" w:cs="FrutigerLTStd-Light"/>
          <w:sz w:val="24"/>
          <w:szCs w:val="24"/>
        </w:rPr>
        <w:t xml:space="preserve"> Bellido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Presidente (e) del Consejo Directivo del Centro Nacional de Planeamiento Estratégico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Victor Adrian Vargas Espejo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Miembros del Consejo Directivo: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Fabiola </w:t>
      </w:r>
      <w:r w:rsidR="00EC6F5B" w:rsidRPr="00EE003F">
        <w:rPr>
          <w:rFonts w:ascii="Arial Narrow" w:eastAsia="FrutigerLTStd-Light" w:hAnsi="Arial Narrow" w:cs="FrutigerLTStd-Light"/>
          <w:sz w:val="24"/>
          <w:szCs w:val="24"/>
        </w:rPr>
        <w:t>María</w:t>
      </w:r>
      <w:r w:rsidRPr="00EE003F">
        <w:rPr>
          <w:rFonts w:ascii="Arial Narrow" w:eastAsia="FrutigerLTStd-Light" w:hAnsi="Arial Narrow" w:cs="FrutigerLTStd-Light"/>
          <w:sz w:val="24"/>
          <w:szCs w:val="24"/>
        </w:rPr>
        <w:t xml:space="preserve"> </w:t>
      </w:r>
      <w:r w:rsidR="00EC6F5B" w:rsidRPr="00EE003F">
        <w:rPr>
          <w:rFonts w:ascii="Arial Narrow" w:eastAsia="FrutigerLTStd-Light" w:hAnsi="Arial Narrow" w:cs="FrutigerLTStd-Light"/>
          <w:sz w:val="24"/>
          <w:szCs w:val="24"/>
        </w:rPr>
        <w:t>León</w:t>
      </w:r>
      <w:r w:rsidRPr="00EE003F">
        <w:rPr>
          <w:rFonts w:ascii="Arial Narrow" w:eastAsia="FrutigerLTStd-Light" w:hAnsi="Arial Narrow" w:cs="FrutigerLTStd-Light"/>
          <w:sz w:val="24"/>
          <w:szCs w:val="24"/>
        </w:rPr>
        <w:t xml:space="preserve"> Velarde </w:t>
      </w:r>
      <w:proofErr w:type="spellStart"/>
      <w:r w:rsidRPr="00EE003F">
        <w:rPr>
          <w:rFonts w:ascii="Arial Narrow" w:eastAsia="FrutigerLTStd-Light" w:hAnsi="Arial Narrow" w:cs="FrutigerLTStd-Light"/>
          <w:sz w:val="24"/>
          <w:szCs w:val="24"/>
        </w:rPr>
        <w:t>Servetto</w:t>
      </w:r>
      <w:proofErr w:type="spellEnd"/>
      <w:r w:rsidRPr="00EE003F">
        <w:rPr>
          <w:rFonts w:ascii="Arial Narrow" w:eastAsia="FrutigerLTStd-Light" w:hAnsi="Arial Narrow" w:cs="FrutigerLTStd-Light"/>
          <w:sz w:val="24"/>
          <w:szCs w:val="24"/>
        </w:rPr>
        <w:t xml:space="preserve">, Javier Enrique </w:t>
      </w:r>
      <w:r w:rsidR="00EC6F5B" w:rsidRPr="00EE003F">
        <w:rPr>
          <w:rFonts w:ascii="Arial Narrow" w:eastAsia="FrutigerLTStd-Light" w:hAnsi="Arial Narrow" w:cs="FrutigerLTStd-Light"/>
          <w:sz w:val="24"/>
          <w:szCs w:val="24"/>
        </w:rPr>
        <w:t>Dávila</w:t>
      </w:r>
      <w:r w:rsidRPr="00EE003F">
        <w:rPr>
          <w:rFonts w:ascii="Arial Narrow" w:eastAsia="FrutigerLTStd-Light" w:hAnsi="Arial Narrow" w:cs="FrutigerLTStd-Light"/>
          <w:sz w:val="24"/>
          <w:szCs w:val="24"/>
        </w:rPr>
        <w:t xml:space="preserve"> Quevedo, Jose Antonio </w:t>
      </w:r>
      <w:r w:rsidR="00EC6F5B" w:rsidRPr="00EE003F">
        <w:rPr>
          <w:rFonts w:ascii="Arial Narrow" w:eastAsia="FrutigerLTStd-Light" w:hAnsi="Arial Narrow" w:cs="FrutigerLTStd-Light"/>
          <w:sz w:val="24"/>
          <w:szCs w:val="24"/>
        </w:rPr>
        <w:t>Arévalo</w:t>
      </w:r>
      <w:r w:rsidRPr="00EE003F">
        <w:rPr>
          <w:rFonts w:ascii="Arial Narrow" w:eastAsia="FrutigerLTStd-Light" w:hAnsi="Arial Narrow" w:cs="FrutigerLTStd-Light"/>
          <w:sz w:val="24"/>
          <w:szCs w:val="24"/>
        </w:rPr>
        <w:t xml:space="preserve"> Tuesta, Vladimiro </w:t>
      </w:r>
      <w:proofErr w:type="spellStart"/>
      <w:r w:rsidRPr="00EE003F">
        <w:rPr>
          <w:rFonts w:ascii="Arial Narrow" w:eastAsia="FrutigerLTStd-Light" w:hAnsi="Arial Narrow" w:cs="FrutigerLTStd-Light"/>
          <w:sz w:val="24"/>
          <w:szCs w:val="24"/>
        </w:rPr>
        <w:t>Huaroc</w:t>
      </w:r>
      <w:proofErr w:type="spellEnd"/>
      <w:r w:rsidR="00677E13"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 xml:space="preserve">Portocarrero, Manuel Angel Clausen Olivares, Shirley Emperatriz </w:t>
      </w:r>
      <w:proofErr w:type="spellStart"/>
      <w:r w:rsidRPr="00EE003F">
        <w:rPr>
          <w:rFonts w:ascii="Arial Narrow" w:eastAsia="FrutigerLTStd-Light" w:hAnsi="Arial Narrow" w:cs="FrutigerLTStd-Light"/>
          <w:sz w:val="24"/>
          <w:szCs w:val="24"/>
        </w:rPr>
        <w:t>Chilet</w:t>
      </w:r>
      <w:proofErr w:type="spellEnd"/>
      <w:r w:rsidRPr="00EE003F">
        <w:rPr>
          <w:rFonts w:ascii="Arial Narrow" w:eastAsia="FrutigerLTStd-Light" w:hAnsi="Arial Narrow" w:cs="FrutigerLTStd-Light"/>
          <w:sz w:val="24"/>
          <w:szCs w:val="24"/>
        </w:rPr>
        <w:t xml:space="preserve"> Cama.</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Director Ejecutivo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Ruben Esquives Guerra</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Director (e) Nacional de Prospectiva y Estudios Estratégicos</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Jordy Vilchez Astucuri</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Director Nacional de Coordinación y Planeamiento Estratégico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Alvaro Jose Velezmoro Ormeño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Director Nacional de Seguimiento y Evaluación</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Victor Adrian Vargas Espejo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Jefe de la Oficina de Planeamiento y Presupuesto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Carlos Loaiza Selim</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Jefa de la Oficina General de Administración</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Patricia D</w:t>
      </w:r>
      <w:r w:rsidR="00EC6F5B" w:rsidRPr="00EE003F">
        <w:rPr>
          <w:rFonts w:ascii="Arial Narrow" w:eastAsia="FrutigerLTStd-Light" w:hAnsi="Arial Narrow" w:cs="FrutigerLTStd-Light"/>
          <w:sz w:val="24"/>
          <w:szCs w:val="24"/>
        </w:rPr>
        <w:t>á</w:t>
      </w:r>
      <w:r w:rsidRPr="00EE003F">
        <w:rPr>
          <w:rFonts w:ascii="Arial Narrow" w:eastAsia="FrutigerLTStd-Light" w:hAnsi="Arial Narrow" w:cs="FrutigerLTStd-Light"/>
          <w:sz w:val="24"/>
          <w:szCs w:val="24"/>
        </w:rPr>
        <w:t>vila Tasaico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Jefe de la Oficina de Asesoría Jurídica</w:t>
      </w:r>
    </w:p>
    <w:p w:rsidR="008D0CB9" w:rsidRPr="00EE003F" w:rsidRDefault="00DC4622"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Giuliana María Horna Padrón</w:t>
      </w:r>
    </w:p>
    <w:p w:rsidR="00DC4622" w:rsidRPr="00EE003F" w:rsidRDefault="00DC4622"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Asesores de Presidencia</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Hernán Piero Cuba </w:t>
      </w:r>
      <w:r w:rsidR="00DC4622" w:rsidRPr="00EE003F">
        <w:rPr>
          <w:rFonts w:ascii="Arial Narrow" w:eastAsia="FrutigerLTStd-Light" w:hAnsi="Arial Narrow" w:cs="FrutigerLTStd-Light"/>
          <w:sz w:val="24"/>
          <w:szCs w:val="24"/>
        </w:rPr>
        <w:t>García</w:t>
      </w:r>
    </w:p>
    <w:p w:rsidR="008D0CB9" w:rsidRPr="00EE003F" w:rsidRDefault="008D0CB9" w:rsidP="00DC4622">
      <w:pPr>
        <w:tabs>
          <w:tab w:val="left" w:pos="3030"/>
        </w:tabs>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Mauro Guti</w:t>
      </w:r>
      <w:r w:rsidR="00EC6F5B" w:rsidRPr="00EE003F">
        <w:rPr>
          <w:rFonts w:ascii="Arial Narrow" w:eastAsia="FrutigerLTStd-Light" w:hAnsi="Arial Narrow" w:cs="FrutigerLTStd-Light"/>
          <w:sz w:val="24"/>
          <w:szCs w:val="24"/>
        </w:rPr>
        <w:t>é</w:t>
      </w:r>
      <w:r w:rsidRPr="00EE003F">
        <w:rPr>
          <w:rFonts w:ascii="Arial Narrow" w:eastAsia="FrutigerLTStd-Light" w:hAnsi="Arial Narrow" w:cs="FrutigerLTStd-Light"/>
          <w:sz w:val="24"/>
          <w:szCs w:val="24"/>
        </w:rPr>
        <w:t xml:space="preserve">rrez </w:t>
      </w:r>
      <w:r w:rsidR="00EC6F5B" w:rsidRPr="00EE003F">
        <w:rPr>
          <w:rFonts w:ascii="Arial Narrow" w:eastAsia="FrutigerLTStd-Light" w:hAnsi="Arial Narrow" w:cs="FrutigerLTStd-Light"/>
          <w:sz w:val="24"/>
          <w:szCs w:val="24"/>
        </w:rPr>
        <w:t>Martínez</w:t>
      </w:r>
      <w:r w:rsidR="00DC4622" w:rsidRPr="00EE003F">
        <w:rPr>
          <w:rFonts w:ascii="Arial Narrow" w:eastAsia="FrutigerLTStd-Light" w:hAnsi="Arial Narrow" w:cs="FrutigerLTStd-Light"/>
          <w:sz w:val="24"/>
          <w:szCs w:val="24"/>
        </w:rPr>
        <w:tab/>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Equipo técnico </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Enrique Arias Arostegui, </w:t>
      </w:r>
      <w:r w:rsidR="00EC6F5B" w:rsidRPr="00EE003F">
        <w:rPr>
          <w:rFonts w:ascii="Arial Narrow" w:eastAsia="FrutigerLTStd-Light" w:hAnsi="Arial Narrow" w:cs="FrutigerLTStd-Light"/>
          <w:sz w:val="24"/>
          <w:szCs w:val="24"/>
        </w:rPr>
        <w:t xml:space="preserve">José Luis Bossio Bobadilla, </w:t>
      </w:r>
      <w:r w:rsidRPr="00EE003F">
        <w:rPr>
          <w:rFonts w:ascii="Arial Narrow" w:eastAsia="FrutigerLTStd-Light" w:hAnsi="Arial Narrow" w:cs="FrutigerLTStd-Light"/>
          <w:sz w:val="24"/>
          <w:szCs w:val="24"/>
        </w:rPr>
        <w:t xml:space="preserve">Carlos Cabrera Soto, Gabriela Carbajo </w:t>
      </w:r>
      <w:r w:rsidR="00EC6F5B" w:rsidRPr="00EE003F">
        <w:rPr>
          <w:rFonts w:ascii="Arial Narrow" w:eastAsia="FrutigerLTStd-Light" w:hAnsi="Arial Narrow" w:cs="FrutigerLTStd-Light"/>
          <w:sz w:val="24"/>
          <w:szCs w:val="24"/>
        </w:rPr>
        <w:t>Álvarez</w:t>
      </w:r>
      <w:r w:rsidRPr="00EE003F">
        <w:rPr>
          <w:rFonts w:ascii="Arial Narrow" w:eastAsia="FrutigerLTStd-Light" w:hAnsi="Arial Narrow" w:cs="FrutigerLTStd-Light"/>
          <w:sz w:val="24"/>
          <w:szCs w:val="24"/>
        </w:rPr>
        <w:t>,</w:t>
      </w:r>
      <w:r w:rsidR="00EC6F5B"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 xml:space="preserve">Alex </w:t>
      </w:r>
      <w:r w:rsidR="00EC6F5B" w:rsidRPr="00EE003F">
        <w:rPr>
          <w:rFonts w:ascii="Arial Narrow" w:eastAsia="FrutigerLTStd-Light" w:hAnsi="Arial Narrow" w:cs="FrutigerLTStd-Light"/>
          <w:sz w:val="24"/>
          <w:szCs w:val="24"/>
        </w:rPr>
        <w:t xml:space="preserve">Chávez </w:t>
      </w:r>
      <w:r w:rsidRPr="00EE003F">
        <w:rPr>
          <w:rFonts w:ascii="Arial Narrow" w:eastAsia="FrutigerLTStd-Light" w:hAnsi="Arial Narrow" w:cs="FrutigerLTStd-Light"/>
          <w:sz w:val="24"/>
          <w:szCs w:val="24"/>
        </w:rPr>
        <w:t xml:space="preserve">Valencia, Karin Cuba Vidal, Augusto Delgado Narro, Omar Del Carpio </w:t>
      </w:r>
      <w:r w:rsidR="00EC6F5B" w:rsidRPr="00EE003F">
        <w:rPr>
          <w:rFonts w:ascii="Arial Narrow" w:eastAsia="FrutigerLTStd-Light" w:hAnsi="Arial Narrow" w:cs="FrutigerLTStd-Light"/>
          <w:sz w:val="24"/>
          <w:szCs w:val="24"/>
        </w:rPr>
        <w:t>Rodríguez</w:t>
      </w:r>
      <w:r w:rsidRPr="00EE003F">
        <w:rPr>
          <w:rFonts w:ascii="Arial Narrow" w:eastAsia="FrutigerLTStd-Light" w:hAnsi="Arial Narrow" w:cs="FrutigerLTStd-Light"/>
          <w:sz w:val="24"/>
          <w:szCs w:val="24"/>
        </w:rPr>
        <w:t xml:space="preserve">, Paul Durand </w:t>
      </w:r>
      <w:proofErr w:type="spellStart"/>
      <w:r w:rsidRPr="00EE003F">
        <w:rPr>
          <w:rFonts w:ascii="Arial Narrow" w:eastAsia="FrutigerLTStd-Light" w:hAnsi="Arial Narrow" w:cs="FrutigerLTStd-Light"/>
          <w:sz w:val="24"/>
          <w:szCs w:val="24"/>
        </w:rPr>
        <w:t>Villaroel</w:t>
      </w:r>
      <w:proofErr w:type="spellEnd"/>
      <w:r w:rsidRPr="00EE003F">
        <w:rPr>
          <w:rFonts w:ascii="Arial Narrow" w:eastAsia="FrutigerLTStd-Light" w:hAnsi="Arial Narrow" w:cs="FrutigerLTStd-Light"/>
          <w:sz w:val="24"/>
          <w:szCs w:val="24"/>
        </w:rPr>
        <w:t xml:space="preserve">, </w:t>
      </w:r>
      <w:r w:rsidR="00EC6F5B" w:rsidRPr="00EE003F">
        <w:rPr>
          <w:rFonts w:ascii="Arial Narrow" w:eastAsia="FrutigerLTStd-Light" w:hAnsi="Arial Narrow" w:cs="FrutigerLTStd-Light"/>
          <w:sz w:val="24"/>
          <w:szCs w:val="24"/>
        </w:rPr>
        <w:t xml:space="preserve">María </w:t>
      </w:r>
      <w:r w:rsidRPr="00EE003F">
        <w:rPr>
          <w:rFonts w:ascii="Arial Narrow" w:eastAsia="FrutigerLTStd-Light" w:hAnsi="Arial Narrow" w:cs="FrutigerLTStd-Light"/>
          <w:sz w:val="24"/>
          <w:szCs w:val="24"/>
        </w:rPr>
        <w:t>Teresa Fortunic de la Sotta,</w:t>
      </w:r>
      <w:r w:rsidR="00EC6F5B" w:rsidRPr="00EE003F">
        <w:rPr>
          <w:rFonts w:ascii="Arial Narrow" w:eastAsia="FrutigerLTStd-Light" w:hAnsi="Arial Narrow" w:cs="FrutigerLTStd-Light"/>
          <w:sz w:val="24"/>
          <w:szCs w:val="24"/>
        </w:rPr>
        <w:t xml:space="preserve"> </w:t>
      </w:r>
      <w:r w:rsidR="00DC4622" w:rsidRPr="00EE003F">
        <w:rPr>
          <w:rFonts w:ascii="Arial Narrow" w:eastAsia="FrutigerLTStd-Light" w:hAnsi="Arial Narrow" w:cs="FrutigerLTStd-Light"/>
          <w:sz w:val="24"/>
          <w:szCs w:val="24"/>
        </w:rPr>
        <w:t xml:space="preserve">Ana Luisa Gazzolo Briceño, </w:t>
      </w:r>
      <w:r w:rsidRPr="00EE003F">
        <w:rPr>
          <w:rFonts w:ascii="Arial Narrow" w:eastAsia="FrutigerLTStd-Light" w:hAnsi="Arial Narrow" w:cs="FrutigerLTStd-Light"/>
          <w:sz w:val="24"/>
          <w:szCs w:val="24"/>
        </w:rPr>
        <w:t xml:space="preserve">Alejandro </w:t>
      </w:r>
      <w:r w:rsidR="00EC6F5B" w:rsidRPr="00EE003F">
        <w:rPr>
          <w:rFonts w:ascii="Arial Narrow" w:eastAsia="FrutigerLTStd-Light" w:hAnsi="Arial Narrow" w:cs="FrutigerLTStd-Light"/>
          <w:sz w:val="24"/>
          <w:szCs w:val="24"/>
        </w:rPr>
        <w:t>Gómez</w:t>
      </w:r>
      <w:r w:rsidRPr="00EE003F">
        <w:rPr>
          <w:rFonts w:ascii="Arial Narrow" w:eastAsia="FrutigerLTStd-Light" w:hAnsi="Arial Narrow" w:cs="FrutigerLTStd-Light"/>
          <w:sz w:val="24"/>
          <w:szCs w:val="24"/>
        </w:rPr>
        <w:t xml:space="preserve">, Christiam Gonzales </w:t>
      </w:r>
      <w:r w:rsidR="00EC6F5B" w:rsidRPr="00EE003F">
        <w:rPr>
          <w:rFonts w:ascii="Arial Narrow" w:eastAsia="FrutigerLTStd-Light" w:hAnsi="Arial Narrow" w:cs="FrutigerLTStd-Light"/>
          <w:sz w:val="24"/>
          <w:szCs w:val="24"/>
        </w:rPr>
        <w:t>Chávez</w:t>
      </w:r>
      <w:r w:rsidRPr="00EE003F">
        <w:rPr>
          <w:rFonts w:ascii="Arial Narrow" w:eastAsia="FrutigerLTStd-Light" w:hAnsi="Arial Narrow" w:cs="FrutigerLTStd-Light"/>
          <w:sz w:val="24"/>
          <w:szCs w:val="24"/>
        </w:rPr>
        <w:t xml:space="preserve">, </w:t>
      </w:r>
      <w:r w:rsidR="00EC6F5B" w:rsidRPr="00EE003F">
        <w:rPr>
          <w:rFonts w:ascii="Arial Narrow" w:eastAsia="FrutigerLTStd-Light" w:hAnsi="Arial Narrow" w:cs="FrutigerLTStd-Light"/>
          <w:sz w:val="24"/>
          <w:szCs w:val="24"/>
        </w:rPr>
        <w:t xml:space="preserve">Ángel </w:t>
      </w:r>
      <w:r w:rsidRPr="00EE003F">
        <w:rPr>
          <w:rFonts w:ascii="Arial Narrow" w:eastAsia="FrutigerLTStd-Light" w:hAnsi="Arial Narrow" w:cs="FrutigerLTStd-Light"/>
          <w:sz w:val="24"/>
          <w:szCs w:val="24"/>
        </w:rPr>
        <w:t xml:space="preserve">Gonzalez </w:t>
      </w:r>
      <w:r w:rsidR="00EC6F5B" w:rsidRPr="00EE003F">
        <w:rPr>
          <w:rFonts w:ascii="Arial Narrow" w:eastAsia="FrutigerLTStd-Light" w:hAnsi="Arial Narrow" w:cs="FrutigerLTStd-Light"/>
          <w:sz w:val="24"/>
          <w:szCs w:val="24"/>
        </w:rPr>
        <w:t>Ramírez</w:t>
      </w:r>
      <w:r w:rsidRPr="00EE003F">
        <w:rPr>
          <w:rFonts w:ascii="Arial Narrow" w:eastAsia="FrutigerLTStd-Light" w:hAnsi="Arial Narrow" w:cs="FrutigerLTStd-Light"/>
          <w:sz w:val="24"/>
          <w:szCs w:val="24"/>
        </w:rPr>
        <w:t>,</w:t>
      </w:r>
      <w:r w:rsidR="006C14AA" w:rsidRPr="00EE003F">
        <w:rPr>
          <w:rFonts w:ascii="Arial Narrow" w:eastAsia="FrutigerLTStd-Light" w:hAnsi="Arial Narrow" w:cs="FrutigerLTStd-Light"/>
          <w:sz w:val="24"/>
          <w:szCs w:val="24"/>
        </w:rPr>
        <w:t xml:space="preserve"> Mauro Gutiérrez,  </w:t>
      </w:r>
      <w:r w:rsidRPr="00EE003F">
        <w:rPr>
          <w:rFonts w:ascii="Arial Narrow" w:eastAsia="FrutigerLTStd-Light" w:hAnsi="Arial Narrow" w:cs="FrutigerLTStd-Light"/>
          <w:sz w:val="24"/>
          <w:szCs w:val="24"/>
        </w:rPr>
        <w:t xml:space="preserve"> Pedro Guevara </w:t>
      </w:r>
      <w:r w:rsidR="00EC6F5B" w:rsidRPr="00EE003F">
        <w:rPr>
          <w:rFonts w:ascii="Arial Narrow" w:eastAsia="FrutigerLTStd-Light" w:hAnsi="Arial Narrow" w:cs="FrutigerLTStd-Light"/>
          <w:sz w:val="24"/>
          <w:szCs w:val="24"/>
        </w:rPr>
        <w:t>Ballón</w:t>
      </w:r>
      <w:r w:rsidRPr="00EE003F">
        <w:rPr>
          <w:rFonts w:ascii="Arial Narrow" w:eastAsia="FrutigerLTStd-Light" w:hAnsi="Arial Narrow" w:cs="FrutigerLTStd-Light"/>
          <w:sz w:val="24"/>
          <w:szCs w:val="24"/>
        </w:rPr>
        <w:t>, Nidia Irureta</w:t>
      </w:r>
      <w:r w:rsidR="00EC6F5B"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 xml:space="preserve">Salvatierra, Josue Luna Nole, Mariana Lopez Morales, Roger Merino Acuna, Roy Muñoz </w:t>
      </w:r>
      <w:r w:rsidR="00EC6F5B" w:rsidRPr="00EE003F">
        <w:rPr>
          <w:rFonts w:ascii="Arial Narrow" w:eastAsia="FrutigerLTStd-Light" w:hAnsi="Arial Narrow" w:cs="FrutigerLTStd-Light"/>
          <w:sz w:val="24"/>
          <w:szCs w:val="24"/>
        </w:rPr>
        <w:t>Gómez</w:t>
      </w:r>
      <w:r w:rsidRPr="00EE003F">
        <w:rPr>
          <w:rFonts w:ascii="Arial Narrow" w:eastAsia="FrutigerLTStd-Light" w:hAnsi="Arial Narrow" w:cs="FrutigerLTStd-Light"/>
          <w:sz w:val="24"/>
          <w:szCs w:val="24"/>
        </w:rPr>
        <w:t>,</w:t>
      </w:r>
      <w:r w:rsidR="00EC6F5B"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 xml:space="preserve">Susana Navas </w:t>
      </w:r>
      <w:r w:rsidR="00EC6F5B" w:rsidRPr="00EE003F">
        <w:rPr>
          <w:rFonts w:ascii="Arial Narrow" w:eastAsia="FrutigerLTStd-Light" w:hAnsi="Arial Narrow" w:cs="FrutigerLTStd-Light"/>
          <w:sz w:val="24"/>
          <w:szCs w:val="24"/>
        </w:rPr>
        <w:t>Hernández</w:t>
      </w:r>
      <w:r w:rsidRPr="00EE003F">
        <w:rPr>
          <w:rFonts w:ascii="Arial Narrow" w:eastAsia="FrutigerLTStd-Light" w:hAnsi="Arial Narrow" w:cs="FrutigerLTStd-Light"/>
          <w:sz w:val="24"/>
          <w:szCs w:val="24"/>
        </w:rPr>
        <w:t xml:space="preserve">, Herbert Olivera </w:t>
      </w:r>
      <w:r w:rsidR="00EC6F5B" w:rsidRPr="00EE003F">
        <w:rPr>
          <w:rFonts w:ascii="Arial Narrow" w:eastAsia="FrutigerLTStd-Light" w:hAnsi="Arial Narrow" w:cs="FrutigerLTStd-Light"/>
          <w:sz w:val="24"/>
          <w:szCs w:val="24"/>
        </w:rPr>
        <w:t>Valentín</w:t>
      </w:r>
      <w:r w:rsidRPr="00EE003F">
        <w:rPr>
          <w:rFonts w:ascii="Arial Narrow" w:eastAsia="FrutigerLTStd-Light" w:hAnsi="Arial Narrow" w:cs="FrutigerLTStd-Light"/>
          <w:sz w:val="24"/>
          <w:szCs w:val="24"/>
        </w:rPr>
        <w:t>, Socorro Orellana, Mariela Pacheco, Luciana Pardo</w:t>
      </w:r>
      <w:r w:rsidR="00EC6F5B"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 xml:space="preserve">Saavedra, Julio Perez Coaguila, Marcel Ramirez La Torre, Miguel </w:t>
      </w:r>
      <w:r w:rsidR="00EC6F5B" w:rsidRPr="00EE003F">
        <w:rPr>
          <w:rFonts w:ascii="Arial Narrow" w:eastAsia="FrutigerLTStd-Light" w:hAnsi="Arial Narrow" w:cs="FrutigerLTStd-Light"/>
          <w:sz w:val="24"/>
          <w:szCs w:val="24"/>
        </w:rPr>
        <w:t xml:space="preserve">Sánchez </w:t>
      </w:r>
      <w:r w:rsidRPr="00EE003F">
        <w:rPr>
          <w:rFonts w:ascii="Arial Narrow" w:eastAsia="FrutigerLTStd-Light" w:hAnsi="Arial Narrow" w:cs="FrutigerLTStd-Light"/>
          <w:sz w:val="24"/>
          <w:szCs w:val="24"/>
        </w:rPr>
        <w:t xml:space="preserve">Piscoya, </w:t>
      </w:r>
      <w:r w:rsidR="00EC6F5B" w:rsidRPr="00EE003F">
        <w:rPr>
          <w:rFonts w:ascii="Arial Narrow" w:eastAsia="FrutigerLTStd-Light" w:hAnsi="Arial Narrow" w:cs="FrutigerLTStd-Light"/>
          <w:sz w:val="24"/>
          <w:szCs w:val="24"/>
        </w:rPr>
        <w:t xml:space="preserve">Fredy Vargas Lama, </w:t>
      </w:r>
      <w:r w:rsidR="00677CFF" w:rsidRPr="00EE003F">
        <w:rPr>
          <w:rFonts w:ascii="Arial Narrow" w:eastAsia="FrutigerLTStd-Light" w:hAnsi="Arial Narrow" w:cs="FrutigerLTStd-Light"/>
          <w:sz w:val="24"/>
          <w:szCs w:val="24"/>
        </w:rPr>
        <w:t xml:space="preserve">Paola Alfaro Mori, </w:t>
      </w:r>
      <w:r w:rsidRPr="00EE003F">
        <w:rPr>
          <w:rFonts w:ascii="Arial Narrow" w:eastAsia="FrutigerLTStd-Light" w:hAnsi="Arial Narrow" w:cs="FrutigerLTStd-Light"/>
          <w:sz w:val="24"/>
          <w:szCs w:val="24"/>
        </w:rPr>
        <w:t>Elizabeth</w:t>
      </w:r>
      <w:r w:rsidR="00EC6F5B"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Vargas</w:t>
      </w:r>
      <w:r w:rsidR="00677CFF" w:rsidRPr="00EE003F">
        <w:rPr>
          <w:rFonts w:ascii="Arial Narrow" w:eastAsia="FrutigerLTStd-Light" w:hAnsi="Arial Narrow" w:cs="FrutigerLTStd-Light"/>
          <w:sz w:val="24"/>
          <w:szCs w:val="24"/>
        </w:rPr>
        <w:t xml:space="preserve"> </w:t>
      </w:r>
      <w:r w:rsidR="00EC6F5B" w:rsidRPr="00EE003F">
        <w:rPr>
          <w:rFonts w:ascii="Arial Narrow" w:eastAsia="FrutigerLTStd-Light" w:hAnsi="Arial Narrow" w:cs="FrutigerLTStd-Light"/>
          <w:sz w:val="24"/>
          <w:szCs w:val="24"/>
        </w:rPr>
        <w:t>-</w:t>
      </w:r>
      <w:r w:rsidRPr="00EE003F">
        <w:rPr>
          <w:rFonts w:ascii="Arial Narrow" w:eastAsia="FrutigerLTStd-Light" w:hAnsi="Arial Narrow" w:cs="FrutigerLTStd-Light"/>
          <w:sz w:val="24"/>
          <w:szCs w:val="24"/>
        </w:rPr>
        <w:t xml:space="preserve"> Machuca Guerrero, Nathaly Vega Alvarado, Martha Vicente Castro, Carmen </w:t>
      </w:r>
      <w:r w:rsidR="00EC6F5B" w:rsidRPr="00EE003F">
        <w:rPr>
          <w:rFonts w:ascii="Arial Narrow" w:eastAsia="FrutigerLTStd-Light" w:hAnsi="Arial Narrow" w:cs="FrutigerLTStd-Light"/>
          <w:sz w:val="24"/>
          <w:szCs w:val="24"/>
        </w:rPr>
        <w:t xml:space="preserve">Zeña </w:t>
      </w:r>
      <w:r w:rsidRPr="00EE003F">
        <w:rPr>
          <w:rFonts w:ascii="Arial Narrow" w:eastAsia="FrutigerLTStd-Light" w:hAnsi="Arial Narrow" w:cs="FrutigerLTStd-Light"/>
          <w:sz w:val="24"/>
          <w:szCs w:val="24"/>
        </w:rPr>
        <w:t>Acosta.</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Coordinadora de Publicaciones</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Claudia Rospigliosi Caceda</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roofErr w:type="gramStart"/>
      <w:r w:rsidRPr="00EE003F">
        <w:rPr>
          <w:rFonts w:ascii="MS Gothic" w:eastAsia="MS Gothic" w:hAnsi="MS Gothic" w:cs="MS Gothic" w:hint="eastAsia"/>
          <w:sz w:val="24"/>
          <w:szCs w:val="24"/>
        </w:rPr>
        <w:t>ⓒ</w:t>
      </w:r>
      <w:proofErr w:type="gramEnd"/>
      <w:r w:rsidRPr="00EE003F">
        <w:rPr>
          <w:rFonts w:ascii="Arial Narrow" w:eastAsia="FrutigerLTStd-Light" w:hAnsi="Arial Narrow" w:cs="FrutigerLTStd-Light"/>
          <w:sz w:val="24"/>
          <w:szCs w:val="24"/>
        </w:rPr>
        <w:t xml:space="preserve"> Centro Nacional de Planeamiento Estratégico</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Av. </w:t>
      </w:r>
      <w:proofErr w:type="spellStart"/>
      <w:r w:rsidRPr="00EE003F">
        <w:rPr>
          <w:rFonts w:ascii="Arial Narrow" w:eastAsia="FrutigerLTStd-Light" w:hAnsi="Arial Narrow" w:cs="FrutigerLTStd-Light"/>
          <w:sz w:val="24"/>
          <w:szCs w:val="24"/>
        </w:rPr>
        <w:t>Canaval</w:t>
      </w:r>
      <w:proofErr w:type="spellEnd"/>
      <w:r w:rsidRPr="00EE003F">
        <w:rPr>
          <w:rFonts w:ascii="Arial Narrow" w:eastAsia="FrutigerLTStd-Light" w:hAnsi="Arial Narrow" w:cs="FrutigerLTStd-Light"/>
          <w:sz w:val="24"/>
          <w:szCs w:val="24"/>
        </w:rPr>
        <w:t xml:space="preserve"> y </w:t>
      </w:r>
      <w:proofErr w:type="spellStart"/>
      <w:r w:rsidRPr="00EE003F">
        <w:rPr>
          <w:rFonts w:ascii="Arial Narrow" w:eastAsia="FrutigerLTStd-Light" w:hAnsi="Arial Narrow" w:cs="FrutigerLTStd-Light"/>
          <w:sz w:val="24"/>
          <w:szCs w:val="24"/>
        </w:rPr>
        <w:t>Moreyra</w:t>
      </w:r>
      <w:proofErr w:type="spellEnd"/>
      <w:r w:rsidRPr="00EE003F">
        <w:rPr>
          <w:rFonts w:ascii="Arial Narrow" w:eastAsia="FrutigerLTStd-Light" w:hAnsi="Arial Narrow" w:cs="FrutigerLTStd-Light"/>
          <w:sz w:val="24"/>
          <w:szCs w:val="24"/>
        </w:rPr>
        <w:t xml:space="preserve"> 480, piso 11, San Isidro, Lima, Perú</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Teléfono: 211 7800</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Correo electrónico: webmaster@ceplan.gob.pe</w:t>
      </w:r>
    </w:p>
    <w:p w:rsidR="008D0CB9" w:rsidRPr="00EE003F" w:rsidRDefault="008D0CB9" w:rsidP="008D0CB9">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Dirección URL: www.ceplan.gob.pe</w:t>
      </w:r>
    </w:p>
    <w:p w:rsidR="008D0CB9" w:rsidRPr="00EE003F" w:rsidRDefault="004629B0" w:rsidP="008D0CB9">
      <w:pPr>
        <w:jc w:val="both"/>
        <w:rPr>
          <w:rFonts w:ascii="Arial Narrow" w:eastAsia="FrutigerLTStd-Light" w:hAnsi="Arial Narrow" w:cs="FrutigerLTStd-Light"/>
          <w:sz w:val="24"/>
          <w:szCs w:val="24"/>
        </w:rPr>
      </w:pPr>
      <w:r>
        <w:rPr>
          <w:rFonts w:ascii="Arial Narrow" w:eastAsia="FrutigerLTStd-Light" w:hAnsi="Arial Narrow" w:cs="FrutigerLTStd-Light"/>
          <w:sz w:val="24"/>
          <w:szCs w:val="24"/>
        </w:rPr>
        <w:t>Junio</w:t>
      </w:r>
      <w:r w:rsidR="003A0501" w:rsidRPr="00EE003F">
        <w:rPr>
          <w:rFonts w:ascii="Arial Narrow" w:eastAsia="FrutigerLTStd-Light" w:hAnsi="Arial Narrow" w:cs="FrutigerLTStd-Light"/>
          <w:sz w:val="24"/>
          <w:szCs w:val="24"/>
        </w:rPr>
        <w:t xml:space="preserve"> 2016</w:t>
      </w: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8F2112" w:rsidRPr="00EE003F" w:rsidRDefault="008F2112">
      <w:pPr>
        <w:rPr>
          <w:rFonts w:ascii="Arial Narrow" w:hAnsi="Arial Narrow" w:cs="RotisSemiSans-Regular"/>
          <w:sz w:val="24"/>
          <w:szCs w:val="24"/>
        </w:rPr>
      </w:pPr>
      <w:r w:rsidRPr="00EE003F">
        <w:rPr>
          <w:rFonts w:ascii="Arial Narrow" w:hAnsi="Arial Narrow" w:cs="RotisSemiSans-Regular"/>
          <w:sz w:val="24"/>
          <w:szCs w:val="24"/>
        </w:rPr>
        <w:br w:type="page"/>
      </w:r>
    </w:p>
    <w:p w:rsidR="00AE0DB2" w:rsidRPr="00EE003F" w:rsidRDefault="00AE0DB2" w:rsidP="008D0CB9">
      <w:pPr>
        <w:autoSpaceDE w:val="0"/>
        <w:autoSpaceDN w:val="0"/>
        <w:adjustRightInd w:val="0"/>
        <w:spacing w:after="0" w:line="240" w:lineRule="auto"/>
        <w:jc w:val="both"/>
        <w:rPr>
          <w:rFonts w:ascii="Arial Narrow" w:hAnsi="Arial Narrow" w:cs="RotisSemiSans-Regular"/>
          <w:sz w:val="24"/>
          <w:szCs w:val="24"/>
        </w:rPr>
      </w:pPr>
    </w:p>
    <w:p w:rsidR="001E0D19" w:rsidRPr="00EE003F" w:rsidRDefault="001E0D19" w:rsidP="00EF313F">
      <w:pPr>
        <w:pStyle w:val="Ttulo"/>
        <w:outlineLvl w:val="0"/>
      </w:pPr>
      <w:bookmarkStart w:id="0" w:name="_Toc453004643"/>
      <w:r w:rsidRPr="00EE003F">
        <w:t>Agradecimientos</w:t>
      </w:r>
      <w:bookmarkEnd w:id="0"/>
    </w:p>
    <w:p w:rsidR="001E0D19" w:rsidRPr="00EE003F" w:rsidRDefault="001E0D19" w:rsidP="001E0D19">
      <w:pPr>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p>
    <w:p w:rsidR="001E0D19" w:rsidRPr="00EE003F" w:rsidRDefault="001E0D19" w:rsidP="001E0D19">
      <w:pPr>
        <w:suppressAutoHyphens/>
        <w:autoSpaceDE w:val="0"/>
        <w:autoSpaceDN w:val="0"/>
        <w:adjustRightInd w:val="0"/>
        <w:spacing w:before="113" w:after="0" w:line="288"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Un Plan Estratégico de Desarrollo Nacional no es ni puede ser el trabajo de una sola persona. Un plan, es más bien, el resultado de un esfuerzo colectivo y participativo de muchos peruanos que, gracias a la organización del Centro Nacional de Planeamiento Estratégico (</w:t>
      </w:r>
      <w:proofErr w:type="spellStart"/>
      <w:r w:rsidRPr="00EE003F">
        <w:rPr>
          <w:rFonts w:ascii="Arial Narrow" w:hAnsi="Arial Narrow" w:cs="Arial"/>
          <w:sz w:val="24"/>
          <w:szCs w:val="24"/>
          <w:lang w:val="es-ES_tradnl"/>
        </w:rPr>
        <w:t>Ceplan</w:t>
      </w:r>
      <w:proofErr w:type="spellEnd"/>
      <w:r w:rsidRPr="00EE003F">
        <w:rPr>
          <w:rFonts w:ascii="Arial Narrow" w:hAnsi="Arial Narrow" w:cs="Arial"/>
          <w:sz w:val="24"/>
          <w:szCs w:val="24"/>
          <w:lang w:val="es-ES_tradnl"/>
        </w:rPr>
        <w:t>), han logrado imaginar un Perú distinto y mejor.</w:t>
      </w:r>
    </w:p>
    <w:p w:rsidR="001E0D19" w:rsidRPr="00EE003F" w:rsidRDefault="001E0D19" w:rsidP="001E0D19">
      <w:pPr>
        <w:suppressAutoHyphens/>
        <w:autoSpaceDE w:val="0"/>
        <w:autoSpaceDN w:val="0"/>
        <w:adjustRightInd w:val="0"/>
        <w:spacing w:before="113" w:after="0" w:line="288"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 xml:space="preserve">En ese sentido, no podemos dejar de agradecer a los miles de peruanos que han participado en la actualización de este proyecto. Agradecemos a los miembros de la ciudadanía, a los funcionarios y servidores públicos, a los especialistas, a los líderes de los partidos </w:t>
      </w:r>
      <w:r w:rsidR="00A36241" w:rsidRPr="00EE003F">
        <w:rPr>
          <w:rFonts w:ascii="Arial Narrow" w:hAnsi="Arial Narrow" w:cs="Arial"/>
          <w:sz w:val="24"/>
          <w:szCs w:val="24"/>
          <w:lang w:val="es-ES_tradnl"/>
        </w:rPr>
        <w:t xml:space="preserve">políticos </w:t>
      </w:r>
      <w:r w:rsidRPr="00EE003F">
        <w:rPr>
          <w:rFonts w:ascii="Arial Narrow" w:hAnsi="Arial Narrow" w:cs="Arial"/>
          <w:sz w:val="24"/>
          <w:szCs w:val="24"/>
          <w:lang w:val="es-ES_tradnl"/>
        </w:rPr>
        <w:t xml:space="preserve">y a los movimientos regionales que participaron en los talleres organizados por el </w:t>
      </w:r>
      <w:proofErr w:type="spellStart"/>
      <w:r w:rsidRPr="00EE003F">
        <w:rPr>
          <w:rFonts w:ascii="Arial Narrow" w:hAnsi="Arial Narrow" w:cs="Arial"/>
          <w:sz w:val="24"/>
          <w:szCs w:val="24"/>
          <w:lang w:val="es-ES_tradnl"/>
        </w:rPr>
        <w:t>Ceplan</w:t>
      </w:r>
      <w:proofErr w:type="spellEnd"/>
      <w:r w:rsidRPr="00EE003F">
        <w:rPr>
          <w:rFonts w:ascii="Arial Narrow" w:hAnsi="Arial Narrow" w:cs="Arial"/>
          <w:sz w:val="24"/>
          <w:szCs w:val="24"/>
          <w:lang w:val="es-ES_tradnl"/>
        </w:rPr>
        <w:t xml:space="preserve"> y el Jurado Nacional de Elecciones (JNE). Además, también reconocemos el apoyo temático de los Ministerios, quienes contribuyeron con sus aportes a la obtención de una visión compartida  de futuro al  2021.</w:t>
      </w:r>
    </w:p>
    <w:p w:rsidR="001E0D19" w:rsidRPr="00EE003F" w:rsidRDefault="001E0D19" w:rsidP="001E0D19">
      <w:pPr>
        <w:suppressAutoHyphens/>
        <w:autoSpaceDE w:val="0"/>
        <w:autoSpaceDN w:val="0"/>
        <w:adjustRightInd w:val="0"/>
        <w:spacing w:before="113" w:after="0" w:line="288"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 xml:space="preserve">El Plan Estratégico de Desarrollo Nacional Actualizado: “Perú hacia el 2021” encuentra su materialización en el esfuerzo de funcionarios, directores, consultores y personal administrativo del </w:t>
      </w:r>
      <w:proofErr w:type="spellStart"/>
      <w:r w:rsidRPr="00EE003F">
        <w:rPr>
          <w:rFonts w:ascii="Arial Narrow" w:hAnsi="Arial Narrow" w:cs="Arial"/>
          <w:sz w:val="24"/>
          <w:szCs w:val="24"/>
          <w:lang w:val="es-ES_tradnl"/>
        </w:rPr>
        <w:t>Ceplan</w:t>
      </w:r>
      <w:proofErr w:type="spellEnd"/>
      <w:r w:rsidRPr="00EE003F">
        <w:rPr>
          <w:rFonts w:ascii="Arial Narrow" w:hAnsi="Arial Narrow" w:cs="Arial"/>
          <w:sz w:val="24"/>
          <w:szCs w:val="24"/>
          <w:lang w:val="es-ES_tradnl"/>
        </w:rPr>
        <w:t xml:space="preserve">. Sin embargo, es necesario destacar, que incluso el trabajo más organizado, mejor orientado y ejecutado con los mayores niveles de excelencia, requiere de un claro liderazgo. De esta manera, agradecemos y dejamos constancia del valioso esfuerzo de Carlos A. Anderson, presidente del </w:t>
      </w:r>
      <w:proofErr w:type="spellStart"/>
      <w:r w:rsidRPr="00EE003F">
        <w:rPr>
          <w:rFonts w:ascii="Arial Narrow" w:hAnsi="Arial Narrow" w:cs="Arial"/>
          <w:sz w:val="24"/>
          <w:szCs w:val="24"/>
          <w:lang w:val="es-ES_tradnl"/>
        </w:rPr>
        <w:t>Ceplan</w:t>
      </w:r>
      <w:proofErr w:type="spellEnd"/>
      <w:r w:rsidRPr="00EE003F">
        <w:rPr>
          <w:rFonts w:ascii="Arial Narrow" w:hAnsi="Arial Narrow" w:cs="Arial"/>
          <w:sz w:val="24"/>
          <w:szCs w:val="24"/>
          <w:lang w:val="es-ES_tradnl"/>
        </w:rPr>
        <w:t xml:space="preserve"> entre marzo de 2013 y abril de 2015.</w:t>
      </w:r>
    </w:p>
    <w:p w:rsidR="008D0CB9" w:rsidRPr="00EE003F" w:rsidRDefault="001E0D19" w:rsidP="00F6198C">
      <w:pPr>
        <w:suppressAutoHyphens/>
        <w:autoSpaceDE w:val="0"/>
        <w:autoSpaceDN w:val="0"/>
        <w:adjustRightInd w:val="0"/>
        <w:spacing w:before="113" w:after="0" w:line="288" w:lineRule="auto"/>
        <w:jc w:val="both"/>
        <w:textAlignment w:val="center"/>
        <w:rPr>
          <w:rFonts w:ascii="Arial Narrow" w:eastAsia="FrutigerLTStd-Light" w:hAnsi="Arial Narrow" w:cs="Arial"/>
          <w:sz w:val="24"/>
          <w:szCs w:val="24"/>
        </w:rPr>
      </w:pPr>
      <w:r w:rsidRPr="00EE003F">
        <w:rPr>
          <w:rFonts w:ascii="Arial Narrow" w:hAnsi="Arial Narrow" w:cs="Arial"/>
          <w:sz w:val="24"/>
          <w:szCs w:val="24"/>
          <w:lang w:val="es-ES_tradnl"/>
        </w:rPr>
        <w:t xml:space="preserve">Finalmente, queremos agradecer el apoyo e impulso para la aprobación del presente documento al Primer Ministro, el Señor Pedro </w:t>
      </w:r>
      <w:proofErr w:type="spellStart"/>
      <w:r w:rsidRPr="00EE003F">
        <w:rPr>
          <w:rFonts w:ascii="Arial Narrow" w:hAnsi="Arial Narrow" w:cs="Arial"/>
          <w:sz w:val="24"/>
          <w:szCs w:val="24"/>
          <w:lang w:val="es-ES_tradnl"/>
        </w:rPr>
        <w:t>Cateriano</w:t>
      </w:r>
      <w:proofErr w:type="spellEnd"/>
      <w:r w:rsidRPr="00EE003F">
        <w:rPr>
          <w:rFonts w:ascii="Arial Narrow" w:hAnsi="Arial Narrow" w:cs="Arial"/>
          <w:sz w:val="24"/>
          <w:szCs w:val="24"/>
          <w:lang w:val="es-ES_tradnl"/>
        </w:rPr>
        <w:t>, y por su intermedio, al Presidente de la República, el Señor Ollanta Humala.</w:t>
      </w:r>
      <w:r w:rsidR="008D0CB9" w:rsidRPr="00EE003F">
        <w:rPr>
          <w:rFonts w:ascii="Arial Narrow" w:eastAsia="FrutigerLTStd-Light" w:hAnsi="Arial Narrow" w:cs="Arial"/>
          <w:sz w:val="24"/>
          <w:szCs w:val="24"/>
        </w:rPr>
        <w:br w:type="page"/>
      </w:r>
    </w:p>
    <w:p w:rsidR="001E0D19" w:rsidRPr="00EE003F" w:rsidRDefault="001E0D19" w:rsidP="00EF313F">
      <w:pPr>
        <w:pStyle w:val="Ttulo"/>
        <w:outlineLvl w:val="0"/>
        <w:rPr>
          <w:sz w:val="28"/>
          <w:szCs w:val="28"/>
          <w:lang w:val="es-ES_tradnl"/>
        </w:rPr>
      </w:pPr>
      <w:bookmarkStart w:id="1" w:name="_Toc453004644"/>
      <w:r w:rsidRPr="00EE003F">
        <w:rPr>
          <w:lang w:val="es-ES_tradnl"/>
        </w:rPr>
        <w:t>Acrónimos</w:t>
      </w:r>
      <w:bookmarkEnd w:id="1"/>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AFIN </w:t>
      </w:r>
      <w:r w:rsidRPr="00EE003F">
        <w:rPr>
          <w:rFonts w:ascii="Arial Narrow" w:hAnsi="Arial Narrow" w:cs="Arial"/>
          <w:sz w:val="20"/>
          <w:szCs w:val="20"/>
          <w:lang w:val="es-ES_tradnl"/>
        </w:rPr>
        <w:tab/>
        <w:t>Asociación para el Fomento de la Infraestructura Nacional</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AFP</w:t>
      </w:r>
      <w:r w:rsidRPr="00EE003F">
        <w:rPr>
          <w:rFonts w:ascii="Arial Narrow" w:hAnsi="Arial Narrow" w:cs="Arial"/>
          <w:sz w:val="20"/>
          <w:szCs w:val="20"/>
          <w:lang w:val="es-ES_tradnl"/>
        </w:rPr>
        <w:tab/>
        <w:t>Administradora de Fondos de Pensión</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gramStart"/>
      <w:r w:rsidRPr="00EE003F">
        <w:rPr>
          <w:rFonts w:ascii="Arial Narrow" w:hAnsi="Arial Narrow" w:cs="Arial"/>
          <w:sz w:val="20"/>
          <w:szCs w:val="20"/>
          <w:lang w:val="es-ES_tradnl"/>
        </w:rPr>
        <w:t>AL</w:t>
      </w:r>
      <w:proofErr w:type="gramEnd"/>
      <w:r w:rsidRPr="00EE003F">
        <w:rPr>
          <w:rFonts w:ascii="Arial Narrow" w:hAnsi="Arial Narrow" w:cs="Arial"/>
          <w:sz w:val="20"/>
          <w:szCs w:val="20"/>
          <w:lang w:val="es-ES_tradnl"/>
        </w:rPr>
        <w:tab/>
        <w:t>América Latina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APP </w:t>
      </w:r>
      <w:r w:rsidRPr="00EE003F">
        <w:rPr>
          <w:rFonts w:ascii="Arial Narrow" w:hAnsi="Arial Narrow" w:cs="Arial"/>
          <w:sz w:val="20"/>
          <w:szCs w:val="20"/>
          <w:lang w:val="es-ES_tradnl"/>
        </w:rPr>
        <w:tab/>
        <w:t xml:space="preserve">Asociación público-privada </w:t>
      </w:r>
    </w:p>
    <w:p w:rsidR="00A9203A" w:rsidRPr="00EE003F" w:rsidRDefault="00A9203A"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ASEAN</w:t>
      </w:r>
      <w:r w:rsidRPr="00EE003F">
        <w:rPr>
          <w:rFonts w:ascii="Arial Narrow" w:hAnsi="Arial Narrow" w:cs="Arial"/>
          <w:sz w:val="20"/>
          <w:szCs w:val="20"/>
          <w:lang w:val="es-ES_tradnl"/>
        </w:rPr>
        <w:tab/>
        <w:t>Asociación de Naciones del Sudeste Asiático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BBVA</w:t>
      </w:r>
      <w:r w:rsidRPr="00EE003F">
        <w:rPr>
          <w:rFonts w:ascii="Arial Narrow" w:hAnsi="Arial Narrow" w:cs="Arial"/>
          <w:sz w:val="20"/>
          <w:szCs w:val="20"/>
          <w:lang w:val="es-ES_tradnl"/>
        </w:rPr>
        <w:tab/>
      </w:r>
      <w:proofErr w:type="spellStart"/>
      <w:r w:rsidRPr="00EE003F">
        <w:rPr>
          <w:rFonts w:ascii="Arial Narrow" w:hAnsi="Arial Narrow" w:cs="Arial"/>
          <w:sz w:val="20"/>
          <w:szCs w:val="20"/>
          <w:lang w:val="es-ES_tradnl"/>
        </w:rPr>
        <w:t>BBVA</w:t>
      </w:r>
      <w:proofErr w:type="spellEnd"/>
      <w:r w:rsidRPr="00EE003F">
        <w:rPr>
          <w:rFonts w:ascii="Arial Narrow" w:hAnsi="Arial Narrow" w:cs="Arial"/>
          <w:sz w:val="20"/>
          <w:szCs w:val="20"/>
          <w:lang w:val="es-ES_tradnl"/>
        </w:rPr>
        <w:t xml:space="preserve"> Banco Continental</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BCRP </w:t>
      </w:r>
      <w:r w:rsidRPr="00EE003F">
        <w:rPr>
          <w:rFonts w:ascii="Arial Narrow" w:hAnsi="Arial Narrow" w:cs="Arial"/>
          <w:sz w:val="20"/>
          <w:szCs w:val="20"/>
          <w:lang w:val="es-ES_tradnl"/>
        </w:rPr>
        <w:tab/>
        <w:t xml:space="preserve">Banco Central de Reserva del Perú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BID </w:t>
      </w:r>
      <w:r w:rsidRPr="00EE003F">
        <w:rPr>
          <w:rFonts w:ascii="Arial Narrow" w:hAnsi="Arial Narrow" w:cs="Arial"/>
          <w:sz w:val="20"/>
          <w:szCs w:val="20"/>
          <w:lang w:val="es-ES_tradnl"/>
        </w:rPr>
        <w:tab/>
        <w:t xml:space="preserve">Banco Interamericano de Desarrollo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
        </w:rPr>
      </w:pPr>
      <w:r w:rsidRPr="00EE003F">
        <w:rPr>
          <w:rFonts w:ascii="Arial Narrow" w:hAnsi="Arial Narrow" w:cs="Arial"/>
          <w:sz w:val="20"/>
          <w:szCs w:val="20"/>
          <w:lang w:val="es-ES"/>
        </w:rPr>
        <w:t xml:space="preserve">BM </w:t>
      </w:r>
      <w:r w:rsidRPr="00EE003F">
        <w:rPr>
          <w:rFonts w:ascii="Arial Narrow" w:hAnsi="Arial Narrow" w:cs="Arial"/>
          <w:sz w:val="20"/>
          <w:szCs w:val="20"/>
          <w:lang w:val="es-ES"/>
        </w:rPr>
        <w:tab/>
        <w:t xml:space="preserve">Banco Mundial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
        </w:rPr>
      </w:pPr>
      <w:r w:rsidRPr="00EE003F">
        <w:rPr>
          <w:rFonts w:ascii="Arial Narrow" w:hAnsi="Arial Narrow" w:cs="Arial"/>
          <w:sz w:val="20"/>
          <w:szCs w:val="20"/>
          <w:lang w:val="es-ES"/>
        </w:rPr>
        <w:t>BRT</w:t>
      </w:r>
      <w:r w:rsidRPr="00EE003F">
        <w:rPr>
          <w:rFonts w:ascii="Arial Narrow" w:hAnsi="Arial Narrow" w:cs="Arial"/>
          <w:sz w:val="20"/>
          <w:szCs w:val="20"/>
          <w:lang w:val="es-ES"/>
        </w:rPr>
        <w:tab/>
        <w:t xml:space="preserve">Bus </w:t>
      </w:r>
      <w:proofErr w:type="spellStart"/>
      <w:r w:rsidRPr="00EE003F">
        <w:rPr>
          <w:rFonts w:ascii="Arial Narrow" w:hAnsi="Arial Narrow" w:cs="Arial"/>
          <w:sz w:val="20"/>
          <w:szCs w:val="20"/>
          <w:lang w:val="es-ES"/>
        </w:rPr>
        <w:t>rapid</w:t>
      </w:r>
      <w:proofErr w:type="spellEnd"/>
      <w:r w:rsidRPr="00EE003F">
        <w:rPr>
          <w:rFonts w:ascii="Arial Narrow" w:hAnsi="Arial Narrow" w:cs="Arial"/>
          <w:sz w:val="20"/>
          <w:szCs w:val="20"/>
          <w:lang w:val="es-ES"/>
        </w:rPr>
        <w:t xml:space="preserve"> </w:t>
      </w:r>
      <w:proofErr w:type="spellStart"/>
      <w:r w:rsidRPr="00EE003F">
        <w:rPr>
          <w:rFonts w:ascii="Arial Narrow" w:hAnsi="Arial Narrow" w:cs="Arial"/>
          <w:sz w:val="20"/>
          <w:szCs w:val="20"/>
          <w:lang w:val="es-ES"/>
        </w:rPr>
        <w:t>transit</w:t>
      </w:r>
      <w:proofErr w:type="spellEnd"/>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CAF</w:t>
      </w:r>
      <w:r w:rsidRPr="00EE003F">
        <w:rPr>
          <w:rFonts w:ascii="Arial Narrow" w:hAnsi="Arial Narrow" w:cs="Arial"/>
          <w:sz w:val="20"/>
          <w:szCs w:val="20"/>
          <w:lang w:val="es-ES_tradnl"/>
        </w:rPr>
        <w:tab/>
        <w:t>Corporación Andina de Fomento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CAN </w:t>
      </w:r>
      <w:r w:rsidRPr="00EE003F">
        <w:rPr>
          <w:rFonts w:ascii="Arial Narrow" w:hAnsi="Arial Narrow" w:cs="Arial"/>
          <w:sz w:val="20"/>
          <w:szCs w:val="20"/>
          <w:lang w:val="es-ES_tradnl"/>
        </w:rPr>
        <w:tab/>
        <w:t>Comunidad Andina de Naciones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CC. PP.</w:t>
      </w:r>
      <w:r w:rsidRPr="00EE003F">
        <w:rPr>
          <w:rFonts w:ascii="Arial Narrow" w:hAnsi="Arial Narrow" w:cs="Arial"/>
          <w:sz w:val="20"/>
          <w:szCs w:val="20"/>
          <w:lang w:val="es-ES_tradnl"/>
        </w:rPr>
        <w:tab/>
        <w:t>Centros poblados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CDIAC</w:t>
      </w:r>
      <w:r w:rsidRPr="00EE003F">
        <w:rPr>
          <w:rFonts w:ascii="Arial Narrow" w:hAnsi="Arial Narrow" w:cs="Arial"/>
          <w:sz w:val="20"/>
          <w:szCs w:val="20"/>
          <w:lang w:val="es-ES_tradnl"/>
        </w:rPr>
        <w:tab/>
        <w:t>Centro de Análisis de Información sobre Dióxido de Carbono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Cepal</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Comisión Económica para América Latina y el Caribe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Ceplan</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Centro Nacional de Planeamiento Estratégico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CIDH</w:t>
      </w:r>
      <w:r w:rsidRPr="00EE003F">
        <w:rPr>
          <w:rFonts w:ascii="Arial Narrow" w:hAnsi="Arial Narrow" w:cs="Arial"/>
          <w:sz w:val="20"/>
          <w:szCs w:val="20"/>
          <w:lang w:val="es-ES_tradnl"/>
        </w:rPr>
        <w:tab/>
        <w:t>Comisión Interamericana de Derechos Humanos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CIES </w:t>
      </w:r>
      <w:r w:rsidRPr="00EE003F">
        <w:rPr>
          <w:rFonts w:ascii="Arial Narrow" w:hAnsi="Arial Narrow" w:cs="Arial"/>
          <w:sz w:val="20"/>
          <w:szCs w:val="20"/>
          <w:lang w:val="es-ES_tradnl"/>
        </w:rPr>
        <w:tab/>
        <w:t>Consorcio de Investigación Económica y Social</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CITE</w:t>
      </w:r>
      <w:r w:rsidRPr="00EE003F">
        <w:rPr>
          <w:rFonts w:ascii="Arial Narrow" w:hAnsi="Arial Narrow" w:cs="Arial"/>
          <w:sz w:val="20"/>
          <w:szCs w:val="20"/>
          <w:lang w:val="es-ES_tradnl"/>
        </w:rPr>
        <w:tab/>
        <w:t xml:space="preserve">Centros de </w:t>
      </w:r>
      <w:r w:rsidR="009838F8" w:rsidRPr="00EE003F">
        <w:rPr>
          <w:rFonts w:ascii="Arial Narrow" w:hAnsi="Arial Narrow" w:cs="Arial"/>
          <w:sz w:val="20"/>
          <w:szCs w:val="20"/>
          <w:lang w:val="es-ES_tradnl"/>
        </w:rPr>
        <w:t>Innovación</w:t>
      </w:r>
      <w:r w:rsidRPr="00EE003F">
        <w:rPr>
          <w:rFonts w:ascii="Arial Narrow" w:hAnsi="Arial Narrow" w:cs="Arial"/>
          <w:sz w:val="20"/>
          <w:szCs w:val="20"/>
          <w:lang w:val="es-ES_tradnl"/>
        </w:rPr>
        <w:t xml:space="preserve"> Tecnológica</w:t>
      </w:r>
    </w:p>
    <w:p w:rsidR="003B58C1" w:rsidRPr="00EE003F" w:rsidRDefault="003B58C1"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CNC</w:t>
      </w:r>
      <w:r w:rsidRPr="00EE003F">
        <w:rPr>
          <w:rFonts w:ascii="Arial Narrow" w:hAnsi="Arial Narrow" w:cs="Arial"/>
          <w:sz w:val="20"/>
          <w:szCs w:val="20"/>
          <w:lang w:val="es-ES_tradnl"/>
        </w:rPr>
        <w:tab/>
        <w:t>Consejo Nacional de la Competi</w:t>
      </w:r>
      <w:r w:rsidR="007A2BA4" w:rsidRPr="00EE003F">
        <w:rPr>
          <w:rFonts w:ascii="Arial Narrow" w:hAnsi="Arial Narrow" w:cs="Arial"/>
          <w:sz w:val="20"/>
          <w:szCs w:val="20"/>
          <w:lang w:val="es-ES_tradnl"/>
        </w:rPr>
        <w:t>ti</w:t>
      </w:r>
      <w:r w:rsidRPr="00EE003F">
        <w:rPr>
          <w:rFonts w:ascii="Arial Narrow" w:hAnsi="Arial Narrow" w:cs="Arial"/>
          <w:sz w:val="20"/>
          <w:szCs w:val="20"/>
          <w:lang w:val="es-ES_tradnl"/>
        </w:rPr>
        <w:t>vidad</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Cofopri</w:t>
      </w:r>
      <w:proofErr w:type="spellEnd"/>
      <w:r w:rsidRPr="00EE003F">
        <w:rPr>
          <w:rFonts w:ascii="Arial Narrow" w:hAnsi="Arial Narrow" w:cs="Arial"/>
          <w:sz w:val="20"/>
          <w:szCs w:val="20"/>
          <w:lang w:val="es-ES_tradnl"/>
        </w:rPr>
        <w:tab/>
        <w:t>Organismo de Formalización de la Propiedad Informal</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ComexPerú</w:t>
      </w:r>
      <w:proofErr w:type="spellEnd"/>
      <w:r w:rsidRPr="00EE003F">
        <w:rPr>
          <w:rFonts w:ascii="Arial Narrow" w:hAnsi="Arial Narrow" w:cs="Arial"/>
          <w:sz w:val="20"/>
          <w:szCs w:val="20"/>
          <w:lang w:val="es-ES_tradnl"/>
        </w:rPr>
        <w:tab/>
        <w:t xml:space="preserve">Sociedad de Comercio Exterior del Perú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Concytec</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Consejo Nacional de Ciencia y Tecnología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CTI </w:t>
      </w:r>
      <w:r w:rsidRPr="00EE003F">
        <w:rPr>
          <w:rFonts w:ascii="Arial Narrow" w:hAnsi="Arial Narrow" w:cs="Arial"/>
          <w:sz w:val="20"/>
          <w:szCs w:val="20"/>
          <w:lang w:val="es-ES_tradnl"/>
        </w:rPr>
        <w:tab/>
        <w:t xml:space="preserve">Ciencia, Tecnología e Innovación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Cuna Más</w:t>
      </w:r>
      <w:r w:rsidRPr="00EE003F">
        <w:rPr>
          <w:rFonts w:ascii="Arial Narrow" w:hAnsi="Arial Narrow" w:cs="Arial"/>
          <w:sz w:val="20"/>
          <w:szCs w:val="20"/>
          <w:lang w:val="es-ES_tradnl"/>
        </w:rPr>
        <w:tab/>
        <w:t xml:space="preserve">Programa Nacional Cuna Más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Devida</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Comisión Nacional para el Desarrollo y Vida sin Drogas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DGE</w:t>
      </w:r>
      <w:r w:rsidRPr="00EE003F">
        <w:rPr>
          <w:rFonts w:ascii="Arial Narrow" w:hAnsi="Arial Narrow" w:cs="Arial"/>
          <w:sz w:val="20"/>
          <w:szCs w:val="20"/>
          <w:lang w:val="es-ES_tradnl"/>
        </w:rPr>
        <w:tab/>
        <w:t>Dirección General de Epidemiología del Ministerio de Salud</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ECA </w:t>
      </w:r>
      <w:r w:rsidRPr="00EE003F">
        <w:rPr>
          <w:rFonts w:ascii="Arial Narrow" w:hAnsi="Arial Narrow" w:cs="Arial"/>
          <w:sz w:val="20"/>
          <w:szCs w:val="20"/>
          <w:lang w:val="es-ES_tradnl"/>
        </w:rPr>
        <w:tab/>
        <w:t xml:space="preserve">Estándar de Calidad Ambiental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EDA</w:t>
      </w:r>
      <w:r w:rsidRPr="00EE003F">
        <w:rPr>
          <w:rFonts w:ascii="Arial Narrow" w:hAnsi="Arial Narrow" w:cs="Arial"/>
          <w:sz w:val="20"/>
          <w:szCs w:val="20"/>
          <w:lang w:val="es-ES_tradnl"/>
        </w:rPr>
        <w:tab/>
        <w:t>Enfermedad diarreica aguda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Enaho</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Encuesta Nacional de Hogares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Enapres</w:t>
      </w:r>
      <w:proofErr w:type="spellEnd"/>
      <w:r w:rsidRPr="00EE003F">
        <w:rPr>
          <w:rFonts w:ascii="Arial Narrow" w:hAnsi="Arial Narrow" w:cs="Arial"/>
          <w:sz w:val="20"/>
          <w:szCs w:val="20"/>
          <w:lang w:val="es-ES_tradnl"/>
        </w:rPr>
        <w:tab/>
        <w:t>Encuesta Nacional de Programas Estratégicos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Endes</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Encuesta Nacional Demográfica y de Salud Familiar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EPI</w:t>
      </w:r>
      <w:r w:rsidRPr="00EE003F">
        <w:rPr>
          <w:rFonts w:ascii="Arial Narrow" w:hAnsi="Arial Narrow" w:cs="Arial"/>
          <w:sz w:val="20"/>
          <w:szCs w:val="20"/>
          <w:lang w:val="es-ES_tradnl"/>
        </w:rPr>
        <w:tab/>
        <w:t>Enviromental Performance Index</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EPS </w:t>
      </w:r>
      <w:r w:rsidRPr="00EE003F">
        <w:rPr>
          <w:rFonts w:ascii="Arial Narrow" w:hAnsi="Arial Narrow" w:cs="Arial"/>
          <w:sz w:val="20"/>
          <w:szCs w:val="20"/>
          <w:lang w:val="es-ES_tradnl"/>
        </w:rPr>
        <w:tab/>
        <w:t>Entidad prestadora de salud</w:t>
      </w:r>
    </w:p>
    <w:p w:rsidR="00884CF0" w:rsidRPr="00EE003F" w:rsidRDefault="00884CF0"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ETPM</w:t>
      </w:r>
      <w:r w:rsidRPr="00EE003F">
        <w:rPr>
          <w:rFonts w:ascii="Arial Narrow" w:hAnsi="Arial Narrow" w:cs="Arial"/>
          <w:sz w:val="20"/>
          <w:szCs w:val="20"/>
          <w:lang w:val="es-ES_tradnl"/>
        </w:rPr>
        <w:tab/>
        <w:t xml:space="preserve">Espacios Transversales de Planificación </w:t>
      </w:r>
      <w:proofErr w:type="spellStart"/>
      <w:r w:rsidRPr="00EE003F">
        <w:rPr>
          <w:rFonts w:ascii="Arial Narrow" w:hAnsi="Arial Narrow" w:cs="Arial"/>
          <w:sz w:val="20"/>
          <w:szCs w:val="20"/>
          <w:lang w:val="es-ES_tradnl"/>
        </w:rPr>
        <w:t>Macroregional</w:t>
      </w:r>
      <w:proofErr w:type="spellEnd"/>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EsSalud</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Seguro Social de Salud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FAO </w:t>
      </w:r>
      <w:r w:rsidRPr="00EE003F">
        <w:rPr>
          <w:rFonts w:ascii="Arial Narrow" w:hAnsi="Arial Narrow" w:cs="Arial"/>
          <w:sz w:val="20"/>
          <w:szCs w:val="20"/>
          <w:lang w:val="es-ES_tradnl"/>
        </w:rPr>
        <w:tab/>
        <w:t xml:space="preserve">Organización de las Naciones Unidas para la Agricultura y la Alimentación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FF. AA.</w:t>
      </w:r>
      <w:r w:rsidRPr="00EE003F">
        <w:rPr>
          <w:rFonts w:ascii="Arial Narrow" w:hAnsi="Arial Narrow" w:cs="Arial"/>
          <w:sz w:val="20"/>
          <w:szCs w:val="20"/>
          <w:lang w:val="es-ES_tradnl"/>
        </w:rPr>
        <w:tab/>
        <w:t>Fuerzas Armadas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Fitel</w:t>
      </w:r>
      <w:proofErr w:type="spellEnd"/>
      <w:r w:rsidRPr="00EE003F">
        <w:rPr>
          <w:rFonts w:ascii="Arial Narrow" w:hAnsi="Arial Narrow" w:cs="Arial"/>
          <w:sz w:val="20"/>
          <w:szCs w:val="20"/>
          <w:lang w:val="es-ES_tradnl"/>
        </w:rPr>
        <w:tab/>
        <w:t>Fondo de Inversión en Telecomunicaciones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FMI </w:t>
      </w:r>
      <w:r w:rsidRPr="00EE003F">
        <w:rPr>
          <w:rFonts w:ascii="Arial Narrow" w:hAnsi="Arial Narrow" w:cs="Arial"/>
          <w:sz w:val="20"/>
          <w:szCs w:val="20"/>
          <w:lang w:val="es-ES_tradnl"/>
        </w:rPr>
        <w:tab/>
        <w:t xml:space="preserve">Fondo Monetario Internacional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GEI </w:t>
      </w:r>
      <w:r w:rsidRPr="00EE003F">
        <w:rPr>
          <w:rFonts w:ascii="Arial Narrow" w:hAnsi="Arial Narrow" w:cs="Arial"/>
          <w:sz w:val="20"/>
          <w:szCs w:val="20"/>
          <w:lang w:val="es-ES_tradnl"/>
        </w:rPr>
        <w:tab/>
        <w:t xml:space="preserve">Gases de efecto invernadero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GNL</w:t>
      </w:r>
      <w:r w:rsidRPr="00EE003F">
        <w:rPr>
          <w:rFonts w:ascii="Arial Narrow" w:hAnsi="Arial Narrow" w:cs="Arial"/>
          <w:sz w:val="20"/>
          <w:szCs w:val="20"/>
          <w:lang w:val="es-ES_tradnl"/>
        </w:rPr>
        <w:tab/>
        <w:t>Gas natural licuado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GNV</w:t>
      </w:r>
      <w:r w:rsidRPr="00EE003F">
        <w:rPr>
          <w:rFonts w:ascii="Arial Narrow" w:hAnsi="Arial Narrow" w:cs="Arial"/>
          <w:sz w:val="20"/>
          <w:szCs w:val="20"/>
          <w:lang w:val="es-ES_tradnl"/>
        </w:rPr>
        <w:tab/>
        <w:t>Gas natural vehicular</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GRD</w:t>
      </w:r>
      <w:r w:rsidRPr="00EE003F">
        <w:rPr>
          <w:rFonts w:ascii="Arial Narrow" w:hAnsi="Arial Narrow" w:cs="Arial"/>
          <w:sz w:val="20"/>
          <w:szCs w:val="20"/>
          <w:lang w:val="es-ES_tradnl"/>
        </w:rPr>
        <w:tab/>
        <w:t>Gestión del riesgo de desastres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HSH</w:t>
      </w:r>
      <w:r w:rsidRPr="00EE003F">
        <w:rPr>
          <w:rFonts w:ascii="Arial Narrow" w:hAnsi="Arial Narrow" w:cs="Arial"/>
          <w:sz w:val="20"/>
          <w:szCs w:val="20"/>
          <w:lang w:val="es-ES_tradnl"/>
        </w:rPr>
        <w:tab/>
        <w:t>Hombres que tienen sexo con hombres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ICR</w:t>
      </w:r>
      <w:r w:rsidRPr="00EE003F">
        <w:rPr>
          <w:rFonts w:ascii="Arial Narrow" w:hAnsi="Arial Narrow" w:cs="Arial"/>
          <w:sz w:val="20"/>
          <w:szCs w:val="20"/>
          <w:lang w:val="es-ES_tradnl"/>
        </w:rPr>
        <w:tab/>
        <w:t>Índice de Competitividad Regional</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ICVT</w:t>
      </w:r>
      <w:r w:rsidRPr="00EE003F">
        <w:rPr>
          <w:rFonts w:ascii="Arial Narrow" w:hAnsi="Arial Narrow" w:cs="Arial"/>
          <w:sz w:val="20"/>
          <w:szCs w:val="20"/>
          <w:lang w:val="es-ES_tradnl"/>
        </w:rPr>
        <w:tab/>
        <w:t>Índice de Competitividad de Viajes y Turismo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I + D</w:t>
      </w:r>
      <w:r w:rsidRPr="00EE003F">
        <w:rPr>
          <w:rFonts w:ascii="Arial Narrow" w:hAnsi="Arial Narrow" w:cs="Arial"/>
          <w:sz w:val="20"/>
          <w:szCs w:val="20"/>
          <w:lang w:val="es-ES_tradnl"/>
        </w:rPr>
        <w:tab/>
        <w:t>Producto Bruto Interno en Investigación y Desarrollo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IDH </w:t>
      </w:r>
      <w:r w:rsidRPr="00EE003F">
        <w:rPr>
          <w:rFonts w:ascii="Arial Narrow" w:hAnsi="Arial Narrow" w:cs="Arial"/>
          <w:sz w:val="20"/>
          <w:szCs w:val="20"/>
          <w:lang w:val="es-ES_tradnl"/>
        </w:rPr>
        <w:tab/>
        <w:t xml:space="preserve">Índice de Desarrollo Humano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IED </w:t>
      </w:r>
      <w:r w:rsidRPr="00EE003F">
        <w:rPr>
          <w:rFonts w:ascii="Arial Narrow" w:hAnsi="Arial Narrow" w:cs="Arial"/>
          <w:sz w:val="20"/>
          <w:szCs w:val="20"/>
          <w:lang w:val="es-ES_tradnl"/>
        </w:rPr>
        <w:tab/>
        <w:t xml:space="preserve">Inversión Extranjera Directa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IEP</w:t>
      </w:r>
      <w:r w:rsidRPr="00EE003F">
        <w:rPr>
          <w:rFonts w:ascii="Arial Narrow" w:hAnsi="Arial Narrow" w:cs="Arial"/>
          <w:sz w:val="20"/>
          <w:szCs w:val="20"/>
          <w:lang w:val="es-ES_tradnl"/>
        </w:rPr>
        <w:tab/>
        <w:t>Instituto de Estudios Peruanos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IFs</w:t>
      </w:r>
      <w:proofErr w:type="spellEnd"/>
      <w:r w:rsidRPr="00EE003F">
        <w:rPr>
          <w:rFonts w:ascii="Arial Narrow" w:hAnsi="Arial Narrow" w:cs="Arial"/>
          <w:sz w:val="20"/>
          <w:szCs w:val="20"/>
          <w:lang w:val="es-ES_tradnl"/>
        </w:rPr>
        <w:tab/>
        <w:t xml:space="preserve">Modelo International </w:t>
      </w:r>
      <w:proofErr w:type="spellStart"/>
      <w:r w:rsidRPr="00EE003F">
        <w:rPr>
          <w:rFonts w:ascii="Arial Narrow" w:hAnsi="Arial Narrow" w:cs="Arial"/>
          <w:sz w:val="20"/>
          <w:szCs w:val="20"/>
          <w:lang w:val="es-ES_tradnl"/>
        </w:rPr>
        <w:t>Futures</w:t>
      </w:r>
      <w:proofErr w:type="spellEnd"/>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Imarpe</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Instituto del Mar del Perú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INEI </w:t>
      </w:r>
      <w:r w:rsidRPr="00EE003F">
        <w:rPr>
          <w:rFonts w:ascii="Arial Narrow" w:hAnsi="Arial Narrow" w:cs="Arial"/>
          <w:sz w:val="20"/>
          <w:szCs w:val="20"/>
          <w:lang w:val="es-ES_tradnl"/>
        </w:rPr>
        <w:tab/>
        <w:t xml:space="preserve">Instituto Nacional de Estadística e Informática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IPCC</w:t>
      </w:r>
      <w:r w:rsidRPr="00EE003F">
        <w:rPr>
          <w:rFonts w:ascii="Arial Narrow" w:hAnsi="Arial Narrow" w:cs="Arial"/>
          <w:sz w:val="20"/>
          <w:szCs w:val="20"/>
          <w:lang w:val="es-ES_tradnl"/>
        </w:rPr>
        <w:tab/>
        <w:t>Panel Intergubernamental de Cambio Climático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IPC </w:t>
      </w:r>
      <w:r w:rsidRPr="00EE003F">
        <w:rPr>
          <w:rFonts w:ascii="Arial Narrow" w:hAnsi="Arial Narrow" w:cs="Arial"/>
          <w:sz w:val="20"/>
          <w:szCs w:val="20"/>
          <w:lang w:val="es-ES_tradnl"/>
        </w:rPr>
        <w:tab/>
        <w:t xml:space="preserve">Índice de Percepción de la Corrupción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IRA</w:t>
      </w:r>
      <w:r w:rsidRPr="00EE003F">
        <w:rPr>
          <w:rFonts w:ascii="Arial Narrow" w:hAnsi="Arial Narrow" w:cs="Arial"/>
          <w:sz w:val="20"/>
          <w:szCs w:val="20"/>
          <w:lang w:val="es-ES_tradnl"/>
        </w:rPr>
        <w:tab/>
        <w:t>Infección respiratoria aguda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ITS</w:t>
      </w:r>
      <w:r w:rsidRPr="00EE003F">
        <w:rPr>
          <w:rFonts w:ascii="Arial Narrow" w:hAnsi="Arial Narrow" w:cs="Arial"/>
          <w:sz w:val="20"/>
          <w:szCs w:val="20"/>
          <w:lang w:val="es-ES_tradnl"/>
        </w:rPr>
        <w:tab/>
        <w:t>Infección de transmisión sexual</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JNE </w:t>
      </w:r>
      <w:r w:rsidRPr="00EE003F">
        <w:rPr>
          <w:rFonts w:ascii="Arial Narrow" w:hAnsi="Arial Narrow" w:cs="Arial"/>
          <w:sz w:val="20"/>
          <w:szCs w:val="20"/>
          <w:lang w:val="es-ES_tradnl"/>
        </w:rPr>
        <w:tab/>
        <w:t xml:space="preserve">Jurado Nacional de Elecciones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Juntos</w:t>
      </w:r>
      <w:r w:rsidRPr="00EE003F">
        <w:rPr>
          <w:rFonts w:ascii="Arial Narrow" w:hAnsi="Arial Narrow" w:cs="Arial"/>
          <w:sz w:val="20"/>
          <w:szCs w:val="20"/>
          <w:lang w:val="es-ES_tradnl"/>
        </w:rPr>
        <w:tab/>
        <w:t xml:space="preserve">Programa Nacional de Apoyo Directo a los más Pobres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L</w:t>
      </w:r>
      <w:r w:rsidR="00DC4622" w:rsidRPr="00EE003F">
        <w:rPr>
          <w:rFonts w:ascii="Arial Narrow" w:hAnsi="Arial Narrow" w:cs="Arial"/>
          <w:sz w:val="20"/>
          <w:szCs w:val="20"/>
          <w:lang w:val="es-ES_tradnl"/>
        </w:rPr>
        <w:t>APOP</w:t>
      </w:r>
      <w:r w:rsidRPr="00EE003F">
        <w:rPr>
          <w:rFonts w:ascii="Arial Narrow" w:hAnsi="Arial Narrow" w:cs="Arial"/>
          <w:sz w:val="20"/>
          <w:szCs w:val="20"/>
          <w:lang w:val="es-ES_tradnl"/>
        </w:rPr>
        <w:tab/>
        <w:t>Proyecto de Opinión Pública de América Latina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LMP </w:t>
      </w:r>
      <w:r w:rsidRPr="00EE003F">
        <w:rPr>
          <w:rFonts w:ascii="Arial Narrow" w:hAnsi="Arial Narrow" w:cs="Arial"/>
          <w:sz w:val="20"/>
          <w:szCs w:val="20"/>
          <w:lang w:val="es-ES_tradnl"/>
        </w:rPr>
        <w:tab/>
        <w:t xml:space="preserve">Límite máximo permisible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Mbps</w:t>
      </w:r>
      <w:r w:rsidRPr="00EE003F">
        <w:rPr>
          <w:rFonts w:ascii="Arial Narrow" w:hAnsi="Arial Narrow" w:cs="Arial"/>
          <w:sz w:val="20"/>
          <w:szCs w:val="20"/>
          <w:lang w:val="es-ES_tradnl"/>
        </w:rPr>
        <w:tab/>
        <w:t>Megabits por segundo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MEF </w:t>
      </w:r>
      <w:r w:rsidRPr="00EE003F">
        <w:rPr>
          <w:rFonts w:ascii="Arial Narrow" w:hAnsi="Arial Narrow" w:cs="Arial"/>
          <w:sz w:val="20"/>
          <w:szCs w:val="20"/>
          <w:lang w:val="es-ES_tradnl"/>
        </w:rPr>
        <w:tab/>
        <w:t xml:space="preserve">Ministerio de Economía y Finanzas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MEM</w:t>
      </w:r>
      <w:r w:rsidRPr="00EE003F">
        <w:rPr>
          <w:rFonts w:ascii="Arial Narrow" w:hAnsi="Arial Narrow" w:cs="Arial"/>
          <w:sz w:val="20"/>
          <w:szCs w:val="20"/>
          <w:lang w:val="es-ES_tradnl"/>
        </w:rPr>
        <w:tab/>
        <w:t>Ministerio de Energía y Minas</w:t>
      </w:r>
    </w:p>
    <w:p w:rsidR="001E0D19" w:rsidRPr="00EE003F" w:rsidRDefault="00DC4622"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MIDIS</w:t>
      </w:r>
      <w:r w:rsidR="001E0D19" w:rsidRPr="00EE003F">
        <w:rPr>
          <w:rFonts w:ascii="Arial Narrow" w:hAnsi="Arial Narrow" w:cs="Arial"/>
          <w:sz w:val="20"/>
          <w:szCs w:val="20"/>
          <w:lang w:val="es-ES_tradnl"/>
        </w:rPr>
        <w:tab/>
        <w:t>Ministerio de Desarrollo e Inclusión Social</w:t>
      </w:r>
    </w:p>
    <w:p w:rsidR="001E0D19" w:rsidRPr="00EE003F" w:rsidRDefault="00DC4622"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MINAGRI</w:t>
      </w:r>
      <w:r w:rsidR="001E0D19" w:rsidRPr="00EE003F">
        <w:rPr>
          <w:rFonts w:ascii="Arial Narrow" w:hAnsi="Arial Narrow" w:cs="Arial"/>
          <w:sz w:val="20"/>
          <w:szCs w:val="20"/>
          <w:lang w:val="es-ES_tradnl"/>
        </w:rPr>
        <w:tab/>
        <w:t>Ministerio de Agricultura y Riego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w:t>
      </w:r>
      <w:r w:rsidR="00DC4622" w:rsidRPr="00EE003F">
        <w:rPr>
          <w:rFonts w:ascii="Arial Narrow" w:hAnsi="Arial Narrow" w:cs="Arial"/>
          <w:sz w:val="20"/>
          <w:szCs w:val="20"/>
          <w:lang w:val="es-ES_tradnl"/>
        </w:rPr>
        <w:t>INAM</w:t>
      </w:r>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Ministerio del Ambiente </w:t>
      </w:r>
    </w:p>
    <w:p w:rsidR="001E0D19" w:rsidRPr="00EE003F" w:rsidRDefault="00DC4622"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MINCETUR </w:t>
      </w:r>
      <w:r w:rsidR="001E0D19" w:rsidRPr="00EE003F">
        <w:rPr>
          <w:rFonts w:ascii="Arial Narrow" w:hAnsi="Arial Narrow" w:cs="Arial"/>
          <w:sz w:val="20"/>
          <w:szCs w:val="20"/>
          <w:lang w:val="es-ES_tradnl"/>
        </w:rPr>
        <w:tab/>
        <w:t xml:space="preserve">Ministerio de Comercio Exterior y Turismo </w:t>
      </w:r>
    </w:p>
    <w:p w:rsidR="001E0D19" w:rsidRPr="00EE003F" w:rsidRDefault="00DC4622"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MINDEF </w:t>
      </w:r>
      <w:r w:rsidR="001E0D19" w:rsidRPr="00EE003F">
        <w:rPr>
          <w:rFonts w:ascii="Arial Narrow" w:hAnsi="Arial Narrow" w:cs="Arial"/>
          <w:sz w:val="20"/>
          <w:szCs w:val="20"/>
          <w:lang w:val="es-ES_tradnl"/>
        </w:rPr>
        <w:tab/>
        <w:t xml:space="preserve">Ministerio de Defensa </w:t>
      </w:r>
    </w:p>
    <w:p w:rsidR="001E0D19" w:rsidRPr="00EE003F" w:rsidRDefault="00DC4622"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MINEDU</w:t>
      </w:r>
      <w:r w:rsidR="001E0D19" w:rsidRPr="00EE003F">
        <w:rPr>
          <w:rFonts w:ascii="Arial Narrow" w:hAnsi="Arial Narrow" w:cs="Arial"/>
          <w:sz w:val="20"/>
          <w:szCs w:val="20"/>
          <w:lang w:val="es-ES_tradnl"/>
        </w:rPr>
        <w:tab/>
        <w:t xml:space="preserve">Ministerio de Educación </w:t>
      </w:r>
    </w:p>
    <w:p w:rsidR="001E0D19" w:rsidRPr="00EE003F" w:rsidRDefault="00DC4622"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MINEM</w:t>
      </w:r>
      <w:r w:rsidR="001E0D19" w:rsidRPr="00EE003F">
        <w:rPr>
          <w:rFonts w:ascii="Arial Narrow" w:hAnsi="Arial Narrow" w:cs="Arial"/>
          <w:sz w:val="20"/>
          <w:szCs w:val="20"/>
          <w:lang w:val="es-ES_tradnl"/>
        </w:rPr>
        <w:tab/>
        <w:t xml:space="preserve">Ministerio de Energía y Minas </w:t>
      </w:r>
    </w:p>
    <w:p w:rsidR="001E0D19" w:rsidRPr="00EE003F" w:rsidRDefault="00DC4622"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MINJUS</w:t>
      </w:r>
      <w:r w:rsidR="001E0D19" w:rsidRPr="00EE003F">
        <w:rPr>
          <w:rFonts w:ascii="Arial Narrow" w:hAnsi="Arial Narrow" w:cs="Arial"/>
          <w:sz w:val="20"/>
          <w:szCs w:val="20"/>
          <w:lang w:val="es-ES_tradnl"/>
        </w:rPr>
        <w:tab/>
        <w:t xml:space="preserve">Ministerio de Justicia </w:t>
      </w:r>
    </w:p>
    <w:p w:rsidR="001E0D19" w:rsidRPr="00EE003F" w:rsidRDefault="00DC4622"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MINSA </w:t>
      </w:r>
      <w:r w:rsidR="001E0D19" w:rsidRPr="00EE003F">
        <w:rPr>
          <w:rFonts w:ascii="Arial Narrow" w:hAnsi="Arial Narrow" w:cs="Arial"/>
          <w:sz w:val="20"/>
          <w:szCs w:val="20"/>
          <w:lang w:val="es-ES_tradnl"/>
        </w:rPr>
        <w:tab/>
        <w:t xml:space="preserve">Ministerio de Salud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MIT</w:t>
      </w:r>
      <w:r w:rsidRPr="00EE003F">
        <w:rPr>
          <w:rFonts w:ascii="Arial Narrow" w:hAnsi="Arial Narrow" w:cs="Arial"/>
          <w:sz w:val="20"/>
          <w:szCs w:val="20"/>
          <w:lang w:val="es-ES_tradnl"/>
        </w:rPr>
        <w:tab/>
        <w:t>Instituto Tecnológico de Massachusetts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Mivivienda</w:t>
      </w:r>
      <w:proofErr w:type="spellEnd"/>
      <w:r w:rsidRPr="00EE003F">
        <w:rPr>
          <w:rFonts w:ascii="Arial Narrow" w:hAnsi="Arial Narrow" w:cs="Arial"/>
          <w:sz w:val="20"/>
          <w:szCs w:val="20"/>
          <w:lang w:val="es-ES_tradnl"/>
        </w:rPr>
        <w:tab/>
        <w:t xml:space="preserve">Fondo </w:t>
      </w:r>
      <w:proofErr w:type="spellStart"/>
      <w:r w:rsidRPr="00EE003F">
        <w:rPr>
          <w:rFonts w:ascii="Arial Narrow" w:hAnsi="Arial Narrow" w:cs="Arial"/>
          <w:sz w:val="20"/>
          <w:szCs w:val="20"/>
          <w:lang w:val="es-ES_tradnl"/>
        </w:rPr>
        <w:t>Mivivienda</w:t>
      </w:r>
      <w:proofErr w:type="spellEnd"/>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MMPCD</w:t>
      </w:r>
      <w:r w:rsidRPr="00EE003F">
        <w:rPr>
          <w:rFonts w:ascii="Arial Narrow" w:hAnsi="Arial Narrow" w:cs="Arial"/>
          <w:sz w:val="20"/>
          <w:szCs w:val="20"/>
          <w:lang w:val="es-ES_tradnl"/>
        </w:rPr>
        <w:tab/>
        <w:t>Millones de pies cúbicos diarios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MTC </w:t>
      </w:r>
      <w:r w:rsidRPr="00EE003F">
        <w:rPr>
          <w:rFonts w:ascii="Arial Narrow" w:hAnsi="Arial Narrow" w:cs="Arial"/>
          <w:sz w:val="20"/>
          <w:szCs w:val="20"/>
          <w:lang w:val="es-ES_tradnl"/>
        </w:rPr>
        <w:tab/>
        <w:t>Ministerio de Transportes y Comunicaciones</w:t>
      </w:r>
    </w:p>
    <w:p w:rsidR="00A95F7E" w:rsidRPr="00EE003F" w:rsidRDefault="00A95F7E" w:rsidP="00A95F7E">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MTPE </w:t>
      </w:r>
      <w:r w:rsidRPr="00EE003F">
        <w:rPr>
          <w:rFonts w:ascii="Arial Narrow" w:hAnsi="Arial Narrow" w:cs="Arial"/>
          <w:sz w:val="20"/>
          <w:szCs w:val="20"/>
          <w:lang w:val="es-ES_tradnl"/>
        </w:rPr>
        <w:tab/>
        <w:t>Ministerio de Trabajo y Promoción del Empleo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MVCS</w:t>
      </w:r>
      <w:r w:rsidRPr="00EE003F">
        <w:rPr>
          <w:rFonts w:ascii="Arial Narrow" w:hAnsi="Arial Narrow" w:cs="Arial"/>
          <w:sz w:val="20"/>
          <w:szCs w:val="20"/>
          <w:lang w:val="es-ES_tradnl"/>
        </w:rPr>
        <w:tab/>
        <w:t>Ministerio de Vivienda, Construcción y Saneamiento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MYPE </w:t>
      </w:r>
      <w:r w:rsidRPr="00EE003F">
        <w:rPr>
          <w:rFonts w:ascii="Arial Narrow" w:hAnsi="Arial Narrow" w:cs="Arial"/>
          <w:sz w:val="20"/>
          <w:szCs w:val="20"/>
          <w:lang w:val="es-ES_tradnl"/>
        </w:rPr>
        <w:tab/>
        <w:t>Mediana y Pequeña Empresa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MW</w:t>
      </w:r>
      <w:r w:rsidRPr="00EE003F">
        <w:rPr>
          <w:rFonts w:ascii="Arial Narrow" w:hAnsi="Arial Narrow" w:cs="Arial"/>
          <w:sz w:val="20"/>
          <w:szCs w:val="20"/>
          <w:lang w:val="es-ES_tradnl"/>
        </w:rPr>
        <w:tab/>
        <w:t>Megavatio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NRI</w:t>
      </w:r>
      <w:r w:rsidRPr="00EE003F">
        <w:rPr>
          <w:rFonts w:ascii="Arial Narrow" w:hAnsi="Arial Narrow" w:cs="Arial"/>
          <w:sz w:val="20"/>
          <w:szCs w:val="20"/>
          <w:lang w:val="es-ES_tradnl"/>
        </w:rPr>
        <w:tab/>
      </w:r>
      <w:proofErr w:type="spellStart"/>
      <w:r w:rsidRPr="00EE003F">
        <w:rPr>
          <w:rFonts w:ascii="Arial Narrow" w:hAnsi="Arial Narrow" w:cs="Arial"/>
          <w:sz w:val="20"/>
          <w:szCs w:val="20"/>
          <w:lang w:val="es-ES_tradnl"/>
        </w:rPr>
        <w:t>Ránking</w:t>
      </w:r>
      <w:proofErr w:type="spellEnd"/>
      <w:r w:rsidRPr="00EE003F">
        <w:rPr>
          <w:rFonts w:ascii="Arial Narrow" w:hAnsi="Arial Narrow" w:cs="Arial"/>
          <w:sz w:val="20"/>
          <w:szCs w:val="20"/>
          <w:lang w:val="es-ES_tradnl"/>
        </w:rPr>
        <w:t xml:space="preserve"> mundial de capacidad tecnológica (</w:t>
      </w:r>
      <w:proofErr w:type="spellStart"/>
      <w:r w:rsidRPr="00EE003F">
        <w:rPr>
          <w:rFonts w:ascii="Arial Narrow" w:hAnsi="Arial Narrow" w:cs="Arial"/>
          <w:sz w:val="20"/>
          <w:szCs w:val="20"/>
          <w:lang w:val="es-ES_tradnl"/>
        </w:rPr>
        <w:t>networked</w:t>
      </w:r>
      <w:proofErr w:type="spellEnd"/>
      <w:r w:rsidRPr="00EE003F">
        <w:rPr>
          <w:rFonts w:ascii="Arial Narrow" w:hAnsi="Arial Narrow" w:cs="Arial"/>
          <w:sz w:val="20"/>
          <w:szCs w:val="20"/>
          <w:lang w:val="es-ES_tradnl"/>
        </w:rPr>
        <w:t xml:space="preserve"> </w:t>
      </w:r>
      <w:proofErr w:type="spellStart"/>
      <w:r w:rsidRPr="00EE003F">
        <w:rPr>
          <w:rFonts w:ascii="Arial Narrow" w:hAnsi="Arial Narrow" w:cs="Arial"/>
          <w:sz w:val="20"/>
          <w:szCs w:val="20"/>
          <w:lang w:val="es-ES_tradnl"/>
        </w:rPr>
        <w:t>readiness</w:t>
      </w:r>
      <w:proofErr w:type="spellEnd"/>
      <w:r w:rsidRPr="00EE003F">
        <w:rPr>
          <w:rFonts w:ascii="Arial Narrow" w:hAnsi="Arial Narrow" w:cs="Arial"/>
          <w:sz w:val="20"/>
          <w:szCs w:val="20"/>
          <w:lang w:val="es-ES_tradnl"/>
        </w:rPr>
        <w:t xml:space="preserve"> </w:t>
      </w:r>
      <w:proofErr w:type="spellStart"/>
      <w:r w:rsidRPr="00EE003F">
        <w:rPr>
          <w:rFonts w:ascii="Arial Narrow" w:hAnsi="Arial Narrow" w:cs="Arial"/>
          <w:sz w:val="20"/>
          <w:szCs w:val="20"/>
          <w:lang w:val="es-ES_tradnl"/>
        </w:rPr>
        <w:t>index</w:t>
      </w:r>
      <w:proofErr w:type="spellEnd"/>
      <w:r w:rsidRPr="00EE003F">
        <w:rPr>
          <w:rFonts w:ascii="Arial Narrow" w:hAnsi="Arial Narrow" w:cs="Arial"/>
          <w:sz w:val="20"/>
          <w:szCs w:val="20"/>
          <w:lang w:val="es-ES_tradnl"/>
        </w:rPr>
        <w:t>)</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OACDH</w:t>
      </w:r>
      <w:r w:rsidRPr="00EE003F">
        <w:rPr>
          <w:rFonts w:ascii="Arial Narrow" w:hAnsi="Arial Narrow" w:cs="Arial"/>
          <w:sz w:val="20"/>
          <w:szCs w:val="20"/>
          <w:lang w:val="es-ES_tradnl"/>
        </w:rPr>
        <w:tab/>
        <w:t xml:space="preserve">Oficina del Alto Comisionado para los Derechos Humanos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OCDE </w:t>
      </w:r>
      <w:r w:rsidRPr="00EE003F">
        <w:rPr>
          <w:rFonts w:ascii="Arial Narrow" w:hAnsi="Arial Narrow" w:cs="Arial"/>
          <w:sz w:val="20"/>
          <w:szCs w:val="20"/>
          <w:lang w:val="es-ES_tradnl"/>
        </w:rPr>
        <w:tab/>
        <w:t xml:space="preserve">Organización para la Cooperación y el Desarrollo Económico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ODM</w:t>
      </w:r>
      <w:r w:rsidRPr="00EE003F">
        <w:rPr>
          <w:rFonts w:ascii="Arial Narrow" w:hAnsi="Arial Narrow" w:cs="Arial"/>
          <w:sz w:val="20"/>
          <w:szCs w:val="20"/>
          <w:lang w:val="es-ES_tradnl"/>
        </w:rPr>
        <w:tab/>
        <w:t>Objetivos de Desarrollo del Milenio</w:t>
      </w:r>
    </w:p>
    <w:p w:rsidR="00F11107" w:rsidRPr="00EE003F" w:rsidRDefault="00F11107"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ODS</w:t>
      </w:r>
      <w:r w:rsidRPr="00EE003F">
        <w:rPr>
          <w:rFonts w:ascii="Arial Narrow" w:hAnsi="Arial Narrow" w:cs="Arial"/>
          <w:sz w:val="20"/>
          <w:szCs w:val="20"/>
          <w:lang w:val="es-ES_tradnl"/>
        </w:rPr>
        <w:tab/>
        <w:t xml:space="preserve">Objetivos </w:t>
      </w:r>
      <w:r w:rsidR="00A36241" w:rsidRPr="00EE003F">
        <w:rPr>
          <w:rFonts w:ascii="Arial Narrow" w:hAnsi="Arial Narrow" w:cs="Arial"/>
          <w:sz w:val="20"/>
          <w:szCs w:val="20"/>
          <w:lang w:val="es-ES_tradnl"/>
        </w:rPr>
        <w:t>de Desarrollo Sostenible</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OEA</w:t>
      </w:r>
      <w:r w:rsidRPr="00EE003F">
        <w:rPr>
          <w:rFonts w:ascii="Arial Narrow" w:hAnsi="Arial Narrow" w:cs="Arial"/>
          <w:sz w:val="20"/>
          <w:szCs w:val="20"/>
          <w:lang w:val="es-ES_tradnl"/>
        </w:rPr>
        <w:tab/>
        <w:t>Organización de los Estados Americanos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OEFA </w:t>
      </w:r>
      <w:r w:rsidRPr="00EE003F">
        <w:rPr>
          <w:rFonts w:ascii="Arial Narrow" w:hAnsi="Arial Narrow" w:cs="Arial"/>
          <w:sz w:val="20"/>
          <w:szCs w:val="20"/>
          <w:lang w:val="es-ES_tradnl"/>
        </w:rPr>
        <w:tab/>
        <w:t xml:space="preserve">Organismo de Evaluación y Fiscalización Ambiental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OIM</w:t>
      </w:r>
      <w:r w:rsidRPr="00EE003F">
        <w:rPr>
          <w:rFonts w:ascii="Arial Narrow" w:hAnsi="Arial Narrow" w:cs="Arial"/>
          <w:sz w:val="20"/>
          <w:szCs w:val="20"/>
          <w:lang w:val="es-ES_tradnl"/>
        </w:rPr>
        <w:tab/>
        <w:t xml:space="preserve">Organización Internacional para las Migraciones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OIT </w:t>
      </w:r>
      <w:r w:rsidRPr="00EE003F">
        <w:rPr>
          <w:rFonts w:ascii="Arial Narrow" w:hAnsi="Arial Narrow" w:cs="Arial"/>
          <w:sz w:val="20"/>
          <w:szCs w:val="20"/>
          <w:lang w:val="es-ES_tradnl"/>
        </w:rPr>
        <w:tab/>
        <w:t xml:space="preserve">Organización Internacional del Trabajo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OMT</w:t>
      </w:r>
      <w:r w:rsidRPr="00EE003F">
        <w:rPr>
          <w:rFonts w:ascii="Arial Narrow" w:hAnsi="Arial Narrow" w:cs="Arial"/>
          <w:sz w:val="20"/>
          <w:szCs w:val="20"/>
          <w:lang w:val="es-ES_tradnl"/>
        </w:rPr>
        <w:tab/>
        <w:t>Organización Mundial del Turismo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OMS</w:t>
      </w:r>
      <w:r w:rsidRPr="00EE003F">
        <w:rPr>
          <w:rFonts w:ascii="Arial Narrow" w:hAnsi="Arial Narrow" w:cs="Arial"/>
          <w:sz w:val="20"/>
          <w:szCs w:val="20"/>
          <w:lang w:val="es-ES_tradnl"/>
        </w:rPr>
        <w:tab/>
        <w:t>Organización Mundial de la Salud</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ONDS</w:t>
      </w:r>
      <w:r w:rsidRPr="00EE003F">
        <w:rPr>
          <w:rFonts w:ascii="Arial Narrow" w:hAnsi="Arial Narrow" w:cs="Arial"/>
          <w:sz w:val="20"/>
          <w:szCs w:val="20"/>
          <w:lang w:val="es-ES_tradnl"/>
        </w:rPr>
        <w:tab/>
        <w:t>Oficina Nacional de Diálogo y Sostenibilidad de la Presidencia del Consejo de Ministros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ONPE </w:t>
      </w:r>
      <w:r w:rsidRPr="00EE003F">
        <w:rPr>
          <w:rFonts w:ascii="Arial Narrow" w:hAnsi="Arial Narrow" w:cs="Arial"/>
          <w:sz w:val="20"/>
          <w:szCs w:val="20"/>
          <w:lang w:val="es-ES_tradnl"/>
        </w:rPr>
        <w:tab/>
        <w:t xml:space="preserve">Oficina Nacional de Procesos Electorales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ONU</w:t>
      </w:r>
      <w:r w:rsidRPr="00EE003F">
        <w:rPr>
          <w:rFonts w:ascii="Arial Narrow" w:hAnsi="Arial Narrow" w:cs="Arial"/>
          <w:sz w:val="20"/>
          <w:szCs w:val="20"/>
          <w:lang w:val="es-ES_tradnl"/>
        </w:rPr>
        <w:tab/>
        <w:t>Organización de las Naciones Unidas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Osinergmin</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Organismo Supervisor de la Inversión en Energía y Minería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Osiptel</w:t>
      </w:r>
      <w:proofErr w:type="spellEnd"/>
      <w:r w:rsidRPr="00EE003F">
        <w:rPr>
          <w:rFonts w:ascii="Arial Narrow" w:hAnsi="Arial Narrow" w:cs="Arial"/>
          <w:sz w:val="20"/>
          <w:szCs w:val="20"/>
          <w:lang w:val="es-ES_tradnl"/>
        </w:rPr>
        <w:tab/>
        <w:t>Organismo Supervisor de Inversión Privada en Telecomunicaciones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PBI </w:t>
      </w:r>
      <w:r w:rsidRPr="00EE003F">
        <w:rPr>
          <w:rFonts w:ascii="Arial Narrow" w:hAnsi="Arial Narrow" w:cs="Arial"/>
          <w:sz w:val="20"/>
          <w:szCs w:val="20"/>
          <w:lang w:val="es-ES_tradnl"/>
        </w:rPr>
        <w:tab/>
        <w:t xml:space="preserve">Producto bruto interno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PCM </w:t>
      </w:r>
      <w:r w:rsidRPr="00EE003F">
        <w:rPr>
          <w:rFonts w:ascii="Arial Narrow" w:hAnsi="Arial Narrow" w:cs="Arial"/>
          <w:sz w:val="20"/>
          <w:szCs w:val="20"/>
          <w:lang w:val="es-ES_tradnl"/>
        </w:rPr>
        <w:tab/>
        <w:t xml:space="preserve">Presidencia del Consejo de Ministros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PEA </w:t>
      </w:r>
      <w:r w:rsidRPr="00EE003F">
        <w:rPr>
          <w:rFonts w:ascii="Arial Narrow" w:hAnsi="Arial Narrow" w:cs="Arial"/>
          <w:sz w:val="20"/>
          <w:szCs w:val="20"/>
          <w:lang w:val="es-ES_tradnl"/>
        </w:rPr>
        <w:tab/>
        <w:t xml:space="preserve">Población económicamente activa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PEDN</w:t>
      </w:r>
      <w:r w:rsidRPr="00EE003F">
        <w:rPr>
          <w:rFonts w:ascii="Arial Narrow" w:hAnsi="Arial Narrow" w:cs="Arial"/>
          <w:sz w:val="20"/>
          <w:szCs w:val="20"/>
          <w:lang w:val="es-ES_tradnl"/>
        </w:rPr>
        <w:tab/>
        <w:t>Plan Estratégico de Desarrollo Nacional</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w:t>
      </w:r>
      <w:r w:rsidR="001B3702" w:rsidRPr="00EE003F">
        <w:rPr>
          <w:rFonts w:ascii="Arial Narrow" w:hAnsi="Arial Narrow" w:cs="Arial"/>
          <w:sz w:val="20"/>
          <w:szCs w:val="20"/>
          <w:lang w:val="es-ES_tradnl"/>
        </w:rPr>
        <w:t>ENTUR</w:t>
      </w:r>
      <w:r w:rsidRPr="00EE003F">
        <w:rPr>
          <w:rFonts w:ascii="Arial Narrow" w:hAnsi="Arial Narrow" w:cs="Arial"/>
          <w:sz w:val="20"/>
          <w:szCs w:val="20"/>
          <w:lang w:val="es-ES_tradnl"/>
        </w:rPr>
        <w:t xml:space="preserve"> </w:t>
      </w:r>
      <w:r w:rsidR="001B3702" w:rsidRPr="00EE003F">
        <w:rPr>
          <w:rFonts w:ascii="Arial Narrow" w:hAnsi="Arial Narrow" w:cs="Arial"/>
          <w:sz w:val="20"/>
          <w:szCs w:val="20"/>
          <w:lang w:val="es-ES_tradnl"/>
        </w:rPr>
        <w:t>2021</w:t>
      </w:r>
      <w:r w:rsidRPr="00EE003F">
        <w:rPr>
          <w:rFonts w:ascii="Arial Narrow" w:hAnsi="Arial Narrow" w:cs="Arial"/>
          <w:sz w:val="20"/>
          <w:szCs w:val="20"/>
          <w:lang w:val="es-ES_tradnl"/>
        </w:rPr>
        <w:tab/>
        <w:t xml:space="preserve">Plan Estratégico Nacional de Turismo </w:t>
      </w:r>
      <w:r w:rsidR="001B3702" w:rsidRPr="00EE003F">
        <w:rPr>
          <w:rFonts w:ascii="Arial Narrow" w:hAnsi="Arial Narrow" w:cs="Arial"/>
          <w:sz w:val="20"/>
          <w:szCs w:val="20"/>
          <w:lang w:val="es-ES_tradnl"/>
        </w:rPr>
        <w:t>2021</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Pensión 65</w:t>
      </w:r>
      <w:r w:rsidRPr="00EE003F">
        <w:rPr>
          <w:rFonts w:ascii="Arial Narrow" w:hAnsi="Arial Narrow" w:cs="Arial"/>
          <w:sz w:val="20"/>
          <w:szCs w:val="20"/>
          <w:lang w:val="es-ES_tradnl"/>
        </w:rPr>
        <w:tab/>
        <w:t>Programa Nacional de Asistencia Solidaria</w:t>
      </w:r>
    </w:p>
    <w:p w:rsidR="00B377AC" w:rsidRPr="00EE003F" w:rsidRDefault="00B377AC"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PENX 2025</w:t>
      </w:r>
      <w:r w:rsidRPr="00EE003F">
        <w:rPr>
          <w:rFonts w:ascii="Arial Narrow" w:hAnsi="Arial Narrow" w:cs="Arial"/>
          <w:sz w:val="20"/>
          <w:szCs w:val="20"/>
          <w:lang w:val="es-ES_tradnl"/>
        </w:rPr>
        <w:tab/>
        <w:t>Plan Estratégico Nacional Exportador</w:t>
      </w:r>
      <w:r w:rsidR="001B3702" w:rsidRPr="00EE003F">
        <w:rPr>
          <w:rFonts w:ascii="Arial Narrow" w:hAnsi="Arial Narrow" w:cs="Arial"/>
          <w:sz w:val="20"/>
          <w:szCs w:val="20"/>
          <w:lang w:val="es-ES_tradnl"/>
        </w:rPr>
        <w:t xml:space="preserve"> 2021</w:t>
      </w:r>
    </w:p>
    <w:p w:rsidR="001E0D19" w:rsidRPr="00EE003F" w:rsidRDefault="00031B5C"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PESEM </w:t>
      </w:r>
      <w:r w:rsidR="001E0D19" w:rsidRPr="00EE003F">
        <w:rPr>
          <w:rFonts w:ascii="Arial Narrow" w:hAnsi="Arial Narrow" w:cs="Arial"/>
          <w:sz w:val="20"/>
          <w:szCs w:val="20"/>
          <w:lang w:val="es-ES_tradnl"/>
        </w:rPr>
        <w:tab/>
        <w:t xml:space="preserve">Plan Estratégico Sectorial Multianual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PISA </w:t>
      </w:r>
      <w:r w:rsidRPr="00EE003F">
        <w:rPr>
          <w:rFonts w:ascii="Arial Narrow" w:hAnsi="Arial Narrow" w:cs="Arial"/>
          <w:sz w:val="20"/>
          <w:szCs w:val="20"/>
          <w:lang w:val="es-ES_tradnl"/>
        </w:rPr>
        <w:tab/>
        <w:t xml:space="preserve">Programa para la Evaluación  Internacional de Alumnos </w:t>
      </w:r>
    </w:p>
    <w:p w:rsidR="00690EE6" w:rsidRPr="00EE003F" w:rsidRDefault="00690EE6" w:rsidP="00690EE6">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Planagerd</w:t>
      </w:r>
      <w:proofErr w:type="spellEnd"/>
      <w:r w:rsidRPr="00EE003F">
        <w:rPr>
          <w:rFonts w:ascii="Arial Narrow" w:hAnsi="Arial Narrow" w:cs="Arial"/>
          <w:sz w:val="20"/>
          <w:szCs w:val="20"/>
          <w:lang w:val="es-ES_tradnl"/>
        </w:rPr>
        <w:tab/>
        <w:t>Plan Nacional de Gestión del Riesgo de Desastres 2014 - 2021</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Plan CC</w:t>
      </w:r>
      <w:r w:rsidRPr="00EE003F">
        <w:rPr>
          <w:rFonts w:ascii="Arial Narrow" w:hAnsi="Arial Narrow" w:cs="Arial"/>
          <w:sz w:val="20"/>
          <w:szCs w:val="20"/>
          <w:lang w:val="es-ES_tradnl"/>
        </w:rPr>
        <w:tab/>
        <w:t>Planificación ante el Cambio Climático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PMA</w:t>
      </w:r>
      <w:r w:rsidRPr="00EE003F">
        <w:rPr>
          <w:rFonts w:ascii="Arial Narrow" w:hAnsi="Arial Narrow" w:cs="Arial"/>
          <w:sz w:val="20"/>
          <w:szCs w:val="20"/>
          <w:lang w:val="es-ES_tradnl"/>
        </w:rPr>
        <w:tab/>
        <w:t>Programa Mundial de Alimentos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PM 2,5</w:t>
      </w:r>
      <w:r w:rsidRPr="00EE003F">
        <w:rPr>
          <w:rFonts w:ascii="Arial Narrow" w:hAnsi="Arial Narrow" w:cs="Arial"/>
          <w:sz w:val="20"/>
          <w:szCs w:val="20"/>
          <w:lang w:val="es-ES_tradnl"/>
        </w:rPr>
        <w:tab/>
        <w:t xml:space="preserve">Material </w:t>
      </w:r>
      <w:proofErr w:type="spellStart"/>
      <w:r w:rsidRPr="00EE003F">
        <w:rPr>
          <w:rFonts w:ascii="Arial Narrow" w:hAnsi="Arial Narrow" w:cs="Arial"/>
          <w:sz w:val="20"/>
          <w:szCs w:val="20"/>
          <w:lang w:val="es-ES_tradnl"/>
        </w:rPr>
        <w:t>particulado</w:t>
      </w:r>
      <w:proofErr w:type="spellEnd"/>
      <w:r w:rsidRPr="00EE003F">
        <w:rPr>
          <w:rFonts w:ascii="Arial Narrow" w:hAnsi="Arial Narrow" w:cs="Arial"/>
          <w:sz w:val="20"/>
          <w:szCs w:val="20"/>
          <w:lang w:val="es-ES_tradnl"/>
        </w:rPr>
        <w:t xml:space="preserve"> de diámetro menor a 2,5 micras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PM 10</w:t>
      </w:r>
      <w:r w:rsidRPr="00EE003F">
        <w:rPr>
          <w:rFonts w:ascii="Arial Narrow" w:hAnsi="Arial Narrow" w:cs="Arial"/>
          <w:sz w:val="20"/>
          <w:szCs w:val="20"/>
          <w:lang w:val="es-ES_tradnl"/>
        </w:rPr>
        <w:tab/>
        <w:t xml:space="preserve">Material </w:t>
      </w:r>
      <w:proofErr w:type="spellStart"/>
      <w:r w:rsidRPr="00EE003F">
        <w:rPr>
          <w:rFonts w:ascii="Arial Narrow" w:hAnsi="Arial Narrow" w:cs="Arial"/>
          <w:sz w:val="20"/>
          <w:szCs w:val="20"/>
          <w:lang w:val="es-ES_tradnl"/>
        </w:rPr>
        <w:t>particulado</w:t>
      </w:r>
      <w:proofErr w:type="spellEnd"/>
      <w:r w:rsidRPr="00EE003F">
        <w:rPr>
          <w:rFonts w:ascii="Arial Narrow" w:hAnsi="Arial Narrow" w:cs="Arial"/>
          <w:sz w:val="20"/>
          <w:szCs w:val="20"/>
          <w:lang w:val="es-ES_tradnl"/>
        </w:rPr>
        <w:t xml:space="preserve"> </w:t>
      </w:r>
      <w:r w:rsidR="004A68D1" w:rsidRPr="00EE003F">
        <w:rPr>
          <w:rFonts w:ascii="Arial Narrow" w:hAnsi="Arial Narrow" w:cs="Arial"/>
          <w:sz w:val="20"/>
          <w:szCs w:val="20"/>
          <w:lang w:val="es-ES_tradnl"/>
        </w:rPr>
        <w:t xml:space="preserve">de diámetro </w:t>
      </w:r>
      <w:r w:rsidRPr="00EE003F">
        <w:rPr>
          <w:rFonts w:ascii="Arial Narrow" w:hAnsi="Arial Narrow" w:cs="Arial"/>
          <w:sz w:val="20"/>
          <w:szCs w:val="20"/>
          <w:lang w:val="es-ES_tradnl"/>
        </w:rPr>
        <w:t>menor a 10 micras</w:t>
      </w:r>
    </w:p>
    <w:p w:rsidR="00263EEC" w:rsidRPr="00EE003F" w:rsidRDefault="00263EEC"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PNSAN</w:t>
      </w:r>
      <w:r w:rsidRPr="00EE003F">
        <w:rPr>
          <w:rFonts w:ascii="Arial Narrow" w:hAnsi="Arial Narrow" w:cs="Arial"/>
          <w:sz w:val="20"/>
          <w:szCs w:val="20"/>
          <w:lang w:val="es-ES_tradnl"/>
        </w:rPr>
        <w:tab/>
        <w:t>Plan Nacional de Seguridad Alimentaria y Nutricional 2015-2021</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PNDBA</w:t>
      </w:r>
      <w:r w:rsidRPr="00EE003F">
        <w:rPr>
          <w:rFonts w:ascii="Arial Narrow" w:hAnsi="Arial Narrow" w:cs="Arial"/>
          <w:sz w:val="20"/>
          <w:szCs w:val="20"/>
          <w:lang w:val="es-ES_tradnl"/>
        </w:rPr>
        <w:tab/>
        <w:t>Plan Nacional de Desarrollo de Banda Ancha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PNMGP</w:t>
      </w:r>
      <w:r w:rsidRPr="00EE003F">
        <w:rPr>
          <w:rFonts w:ascii="Arial Narrow" w:hAnsi="Arial Narrow" w:cs="Arial"/>
          <w:sz w:val="20"/>
          <w:szCs w:val="20"/>
          <w:lang w:val="es-ES_tradnl"/>
        </w:rPr>
        <w:tab/>
        <w:t>Política Nacional de Modernización de la Gestión Pública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PNP</w:t>
      </w:r>
      <w:r w:rsidRPr="00EE003F">
        <w:rPr>
          <w:rFonts w:ascii="Arial Narrow" w:hAnsi="Arial Narrow" w:cs="Arial"/>
          <w:sz w:val="20"/>
          <w:szCs w:val="20"/>
          <w:lang w:val="es-ES_tradnl"/>
        </w:rPr>
        <w:tab/>
        <w:t>Policía Nacional del Perú</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PNUD </w:t>
      </w:r>
      <w:r w:rsidRPr="00EE003F">
        <w:rPr>
          <w:rFonts w:ascii="Arial Narrow" w:hAnsi="Arial Narrow" w:cs="Arial"/>
          <w:sz w:val="20"/>
          <w:szCs w:val="20"/>
          <w:lang w:val="es-ES_tradnl"/>
        </w:rPr>
        <w:tab/>
        <w:t xml:space="preserve">Programa de las Naciones Unidas para el Desarrollo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PNUMA</w:t>
      </w:r>
      <w:r w:rsidRPr="00EE003F">
        <w:rPr>
          <w:rFonts w:ascii="Arial Narrow" w:hAnsi="Arial Narrow" w:cs="Arial"/>
          <w:sz w:val="20"/>
          <w:szCs w:val="20"/>
          <w:lang w:val="es-ES_tradnl"/>
        </w:rPr>
        <w:tab/>
        <w:t>Programa de las Naciones Unidas para el Medio Ambiente</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PPP</w:t>
      </w:r>
      <w:r w:rsidRPr="00EE003F">
        <w:rPr>
          <w:rFonts w:ascii="Arial Narrow" w:hAnsi="Arial Narrow" w:cs="Arial"/>
          <w:sz w:val="20"/>
          <w:szCs w:val="20"/>
          <w:lang w:val="es-ES_tradnl"/>
        </w:rPr>
        <w:tab/>
        <w:t>Producto bruto interno per cápita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Produce</w:t>
      </w:r>
      <w:r w:rsidRPr="00EE003F">
        <w:rPr>
          <w:rFonts w:ascii="Arial Narrow" w:hAnsi="Arial Narrow" w:cs="Arial"/>
          <w:sz w:val="20"/>
          <w:szCs w:val="20"/>
          <w:lang w:val="es-ES_tradnl"/>
        </w:rPr>
        <w:tab/>
        <w:t>Ministerio de la Producción</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Proinversión</w:t>
      </w:r>
      <w:proofErr w:type="spellEnd"/>
      <w:r w:rsidRPr="00EE003F">
        <w:rPr>
          <w:rFonts w:ascii="Arial Narrow" w:hAnsi="Arial Narrow" w:cs="Arial"/>
          <w:sz w:val="20"/>
          <w:szCs w:val="20"/>
          <w:lang w:val="es-ES_tradnl"/>
        </w:rPr>
        <w:tab/>
        <w:t>Agencia de Promoción de la Inversión Privada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PromPerú</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Comisión de Promoción del Perú para la Exportación y el Turismo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Qali</w:t>
      </w:r>
      <w:proofErr w:type="spellEnd"/>
      <w:r w:rsidRPr="00EE003F">
        <w:rPr>
          <w:rFonts w:ascii="Arial Narrow" w:hAnsi="Arial Narrow" w:cs="Arial"/>
          <w:sz w:val="20"/>
          <w:szCs w:val="20"/>
          <w:lang w:val="es-ES_tradnl"/>
        </w:rPr>
        <w:t xml:space="preserve"> </w:t>
      </w:r>
      <w:proofErr w:type="spellStart"/>
      <w:r w:rsidRPr="00EE003F">
        <w:rPr>
          <w:rFonts w:ascii="Arial Narrow" w:hAnsi="Arial Narrow" w:cs="Arial"/>
          <w:sz w:val="20"/>
          <w:szCs w:val="20"/>
          <w:lang w:val="es-ES_tradnl"/>
        </w:rPr>
        <w:t>Warma</w:t>
      </w:r>
      <w:proofErr w:type="spellEnd"/>
      <w:r w:rsidRPr="00EE003F">
        <w:rPr>
          <w:rFonts w:ascii="Arial Narrow" w:hAnsi="Arial Narrow" w:cs="Arial"/>
          <w:sz w:val="20"/>
          <w:szCs w:val="20"/>
          <w:lang w:val="es-ES_tradnl"/>
        </w:rPr>
        <w:tab/>
        <w:t xml:space="preserve">Programa Nacional de Alimentación Escolar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Reniec</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Registro Nacional de Identificación y Estado Civil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RICYT </w:t>
      </w:r>
      <w:r w:rsidRPr="00EE003F">
        <w:rPr>
          <w:rFonts w:ascii="Arial Narrow" w:hAnsi="Arial Narrow" w:cs="Arial"/>
          <w:sz w:val="20"/>
          <w:szCs w:val="20"/>
          <w:lang w:val="es-ES_tradnl"/>
        </w:rPr>
        <w:tab/>
        <w:t xml:space="preserve">Red de Indicadores de Ciencia y Tecnología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RR. NN.</w:t>
      </w:r>
      <w:r w:rsidRPr="00EE003F">
        <w:rPr>
          <w:rFonts w:ascii="Arial Narrow" w:hAnsi="Arial Narrow" w:cs="Arial"/>
          <w:sz w:val="20"/>
          <w:szCs w:val="20"/>
          <w:lang w:val="es-ES_tradnl"/>
        </w:rPr>
        <w:tab/>
        <w:t xml:space="preserve">Recursos naturales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SAMU</w:t>
      </w:r>
      <w:r w:rsidRPr="00EE003F">
        <w:rPr>
          <w:rFonts w:ascii="Arial Narrow" w:hAnsi="Arial Narrow" w:cs="Arial"/>
          <w:sz w:val="20"/>
          <w:szCs w:val="20"/>
          <w:lang w:val="es-ES_tradnl"/>
        </w:rPr>
        <w:tab/>
        <w:t>Sistema de Atención Médica Móvil de Urgencia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SBS</w:t>
      </w:r>
      <w:r w:rsidRPr="00EE003F">
        <w:rPr>
          <w:rFonts w:ascii="Arial Narrow" w:hAnsi="Arial Narrow" w:cs="Arial"/>
          <w:sz w:val="20"/>
          <w:szCs w:val="20"/>
          <w:lang w:val="es-ES_tradnl"/>
        </w:rPr>
        <w:tab/>
        <w:t>Superintendencia de Banca, Seguros y AFP</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Sedapal</w:t>
      </w:r>
      <w:proofErr w:type="spellEnd"/>
      <w:r w:rsidRPr="00EE003F">
        <w:rPr>
          <w:rFonts w:ascii="Arial Narrow" w:hAnsi="Arial Narrow" w:cs="Arial"/>
          <w:sz w:val="20"/>
          <w:szCs w:val="20"/>
          <w:lang w:val="es-ES_tradnl"/>
        </w:rPr>
        <w:tab/>
        <w:t>Servicio de Agua Potable y Alcantarillado de Lima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SEDLAC</w:t>
      </w:r>
      <w:r w:rsidRPr="00EE003F">
        <w:rPr>
          <w:rFonts w:ascii="Arial Narrow" w:hAnsi="Arial Narrow" w:cs="Arial"/>
          <w:sz w:val="20"/>
          <w:szCs w:val="20"/>
          <w:lang w:val="es-ES_tradnl"/>
        </w:rPr>
        <w:tab/>
        <w:t>Base de Datos Socioeconómicos para América Latina y el Caribe</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SEIN </w:t>
      </w:r>
      <w:r w:rsidRPr="00EE003F">
        <w:rPr>
          <w:rFonts w:ascii="Arial Narrow" w:hAnsi="Arial Narrow" w:cs="Arial"/>
          <w:sz w:val="20"/>
          <w:szCs w:val="20"/>
          <w:lang w:val="es-ES_tradnl"/>
        </w:rPr>
        <w:tab/>
        <w:t xml:space="preserve">Sistema Eléctrico Interconectado Nacional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pacing w:val="-2"/>
          <w:sz w:val="20"/>
          <w:szCs w:val="20"/>
          <w:lang w:val="es-ES_tradnl"/>
        </w:rPr>
        <w:t>Senace</w:t>
      </w:r>
      <w:proofErr w:type="spellEnd"/>
      <w:r w:rsidRPr="00EE003F">
        <w:rPr>
          <w:rFonts w:ascii="Arial Narrow" w:hAnsi="Arial Narrow" w:cs="Arial"/>
          <w:spacing w:val="-2"/>
          <w:sz w:val="20"/>
          <w:szCs w:val="20"/>
          <w:lang w:val="es-ES_tradnl"/>
        </w:rPr>
        <w:tab/>
        <w:t>Servicio Nacional de Certificación Ambiental para las Inversiones Sostenibles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Sencico</w:t>
      </w:r>
      <w:proofErr w:type="spellEnd"/>
      <w:r w:rsidRPr="00EE003F">
        <w:rPr>
          <w:rFonts w:ascii="Arial Narrow" w:hAnsi="Arial Narrow" w:cs="Arial"/>
          <w:sz w:val="20"/>
          <w:szCs w:val="20"/>
          <w:lang w:val="es-ES_tradnl"/>
        </w:rPr>
        <w:tab/>
        <w:t>Servicio Nacional de Capacitación para la Industria de la Construcción</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Serfor</w:t>
      </w:r>
      <w:proofErr w:type="spellEnd"/>
      <w:r w:rsidRPr="00EE003F">
        <w:rPr>
          <w:rFonts w:ascii="Arial Narrow" w:hAnsi="Arial Narrow" w:cs="Arial"/>
          <w:sz w:val="20"/>
          <w:szCs w:val="20"/>
          <w:lang w:val="es-ES_tradnl"/>
        </w:rPr>
        <w:tab/>
        <w:t>Servicio Nacional Forestal y de Fauna Silvestre</w:t>
      </w:r>
    </w:p>
    <w:p w:rsidR="00690EE6" w:rsidRPr="00EE003F" w:rsidRDefault="00690EE6"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Sinagerd</w:t>
      </w:r>
      <w:proofErr w:type="spellEnd"/>
      <w:r w:rsidRPr="00EE003F">
        <w:rPr>
          <w:rFonts w:ascii="Arial Narrow" w:hAnsi="Arial Narrow" w:cs="Arial"/>
          <w:sz w:val="20"/>
          <w:szCs w:val="20"/>
          <w:lang w:val="es-ES_tradnl"/>
        </w:rPr>
        <w:tab/>
        <w:t>Sistema Nacional de Gestión del Riesgo de Desastres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Sida</w:t>
      </w:r>
      <w:r w:rsidRPr="00EE003F">
        <w:rPr>
          <w:rFonts w:ascii="Arial Narrow" w:hAnsi="Arial Narrow" w:cs="Arial"/>
          <w:sz w:val="20"/>
          <w:szCs w:val="20"/>
          <w:lang w:val="es-ES_tradnl"/>
        </w:rPr>
        <w:tab/>
        <w:t xml:space="preserve">Síndrome de </w:t>
      </w:r>
      <w:proofErr w:type="spellStart"/>
      <w:r w:rsidRPr="00EE003F">
        <w:rPr>
          <w:rFonts w:ascii="Arial Narrow" w:hAnsi="Arial Narrow" w:cs="Arial"/>
          <w:sz w:val="20"/>
          <w:szCs w:val="20"/>
          <w:lang w:val="es-ES_tradnl"/>
        </w:rPr>
        <w:t>Inmuno</w:t>
      </w:r>
      <w:proofErr w:type="spellEnd"/>
      <w:r w:rsidRPr="00EE003F">
        <w:rPr>
          <w:rFonts w:ascii="Arial Narrow" w:hAnsi="Arial Narrow" w:cs="Arial"/>
          <w:sz w:val="20"/>
          <w:szCs w:val="20"/>
          <w:lang w:val="es-ES_tradnl"/>
        </w:rPr>
        <w:t xml:space="preserve"> Deficiencia Adquirida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SIG</w:t>
      </w:r>
      <w:r w:rsidRPr="00EE003F">
        <w:rPr>
          <w:rFonts w:ascii="Arial Narrow" w:hAnsi="Arial Narrow" w:cs="Arial"/>
          <w:sz w:val="20"/>
          <w:szCs w:val="20"/>
          <w:lang w:val="es-ES_tradnl"/>
        </w:rPr>
        <w:tab/>
        <w:t>Sistema de Información Geográfica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Sinafor</w:t>
      </w:r>
      <w:proofErr w:type="spellEnd"/>
      <w:r w:rsidRPr="00EE003F">
        <w:rPr>
          <w:rFonts w:ascii="Arial Narrow" w:hAnsi="Arial Narrow" w:cs="Arial"/>
          <w:sz w:val="20"/>
          <w:szCs w:val="20"/>
          <w:lang w:val="es-ES_tradnl"/>
        </w:rPr>
        <w:tab/>
        <w:t>Sistema Nacional de Gestión Forestal y de Fauna Silvestre</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Sinanpe</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Sistema Nacional de Áreas Naturales Protegidas por el Estado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SIS </w:t>
      </w:r>
      <w:r w:rsidRPr="00EE003F">
        <w:rPr>
          <w:rFonts w:ascii="Arial Narrow" w:hAnsi="Arial Narrow" w:cs="Arial"/>
          <w:sz w:val="20"/>
          <w:szCs w:val="20"/>
          <w:lang w:val="es-ES_tradnl"/>
        </w:rPr>
        <w:tab/>
        <w:t xml:space="preserve">Seguro Integral de Salud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SISS</w:t>
      </w:r>
      <w:r w:rsidRPr="00EE003F">
        <w:rPr>
          <w:rFonts w:ascii="Arial Narrow" w:hAnsi="Arial Narrow" w:cs="Arial"/>
          <w:sz w:val="20"/>
          <w:szCs w:val="20"/>
          <w:lang w:val="es-ES_tradnl"/>
        </w:rPr>
        <w:tab/>
        <w:t>Superintendencia de Seguridad y Saneamiento de Chile</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SMV</w:t>
      </w:r>
      <w:r w:rsidRPr="00EE003F">
        <w:rPr>
          <w:rFonts w:ascii="Arial Narrow" w:hAnsi="Arial Narrow" w:cs="Arial"/>
          <w:sz w:val="20"/>
          <w:szCs w:val="20"/>
          <w:lang w:val="es-ES_tradnl"/>
        </w:rPr>
        <w:tab/>
        <w:t>Servicio Militar Voluntario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SNIP </w:t>
      </w:r>
      <w:r w:rsidRPr="00EE003F">
        <w:rPr>
          <w:rFonts w:ascii="Arial Narrow" w:hAnsi="Arial Narrow" w:cs="Arial"/>
          <w:sz w:val="20"/>
          <w:szCs w:val="20"/>
          <w:lang w:val="es-ES_tradnl"/>
        </w:rPr>
        <w:tab/>
        <w:t xml:space="preserve">Sistema Nacional de Inversión Pública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proofErr w:type="spellStart"/>
      <w:r w:rsidRPr="00EE003F">
        <w:rPr>
          <w:rFonts w:ascii="Arial Narrow" w:hAnsi="Arial Narrow" w:cs="Arial"/>
          <w:sz w:val="20"/>
          <w:szCs w:val="20"/>
          <w:lang w:val="es-ES_tradnl"/>
        </w:rPr>
        <w:t>Sunass</w:t>
      </w:r>
      <w:proofErr w:type="spellEnd"/>
      <w:r w:rsidRPr="00EE003F">
        <w:rPr>
          <w:rFonts w:ascii="Arial Narrow" w:hAnsi="Arial Narrow" w:cs="Arial"/>
          <w:sz w:val="20"/>
          <w:szCs w:val="20"/>
          <w:lang w:val="es-ES_tradnl"/>
        </w:rPr>
        <w:t xml:space="preserve"> </w:t>
      </w:r>
      <w:r w:rsidRPr="00EE003F">
        <w:rPr>
          <w:rFonts w:ascii="Arial Narrow" w:hAnsi="Arial Narrow" w:cs="Arial"/>
          <w:sz w:val="20"/>
          <w:szCs w:val="20"/>
          <w:lang w:val="es-ES_tradnl"/>
        </w:rPr>
        <w:tab/>
        <w:t xml:space="preserve">Superintendencia Nacional de Servicios de Saneamiento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Techo Propio</w:t>
      </w:r>
      <w:r w:rsidRPr="00EE003F">
        <w:rPr>
          <w:rFonts w:ascii="Arial Narrow" w:hAnsi="Arial Narrow" w:cs="Arial"/>
          <w:sz w:val="20"/>
          <w:szCs w:val="20"/>
          <w:lang w:val="es-ES_tradnl"/>
        </w:rPr>
        <w:tab/>
        <w:t>Programa Techo Propio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TIC </w:t>
      </w:r>
      <w:r w:rsidRPr="00EE003F">
        <w:rPr>
          <w:rFonts w:ascii="Arial Narrow" w:hAnsi="Arial Narrow" w:cs="Arial"/>
          <w:sz w:val="20"/>
          <w:szCs w:val="20"/>
          <w:lang w:val="es-ES_tradnl"/>
        </w:rPr>
        <w:tab/>
        <w:t xml:space="preserve"> Tecnologías de la información y la comunicación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TMB</w:t>
      </w:r>
      <w:r w:rsidRPr="00EE003F">
        <w:rPr>
          <w:rFonts w:ascii="Arial Narrow" w:hAnsi="Arial Narrow" w:cs="Arial"/>
          <w:sz w:val="20"/>
          <w:szCs w:val="20"/>
          <w:lang w:val="es-ES_tradnl"/>
        </w:rPr>
        <w:tab/>
        <w:t>Tonelada métrica bruta</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UCI</w:t>
      </w:r>
      <w:r w:rsidRPr="00EE003F">
        <w:rPr>
          <w:rFonts w:ascii="Arial Narrow" w:hAnsi="Arial Narrow" w:cs="Arial"/>
          <w:sz w:val="20"/>
          <w:szCs w:val="20"/>
          <w:lang w:val="es-ES_tradnl"/>
        </w:rPr>
        <w:tab/>
        <w:t>Unidad de cuidados intensivos</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UNEP</w:t>
      </w:r>
      <w:r w:rsidRPr="00EE003F">
        <w:rPr>
          <w:rFonts w:ascii="Arial Narrow" w:hAnsi="Arial Narrow" w:cs="Arial"/>
          <w:sz w:val="20"/>
          <w:szCs w:val="20"/>
          <w:lang w:val="es-ES_tradnl"/>
        </w:rPr>
        <w:tab/>
        <w:t>Programa de las Naciones Unidas para el Medio Ambiente</w:t>
      </w:r>
    </w:p>
    <w:p w:rsidR="001E0D19" w:rsidRPr="00EE003F" w:rsidRDefault="004A68D1"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UNESCO </w:t>
      </w:r>
      <w:r w:rsidR="001E0D19" w:rsidRPr="00EE003F">
        <w:rPr>
          <w:rFonts w:ascii="Arial Narrow" w:hAnsi="Arial Narrow" w:cs="Arial"/>
          <w:sz w:val="20"/>
          <w:szCs w:val="20"/>
          <w:lang w:val="es-ES_tradnl"/>
        </w:rPr>
        <w:tab/>
      </w:r>
      <w:r w:rsidR="001E0D19" w:rsidRPr="00EE003F">
        <w:rPr>
          <w:rFonts w:ascii="Arial Narrow" w:hAnsi="Arial Narrow" w:cs="Arial"/>
          <w:spacing w:val="-4"/>
          <w:sz w:val="20"/>
          <w:szCs w:val="20"/>
          <w:lang w:val="es-ES_tradnl"/>
        </w:rPr>
        <w:t xml:space="preserve">Organización de las Naciones Unidas para la Educación, la Ciencia y la Cultura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UNFPA</w:t>
      </w:r>
      <w:r w:rsidRPr="00EE003F">
        <w:rPr>
          <w:rFonts w:ascii="Arial Narrow" w:hAnsi="Arial Narrow" w:cs="Arial"/>
          <w:sz w:val="20"/>
          <w:szCs w:val="20"/>
          <w:lang w:val="es-ES_tradnl"/>
        </w:rPr>
        <w:tab/>
        <w:t xml:space="preserve">Fondo de Población de las Naciones Unidas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n-US"/>
        </w:rPr>
      </w:pPr>
      <w:r w:rsidRPr="00EE003F">
        <w:rPr>
          <w:rFonts w:ascii="Arial Narrow" w:hAnsi="Arial Narrow" w:cs="Arial"/>
          <w:sz w:val="20"/>
          <w:szCs w:val="20"/>
          <w:lang w:val="en-US"/>
        </w:rPr>
        <w:t>UNPACS</w:t>
      </w:r>
      <w:r w:rsidRPr="00EE003F">
        <w:rPr>
          <w:rFonts w:ascii="Arial Narrow" w:hAnsi="Arial Narrow" w:cs="Arial"/>
          <w:sz w:val="20"/>
          <w:szCs w:val="20"/>
          <w:lang w:val="en-US"/>
        </w:rPr>
        <w:tab/>
        <w:t>United Nations Public Administration Country Studies</w:t>
      </w:r>
    </w:p>
    <w:p w:rsidR="001E0D19" w:rsidRPr="00EE003F" w:rsidRDefault="004A68D1"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USAID</w:t>
      </w:r>
      <w:r w:rsidR="001E0D19" w:rsidRPr="00EE003F">
        <w:rPr>
          <w:rFonts w:ascii="Arial Narrow" w:hAnsi="Arial Narrow" w:cs="Arial"/>
          <w:sz w:val="20"/>
          <w:szCs w:val="20"/>
          <w:lang w:val="es-ES_tradnl"/>
        </w:rPr>
        <w:t xml:space="preserve"> </w:t>
      </w:r>
      <w:r w:rsidR="001E0D19" w:rsidRPr="00EE003F">
        <w:rPr>
          <w:rFonts w:ascii="Arial Narrow" w:hAnsi="Arial Narrow" w:cs="Arial"/>
          <w:sz w:val="20"/>
          <w:szCs w:val="20"/>
          <w:lang w:val="es-ES_tradnl"/>
        </w:rPr>
        <w:tab/>
        <w:t>Agencia de los Estados Unidos para el Desarrollo Internacional</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VAB </w:t>
      </w:r>
      <w:r w:rsidRPr="00EE003F">
        <w:rPr>
          <w:rFonts w:ascii="Arial Narrow" w:hAnsi="Arial Narrow" w:cs="Arial"/>
          <w:sz w:val="20"/>
          <w:szCs w:val="20"/>
          <w:lang w:val="es-ES_tradnl"/>
        </w:rPr>
        <w:tab/>
        <w:t xml:space="preserve">Valor agregado bruto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 xml:space="preserve">VIH </w:t>
      </w:r>
      <w:r w:rsidRPr="00EE003F">
        <w:rPr>
          <w:rFonts w:ascii="Arial Narrow" w:hAnsi="Arial Narrow" w:cs="Arial"/>
          <w:sz w:val="20"/>
          <w:szCs w:val="20"/>
          <w:lang w:val="es-ES_tradnl"/>
        </w:rPr>
        <w:tab/>
        <w:t xml:space="preserve">Virus de inmunodeficiencia humana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Vivienda</w:t>
      </w:r>
      <w:r w:rsidRPr="00EE003F">
        <w:rPr>
          <w:rFonts w:ascii="Arial Narrow" w:hAnsi="Arial Narrow" w:cs="Arial"/>
          <w:sz w:val="20"/>
          <w:szCs w:val="20"/>
          <w:lang w:val="es-ES_tradnl"/>
        </w:rPr>
        <w:tab/>
        <w:t>Ministerio de Vivienda, Construcción y Saneamiento</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VRAEM</w:t>
      </w:r>
      <w:r w:rsidRPr="00EE003F">
        <w:rPr>
          <w:rFonts w:ascii="Arial Narrow" w:hAnsi="Arial Narrow" w:cs="Arial"/>
          <w:sz w:val="20"/>
          <w:szCs w:val="20"/>
          <w:lang w:val="es-ES_tradnl"/>
        </w:rPr>
        <w:tab/>
        <w:t xml:space="preserve">Valle de los ríos Apurímac, Mantaro y Ene </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s-ES_tradnl"/>
        </w:rPr>
      </w:pPr>
      <w:r w:rsidRPr="00EE003F">
        <w:rPr>
          <w:rFonts w:ascii="Arial Narrow" w:hAnsi="Arial Narrow" w:cs="Arial"/>
          <w:sz w:val="20"/>
          <w:szCs w:val="20"/>
          <w:lang w:val="es-ES_tradnl"/>
        </w:rPr>
        <w:t>WEF</w:t>
      </w:r>
      <w:r w:rsidRPr="00EE003F">
        <w:rPr>
          <w:rFonts w:ascii="Arial Narrow" w:hAnsi="Arial Narrow" w:cs="Arial"/>
          <w:sz w:val="20"/>
          <w:szCs w:val="20"/>
          <w:lang w:val="es-ES_tradnl"/>
        </w:rPr>
        <w:tab/>
        <w:t>Foro Económico Mundial (</w:t>
      </w:r>
      <w:proofErr w:type="spellStart"/>
      <w:r w:rsidRPr="00EE003F">
        <w:rPr>
          <w:rFonts w:ascii="Arial Narrow" w:hAnsi="Arial Narrow" w:cs="Arial"/>
          <w:sz w:val="20"/>
          <w:szCs w:val="20"/>
          <w:lang w:val="es-ES_tradnl"/>
        </w:rPr>
        <w:t>World</w:t>
      </w:r>
      <w:proofErr w:type="spellEnd"/>
      <w:r w:rsidRPr="00EE003F">
        <w:rPr>
          <w:rFonts w:ascii="Arial Narrow" w:hAnsi="Arial Narrow" w:cs="Arial"/>
          <w:sz w:val="20"/>
          <w:szCs w:val="20"/>
          <w:lang w:val="es-ES_tradnl"/>
        </w:rPr>
        <w:t xml:space="preserve"> </w:t>
      </w:r>
      <w:proofErr w:type="spellStart"/>
      <w:r w:rsidRPr="00EE003F">
        <w:rPr>
          <w:rFonts w:ascii="Arial Narrow" w:hAnsi="Arial Narrow" w:cs="Arial"/>
          <w:sz w:val="20"/>
          <w:szCs w:val="20"/>
          <w:lang w:val="es-ES_tradnl"/>
        </w:rPr>
        <w:t>Economic</w:t>
      </w:r>
      <w:proofErr w:type="spellEnd"/>
      <w:r w:rsidRPr="00EE003F">
        <w:rPr>
          <w:rFonts w:ascii="Arial Narrow" w:hAnsi="Arial Narrow" w:cs="Arial"/>
          <w:sz w:val="20"/>
          <w:szCs w:val="20"/>
          <w:lang w:val="es-ES_tradnl"/>
        </w:rPr>
        <w:t xml:space="preserve"> </w:t>
      </w:r>
      <w:proofErr w:type="spellStart"/>
      <w:r w:rsidRPr="00EE003F">
        <w:rPr>
          <w:rFonts w:ascii="Arial Narrow" w:hAnsi="Arial Narrow" w:cs="Arial"/>
          <w:sz w:val="20"/>
          <w:szCs w:val="20"/>
          <w:lang w:val="es-ES_tradnl"/>
        </w:rPr>
        <w:t>Forum</w:t>
      </w:r>
      <w:proofErr w:type="spellEnd"/>
      <w:r w:rsidRPr="00EE003F">
        <w:rPr>
          <w:rFonts w:ascii="Arial Narrow" w:hAnsi="Arial Narrow" w:cs="Arial"/>
          <w:sz w:val="20"/>
          <w:szCs w:val="20"/>
          <w:lang w:val="es-ES_tradnl"/>
        </w:rPr>
        <w:t>)</w:t>
      </w:r>
    </w:p>
    <w:p w:rsidR="001E0D19" w:rsidRPr="00EE003F" w:rsidRDefault="001E0D19" w:rsidP="001E0D19">
      <w:pPr>
        <w:tabs>
          <w:tab w:val="left" w:pos="1400"/>
        </w:tabs>
        <w:autoSpaceDE w:val="0"/>
        <w:autoSpaceDN w:val="0"/>
        <w:adjustRightInd w:val="0"/>
        <w:spacing w:before="99" w:after="0" w:line="288" w:lineRule="auto"/>
        <w:ind w:left="1280" w:hanging="1280"/>
        <w:textAlignment w:val="center"/>
        <w:rPr>
          <w:rFonts w:ascii="Arial Narrow" w:hAnsi="Arial Narrow" w:cs="Arial"/>
          <w:sz w:val="20"/>
          <w:szCs w:val="20"/>
          <w:lang w:val="en-US"/>
        </w:rPr>
      </w:pPr>
      <w:r w:rsidRPr="00EE003F">
        <w:rPr>
          <w:rFonts w:ascii="Arial Narrow" w:hAnsi="Arial Narrow" w:cs="Arial"/>
          <w:sz w:val="20"/>
          <w:szCs w:val="20"/>
          <w:lang w:val="en-US"/>
        </w:rPr>
        <w:t>WGI</w:t>
      </w:r>
      <w:r w:rsidRPr="00EE003F">
        <w:rPr>
          <w:rFonts w:ascii="Arial Narrow" w:hAnsi="Arial Narrow" w:cs="Arial"/>
          <w:sz w:val="20"/>
          <w:szCs w:val="20"/>
          <w:lang w:val="en-US"/>
        </w:rPr>
        <w:tab/>
        <w:t>Worldwide Governance Indicators</w:t>
      </w:r>
    </w:p>
    <w:p w:rsidR="001E0D19" w:rsidRPr="00EE003F" w:rsidRDefault="001E0D19" w:rsidP="008D0CB9">
      <w:pPr>
        <w:autoSpaceDE w:val="0"/>
        <w:autoSpaceDN w:val="0"/>
        <w:adjustRightInd w:val="0"/>
        <w:spacing w:after="0" w:line="240" w:lineRule="auto"/>
        <w:rPr>
          <w:rFonts w:ascii="Arial Narrow" w:hAnsi="Arial Narrow"/>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1E0D19" w:rsidRPr="00EE003F" w:rsidRDefault="001E0D19" w:rsidP="008D0CB9">
      <w:pPr>
        <w:autoSpaceDE w:val="0"/>
        <w:autoSpaceDN w:val="0"/>
        <w:adjustRightInd w:val="0"/>
        <w:spacing w:after="0" w:line="240" w:lineRule="auto"/>
        <w:rPr>
          <w:rFonts w:ascii="Arial Narrow" w:hAnsi="Arial Narrow"/>
          <w:sz w:val="24"/>
          <w:szCs w:val="24"/>
          <w:lang w:val="en-US"/>
        </w:rPr>
      </w:pPr>
    </w:p>
    <w:p w:rsidR="008F2112" w:rsidRPr="00EE003F" w:rsidRDefault="008F2112">
      <w:pPr>
        <w:rPr>
          <w:rFonts w:ascii="Arial Narrow" w:hAnsi="Arial Narrow"/>
          <w:sz w:val="24"/>
          <w:szCs w:val="24"/>
          <w:lang w:val="en-US"/>
        </w:rPr>
      </w:pPr>
      <w:r w:rsidRPr="00EE003F">
        <w:rPr>
          <w:rFonts w:ascii="Arial Narrow" w:hAnsi="Arial Narrow"/>
          <w:sz w:val="24"/>
          <w:szCs w:val="24"/>
          <w:lang w:val="en-US"/>
        </w:rPr>
        <w:br w:type="page"/>
      </w:r>
    </w:p>
    <w:sdt>
      <w:sdtPr>
        <w:rPr>
          <w:rFonts w:asciiTheme="minorHAnsi" w:eastAsiaTheme="minorHAnsi" w:hAnsiTheme="minorHAnsi" w:cstheme="minorBidi"/>
          <w:color w:val="auto"/>
          <w:spacing w:val="0"/>
          <w:kern w:val="0"/>
          <w:sz w:val="22"/>
          <w:szCs w:val="22"/>
          <w:lang w:val="es-ES"/>
        </w:rPr>
        <w:id w:val="-1357641988"/>
        <w:docPartObj>
          <w:docPartGallery w:val="Table of Contents"/>
          <w:docPartUnique/>
        </w:docPartObj>
      </w:sdtPr>
      <w:sdtEndPr>
        <w:rPr>
          <w:b/>
          <w:bCs/>
        </w:rPr>
      </w:sdtEndPr>
      <w:sdtContent>
        <w:p w:rsidR="007A64A0" w:rsidRPr="00EE003F" w:rsidRDefault="00FD2B8B" w:rsidP="00FD2B8B">
          <w:pPr>
            <w:pStyle w:val="Ttulo"/>
          </w:pPr>
          <w:r w:rsidRPr="00EE003F">
            <w:t>Índice</w:t>
          </w:r>
        </w:p>
        <w:p w:rsidR="00D91F85" w:rsidRDefault="007A64A0">
          <w:pPr>
            <w:pStyle w:val="TDC1"/>
            <w:rPr>
              <w:rFonts w:eastAsiaTheme="minorEastAsia"/>
              <w:lang w:val="es-PE" w:eastAsia="es-PE"/>
            </w:rPr>
          </w:pPr>
          <w:r w:rsidRPr="00EE003F">
            <w:fldChar w:fldCharType="begin"/>
          </w:r>
          <w:r w:rsidRPr="00EE003F">
            <w:instrText xml:space="preserve"> TOC \o "1-3" \h \z \u </w:instrText>
          </w:r>
          <w:r w:rsidRPr="00EE003F">
            <w:fldChar w:fldCharType="separate"/>
          </w:r>
          <w:hyperlink w:anchor="_Toc453004643" w:history="1">
            <w:r w:rsidR="00D91F85" w:rsidRPr="006F1A93">
              <w:rPr>
                <w:rStyle w:val="Hipervnculo"/>
              </w:rPr>
              <w:t>Agradecimientos</w:t>
            </w:r>
            <w:r w:rsidR="00D91F85">
              <w:rPr>
                <w:webHidden/>
              </w:rPr>
              <w:tab/>
            </w:r>
            <w:r w:rsidR="00D91F85">
              <w:rPr>
                <w:webHidden/>
              </w:rPr>
              <w:fldChar w:fldCharType="begin"/>
            </w:r>
            <w:r w:rsidR="00D91F85">
              <w:rPr>
                <w:webHidden/>
              </w:rPr>
              <w:instrText xml:space="preserve"> PAGEREF _Toc453004643 \h </w:instrText>
            </w:r>
            <w:r w:rsidR="00D91F85">
              <w:rPr>
                <w:webHidden/>
              </w:rPr>
            </w:r>
            <w:r w:rsidR="00D91F85">
              <w:rPr>
                <w:webHidden/>
              </w:rPr>
              <w:fldChar w:fldCharType="separate"/>
            </w:r>
            <w:r w:rsidR="00D91F85">
              <w:rPr>
                <w:webHidden/>
              </w:rPr>
              <w:t>4</w:t>
            </w:r>
            <w:r w:rsidR="00D91F85">
              <w:rPr>
                <w:webHidden/>
              </w:rPr>
              <w:fldChar w:fldCharType="end"/>
            </w:r>
          </w:hyperlink>
        </w:p>
        <w:p w:rsidR="00D91F85" w:rsidRDefault="00D91F85">
          <w:pPr>
            <w:pStyle w:val="TDC1"/>
            <w:rPr>
              <w:rFonts w:eastAsiaTheme="minorEastAsia"/>
              <w:lang w:val="es-PE" w:eastAsia="es-PE"/>
            </w:rPr>
          </w:pPr>
          <w:hyperlink w:anchor="_Toc453004644" w:history="1">
            <w:r w:rsidRPr="006F1A93">
              <w:rPr>
                <w:rStyle w:val="Hipervnculo"/>
              </w:rPr>
              <w:t>Acrónimos</w:t>
            </w:r>
            <w:r>
              <w:rPr>
                <w:webHidden/>
              </w:rPr>
              <w:tab/>
            </w:r>
            <w:r>
              <w:rPr>
                <w:webHidden/>
              </w:rPr>
              <w:fldChar w:fldCharType="begin"/>
            </w:r>
            <w:r>
              <w:rPr>
                <w:webHidden/>
              </w:rPr>
              <w:instrText xml:space="preserve"> PAGEREF _Toc453004644 \h </w:instrText>
            </w:r>
            <w:r>
              <w:rPr>
                <w:webHidden/>
              </w:rPr>
            </w:r>
            <w:r>
              <w:rPr>
                <w:webHidden/>
              </w:rPr>
              <w:fldChar w:fldCharType="separate"/>
            </w:r>
            <w:r>
              <w:rPr>
                <w:webHidden/>
              </w:rPr>
              <w:t>5</w:t>
            </w:r>
            <w:r>
              <w:rPr>
                <w:webHidden/>
              </w:rPr>
              <w:fldChar w:fldCharType="end"/>
            </w:r>
          </w:hyperlink>
        </w:p>
        <w:p w:rsidR="00D91F85" w:rsidRDefault="00D91F85">
          <w:pPr>
            <w:pStyle w:val="TDC1"/>
            <w:rPr>
              <w:rFonts w:eastAsiaTheme="minorEastAsia"/>
              <w:lang w:val="es-PE" w:eastAsia="es-PE"/>
            </w:rPr>
          </w:pPr>
          <w:hyperlink w:anchor="_Toc453004645" w:history="1">
            <w:r w:rsidRPr="006F1A93">
              <w:rPr>
                <w:rStyle w:val="Hipervnculo"/>
              </w:rPr>
              <w:t>Prefacio</w:t>
            </w:r>
            <w:r>
              <w:rPr>
                <w:webHidden/>
              </w:rPr>
              <w:tab/>
            </w:r>
            <w:r>
              <w:rPr>
                <w:webHidden/>
              </w:rPr>
              <w:fldChar w:fldCharType="begin"/>
            </w:r>
            <w:r>
              <w:rPr>
                <w:webHidden/>
              </w:rPr>
              <w:instrText xml:space="preserve"> PAGEREF _Toc453004645 \h </w:instrText>
            </w:r>
            <w:r>
              <w:rPr>
                <w:webHidden/>
              </w:rPr>
            </w:r>
            <w:r>
              <w:rPr>
                <w:webHidden/>
              </w:rPr>
              <w:fldChar w:fldCharType="separate"/>
            </w:r>
            <w:r>
              <w:rPr>
                <w:webHidden/>
              </w:rPr>
              <w:t>12</w:t>
            </w:r>
            <w:r>
              <w:rPr>
                <w:webHidden/>
              </w:rPr>
              <w:fldChar w:fldCharType="end"/>
            </w:r>
          </w:hyperlink>
        </w:p>
        <w:p w:rsidR="00D91F85" w:rsidRDefault="00D91F85">
          <w:pPr>
            <w:pStyle w:val="TDC1"/>
            <w:rPr>
              <w:rFonts w:eastAsiaTheme="minorEastAsia"/>
              <w:lang w:val="es-PE" w:eastAsia="es-PE"/>
            </w:rPr>
          </w:pPr>
          <w:hyperlink w:anchor="_Toc453004646" w:history="1">
            <w:r w:rsidRPr="006F1A93">
              <w:rPr>
                <w:rStyle w:val="Hipervnculo"/>
              </w:rPr>
              <w:t>Introducción</w:t>
            </w:r>
            <w:r>
              <w:rPr>
                <w:webHidden/>
              </w:rPr>
              <w:tab/>
            </w:r>
            <w:r>
              <w:rPr>
                <w:webHidden/>
              </w:rPr>
              <w:fldChar w:fldCharType="begin"/>
            </w:r>
            <w:r>
              <w:rPr>
                <w:webHidden/>
              </w:rPr>
              <w:instrText xml:space="preserve"> PAGEREF _Toc453004646 \h </w:instrText>
            </w:r>
            <w:r>
              <w:rPr>
                <w:webHidden/>
              </w:rPr>
            </w:r>
            <w:r>
              <w:rPr>
                <w:webHidden/>
              </w:rPr>
              <w:fldChar w:fldCharType="separate"/>
            </w:r>
            <w:r>
              <w:rPr>
                <w:webHidden/>
              </w:rPr>
              <w:t>14</w:t>
            </w:r>
            <w:r>
              <w:rPr>
                <w:webHidden/>
              </w:rPr>
              <w:fldChar w:fldCharType="end"/>
            </w:r>
          </w:hyperlink>
        </w:p>
        <w:p w:rsidR="00D91F85" w:rsidRDefault="00D91F85">
          <w:pPr>
            <w:pStyle w:val="TDC1"/>
            <w:rPr>
              <w:rFonts w:eastAsiaTheme="minorEastAsia"/>
              <w:lang w:val="es-PE" w:eastAsia="es-PE"/>
            </w:rPr>
          </w:pPr>
          <w:hyperlink w:anchor="_Toc453004647" w:history="1">
            <w:r w:rsidRPr="006F1A93">
              <w:rPr>
                <w:rStyle w:val="Hipervnculo"/>
                <w:rFonts w:ascii="Arial Narrow" w:hAnsi="Arial Narrow"/>
                <w:b/>
              </w:rPr>
              <w:t>CAPITULO [ 1 ]  Justificación de la actualización</w:t>
            </w:r>
            <w:r>
              <w:rPr>
                <w:webHidden/>
              </w:rPr>
              <w:tab/>
            </w:r>
            <w:r>
              <w:rPr>
                <w:webHidden/>
              </w:rPr>
              <w:fldChar w:fldCharType="begin"/>
            </w:r>
            <w:r>
              <w:rPr>
                <w:webHidden/>
              </w:rPr>
              <w:instrText xml:space="preserve"> PAGEREF _Toc453004647 \h </w:instrText>
            </w:r>
            <w:r>
              <w:rPr>
                <w:webHidden/>
              </w:rPr>
            </w:r>
            <w:r>
              <w:rPr>
                <w:webHidden/>
              </w:rPr>
              <w:fldChar w:fldCharType="separate"/>
            </w:r>
            <w:r>
              <w:rPr>
                <w:webHidden/>
              </w:rPr>
              <w:t>16</w:t>
            </w:r>
            <w:r>
              <w:rPr>
                <w:webHidden/>
              </w:rPr>
              <w:fldChar w:fldCharType="end"/>
            </w:r>
          </w:hyperlink>
        </w:p>
        <w:p w:rsidR="00D91F85" w:rsidRDefault="00D91F85">
          <w:pPr>
            <w:pStyle w:val="TDC1"/>
            <w:rPr>
              <w:rFonts w:eastAsiaTheme="minorEastAsia"/>
              <w:lang w:val="es-PE" w:eastAsia="es-PE"/>
            </w:rPr>
          </w:pPr>
          <w:hyperlink w:anchor="_Toc453004648" w:history="1">
            <w:r w:rsidRPr="006F1A93">
              <w:rPr>
                <w:rStyle w:val="Hipervnculo"/>
                <w:rFonts w:ascii="Arial Narrow" w:hAnsi="Arial Narrow"/>
                <w:b/>
              </w:rPr>
              <w:t xml:space="preserve">CAPÍTULO [2]  </w:t>
            </w:r>
            <w:r w:rsidRPr="006F1A93">
              <w:rPr>
                <w:rStyle w:val="Hipervnculo"/>
                <w:b/>
              </w:rPr>
              <w:t>Las etapas del proceso de actualización</w:t>
            </w:r>
            <w:r>
              <w:rPr>
                <w:webHidden/>
              </w:rPr>
              <w:tab/>
            </w:r>
            <w:r>
              <w:rPr>
                <w:webHidden/>
              </w:rPr>
              <w:fldChar w:fldCharType="begin"/>
            </w:r>
            <w:r>
              <w:rPr>
                <w:webHidden/>
              </w:rPr>
              <w:instrText xml:space="preserve"> PAGEREF _Toc453004648 \h </w:instrText>
            </w:r>
            <w:r>
              <w:rPr>
                <w:webHidden/>
              </w:rPr>
            </w:r>
            <w:r>
              <w:rPr>
                <w:webHidden/>
              </w:rPr>
              <w:fldChar w:fldCharType="separate"/>
            </w:r>
            <w:r>
              <w:rPr>
                <w:webHidden/>
              </w:rPr>
              <w:t>20</w:t>
            </w:r>
            <w:r>
              <w:rPr>
                <w:webHidden/>
              </w:rPr>
              <w:fldChar w:fldCharType="end"/>
            </w:r>
          </w:hyperlink>
        </w:p>
        <w:p w:rsidR="00D91F85" w:rsidRDefault="00D91F85">
          <w:pPr>
            <w:pStyle w:val="TDC2"/>
            <w:rPr>
              <w:rFonts w:eastAsiaTheme="minorEastAsia"/>
              <w:noProof/>
              <w:lang w:eastAsia="es-PE"/>
            </w:rPr>
          </w:pPr>
          <w:hyperlink w:anchor="_Toc453004649" w:history="1">
            <w:r w:rsidRPr="006F1A93">
              <w:rPr>
                <w:rStyle w:val="Hipervnculo"/>
                <w:noProof/>
                <w:lang w:val="es-ES_tradnl"/>
              </w:rPr>
              <w:t>Diseño metodológico</w:t>
            </w:r>
            <w:r>
              <w:rPr>
                <w:noProof/>
                <w:webHidden/>
              </w:rPr>
              <w:tab/>
            </w:r>
            <w:r>
              <w:rPr>
                <w:noProof/>
                <w:webHidden/>
              </w:rPr>
              <w:fldChar w:fldCharType="begin"/>
            </w:r>
            <w:r>
              <w:rPr>
                <w:noProof/>
                <w:webHidden/>
              </w:rPr>
              <w:instrText xml:space="preserve"> PAGEREF _Toc453004649 \h </w:instrText>
            </w:r>
            <w:r>
              <w:rPr>
                <w:noProof/>
                <w:webHidden/>
              </w:rPr>
            </w:r>
            <w:r>
              <w:rPr>
                <w:noProof/>
                <w:webHidden/>
              </w:rPr>
              <w:fldChar w:fldCharType="separate"/>
            </w:r>
            <w:r>
              <w:rPr>
                <w:noProof/>
                <w:webHidden/>
              </w:rPr>
              <w:t>20</w:t>
            </w:r>
            <w:r>
              <w:rPr>
                <w:noProof/>
                <w:webHidden/>
              </w:rPr>
              <w:fldChar w:fldCharType="end"/>
            </w:r>
          </w:hyperlink>
        </w:p>
        <w:p w:rsidR="00D91F85" w:rsidRDefault="00D91F85">
          <w:pPr>
            <w:pStyle w:val="TDC2"/>
            <w:rPr>
              <w:rFonts w:eastAsiaTheme="minorEastAsia"/>
              <w:noProof/>
              <w:lang w:eastAsia="es-PE"/>
            </w:rPr>
          </w:pPr>
          <w:hyperlink w:anchor="_Toc453004650" w:history="1">
            <w:r w:rsidRPr="006F1A93">
              <w:rPr>
                <w:rStyle w:val="Hipervnculo"/>
                <w:noProof/>
                <w:lang w:val="es-ES_tradnl"/>
              </w:rPr>
              <w:t>Análisis prospectivo</w:t>
            </w:r>
            <w:r>
              <w:rPr>
                <w:noProof/>
                <w:webHidden/>
              </w:rPr>
              <w:tab/>
            </w:r>
            <w:r>
              <w:rPr>
                <w:noProof/>
                <w:webHidden/>
              </w:rPr>
              <w:fldChar w:fldCharType="begin"/>
            </w:r>
            <w:r>
              <w:rPr>
                <w:noProof/>
                <w:webHidden/>
              </w:rPr>
              <w:instrText xml:space="preserve"> PAGEREF _Toc453004650 \h </w:instrText>
            </w:r>
            <w:r>
              <w:rPr>
                <w:noProof/>
                <w:webHidden/>
              </w:rPr>
            </w:r>
            <w:r>
              <w:rPr>
                <w:noProof/>
                <w:webHidden/>
              </w:rPr>
              <w:fldChar w:fldCharType="separate"/>
            </w:r>
            <w:r>
              <w:rPr>
                <w:noProof/>
                <w:webHidden/>
              </w:rPr>
              <w:t>21</w:t>
            </w:r>
            <w:r>
              <w:rPr>
                <w:noProof/>
                <w:webHidden/>
              </w:rPr>
              <w:fldChar w:fldCharType="end"/>
            </w:r>
          </w:hyperlink>
        </w:p>
        <w:p w:rsidR="00D91F85" w:rsidRDefault="00D91F85">
          <w:pPr>
            <w:pStyle w:val="TDC2"/>
            <w:rPr>
              <w:rFonts w:eastAsiaTheme="minorEastAsia"/>
              <w:noProof/>
              <w:lang w:eastAsia="es-PE"/>
            </w:rPr>
          </w:pPr>
          <w:hyperlink w:anchor="_Toc453004651" w:history="1">
            <w:r w:rsidRPr="006F1A93">
              <w:rPr>
                <w:rStyle w:val="Hipervnculo"/>
                <w:noProof/>
                <w:lang w:val="es-ES_tradnl"/>
              </w:rPr>
              <w:t>Análisis estratégico</w:t>
            </w:r>
            <w:r>
              <w:rPr>
                <w:noProof/>
                <w:webHidden/>
              </w:rPr>
              <w:tab/>
            </w:r>
            <w:r>
              <w:rPr>
                <w:noProof/>
                <w:webHidden/>
              </w:rPr>
              <w:fldChar w:fldCharType="begin"/>
            </w:r>
            <w:r>
              <w:rPr>
                <w:noProof/>
                <w:webHidden/>
              </w:rPr>
              <w:instrText xml:space="preserve"> PAGEREF _Toc453004651 \h </w:instrText>
            </w:r>
            <w:r>
              <w:rPr>
                <w:noProof/>
                <w:webHidden/>
              </w:rPr>
            </w:r>
            <w:r>
              <w:rPr>
                <w:noProof/>
                <w:webHidden/>
              </w:rPr>
              <w:fldChar w:fldCharType="separate"/>
            </w:r>
            <w:r>
              <w:rPr>
                <w:noProof/>
                <w:webHidden/>
              </w:rPr>
              <w:t>24</w:t>
            </w:r>
            <w:r>
              <w:rPr>
                <w:noProof/>
                <w:webHidden/>
              </w:rPr>
              <w:fldChar w:fldCharType="end"/>
            </w:r>
          </w:hyperlink>
        </w:p>
        <w:p w:rsidR="00D91F85" w:rsidRDefault="00D91F85">
          <w:pPr>
            <w:pStyle w:val="TDC2"/>
            <w:rPr>
              <w:rFonts w:eastAsiaTheme="minorEastAsia"/>
              <w:noProof/>
              <w:lang w:eastAsia="es-PE"/>
            </w:rPr>
          </w:pPr>
          <w:hyperlink w:anchor="_Toc453004652" w:history="1">
            <w:r w:rsidRPr="006F1A93">
              <w:rPr>
                <w:rStyle w:val="Hipervnculo"/>
                <w:noProof/>
                <w:lang w:val="es-ES_tradnl"/>
              </w:rPr>
              <w:t>Articulación</w:t>
            </w:r>
            <w:r>
              <w:rPr>
                <w:noProof/>
                <w:webHidden/>
              </w:rPr>
              <w:tab/>
            </w:r>
            <w:r>
              <w:rPr>
                <w:noProof/>
                <w:webHidden/>
              </w:rPr>
              <w:fldChar w:fldCharType="begin"/>
            </w:r>
            <w:r>
              <w:rPr>
                <w:noProof/>
                <w:webHidden/>
              </w:rPr>
              <w:instrText xml:space="preserve"> PAGEREF _Toc453004652 \h </w:instrText>
            </w:r>
            <w:r>
              <w:rPr>
                <w:noProof/>
                <w:webHidden/>
              </w:rPr>
            </w:r>
            <w:r>
              <w:rPr>
                <w:noProof/>
                <w:webHidden/>
              </w:rPr>
              <w:fldChar w:fldCharType="separate"/>
            </w:r>
            <w:r>
              <w:rPr>
                <w:noProof/>
                <w:webHidden/>
              </w:rPr>
              <w:t>25</w:t>
            </w:r>
            <w:r>
              <w:rPr>
                <w:noProof/>
                <w:webHidden/>
              </w:rPr>
              <w:fldChar w:fldCharType="end"/>
            </w:r>
          </w:hyperlink>
        </w:p>
        <w:p w:rsidR="00D91F85" w:rsidRDefault="00D91F85">
          <w:pPr>
            <w:pStyle w:val="TDC1"/>
            <w:rPr>
              <w:rFonts w:eastAsiaTheme="minorEastAsia"/>
              <w:lang w:val="es-PE" w:eastAsia="es-PE"/>
            </w:rPr>
          </w:pPr>
          <w:hyperlink w:anchor="_Toc453004653" w:history="1">
            <w:r w:rsidRPr="006F1A93">
              <w:rPr>
                <w:rStyle w:val="Hipervnculo"/>
                <w:rFonts w:ascii="Arial Narrow" w:hAnsi="Arial Narrow"/>
                <w:b/>
              </w:rPr>
              <w:t>CAPITULO [3] La Competitividad y Diversificación de la Economía.</w:t>
            </w:r>
            <w:r>
              <w:rPr>
                <w:webHidden/>
              </w:rPr>
              <w:tab/>
            </w:r>
            <w:r>
              <w:rPr>
                <w:webHidden/>
              </w:rPr>
              <w:fldChar w:fldCharType="begin"/>
            </w:r>
            <w:r>
              <w:rPr>
                <w:webHidden/>
              </w:rPr>
              <w:instrText xml:space="preserve"> PAGEREF _Toc453004653 \h </w:instrText>
            </w:r>
            <w:r>
              <w:rPr>
                <w:webHidden/>
              </w:rPr>
            </w:r>
            <w:r>
              <w:rPr>
                <w:webHidden/>
              </w:rPr>
              <w:fldChar w:fldCharType="separate"/>
            </w:r>
            <w:r>
              <w:rPr>
                <w:webHidden/>
              </w:rPr>
              <w:t>30</w:t>
            </w:r>
            <w:r>
              <w:rPr>
                <w:webHidden/>
              </w:rPr>
              <w:fldChar w:fldCharType="end"/>
            </w:r>
          </w:hyperlink>
        </w:p>
        <w:p w:rsidR="00D91F85" w:rsidRDefault="00D91F85">
          <w:pPr>
            <w:pStyle w:val="TDC2"/>
            <w:rPr>
              <w:rFonts w:eastAsiaTheme="minorEastAsia"/>
              <w:noProof/>
              <w:lang w:eastAsia="es-PE"/>
            </w:rPr>
          </w:pPr>
          <w:hyperlink w:anchor="_Toc453004654" w:history="1">
            <w:r w:rsidRPr="006F1A93">
              <w:rPr>
                <w:rStyle w:val="Hipervnculo"/>
                <w:noProof/>
                <w:lang w:val="es-ES_tradnl"/>
              </w:rPr>
              <w:t>Diagnóstico de la economía peruana</w:t>
            </w:r>
            <w:r>
              <w:rPr>
                <w:noProof/>
                <w:webHidden/>
              </w:rPr>
              <w:tab/>
            </w:r>
            <w:r>
              <w:rPr>
                <w:noProof/>
                <w:webHidden/>
              </w:rPr>
              <w:fldChar w:fldCharType="begin"/>
            </w:r>
            <w:r>
              <w:rPr>
                <w:noProof/>
                <w:webHidden/>
              </w:rPr>
              <w:instrText xml:space="preserve"> PAGEREF _Toc453004654 \h </w:instrText>
            </w:r>
            <w:r>
              <w:rPr>
                <w:noProof/>
                <w:webHidden/>
              </w:rPr>
            </w:r>
            <w:r>
              <w:rPr>
                <w:noProof/>
                <w:webHidden/>
              </w:rPr>
              <w:fldChar w:fldCharType="separate"/>
            </w:r>
            <w:r>
              <w:rPr>
                <w:noProof/>
                <w:webHidden/>
              </w:rPr>
              <w:t>30</w:t>
            </w:r>
            <w:r>
              <w:rPr>
                <w:noProof/>
                <w:webHidden/>
              </w:rPr>
              <w:fldChar w:fldCharType="end"/>
            </w:r>
          </w:hyperlink>
        </w:p>
        <w:p w:rsidR="00D91F85" w:rsidRDefault="00D91F85">
          <w:pPr>
            <w:pStyle w:val="TDC2"/>
            <w:rPr>
              <w:rFonts w:eastAsiaTheme="minorEastAsia"/>
              <w:noProof/>
              <w:lang w:eastAsia="es-PE"/>
            </w:rPr>
          </w:pPr>
          <w:hyperlink w:anchor="_Toc453004655" w:history="1">
            <w:r w:rsidRPr="006F1A93">
              <w:rPr>
                <w:rStyle w:val="Hipervnculo"/>
                <w:noProof/>
                <w:lang w:val="es-ES_tradnl"/>
              </w:rPr>
              <w:t>Plan Nacional de Diversificación Productiva</w:t>
            </w:r>
            <w:r>
              <w:rPr>
                <w:noProof/>
                <w:webHidden/>
              </w:rPr>
              <w:tab/>
            </w:r>
            <w:r>
              <w:rPr>
                <w:noProof/>
                <w:webHidden/>
              </w:rPr>
              <w:fldChar w:fldCharType="begin"/>
            </w:r>
            <w:r>
              <w:rPr>
                <w:noProof/>
                <w:webHidden/>
              </w:rPr>
              <w:instrText xml:space="preserve"> PAGEREF _Toc453004655 \h </w:instrText>
            </w:r>
            <w:r>
              <w:rPr>
                <w:noProof/>
                <w:webHidden/>
              </w:rPr>
            </w:r>
            <w:r>
              <w:rPr>
                <w:noProof/>
                <w:webHidden/>
              </w:rPr>
              <w:fldChar w:fldCharType="separate"/>
            </w:r>
            <w:r>
              <w:rPr>
                <w:noProof/>
                <w:webHidden/>
              </w:rPr>
              <w:t>35</w:t>
            </w:r>
            <w:r>
              <w:rPr>
                <w:noProof/>
                <w:webHidden/>
              </w:rPr>
              <w:fldChar w:fldCharType="end"/>
            </w:r>
          </w:hyperlink>
        </w:p>
        <w:p w:rsidR="00D91F85" w:rsidRDefault="00D91F85">
          <w:pPr>
            <w:pStyle w:val="TDC2"/>
            <w:rPr>
              <w:rFonts w:eastAsiaTheme="minorEastAsia"/>
              <w:noProof/>
              <w:lang w:eastAsia="es-PE"/>
            </w:rPr>
          </w:pPr>
          <w:hyperlink w:anchor="_Toc453004656" w:history="1">
            <w:r w:rsidRPr="006F1A93">
              <w:rPr>
                <w:rStyle w:val="Hipervnculo"/>
                <w:noProof/>
                <w:lang w:val="es-ES_tradnl"/>
              </w:rPr>
              <w:t>Plan Estratégico Nacional Exportador (PENX 2025)</w:t>
            </w:r>
            <w:r>
              <w:rPr>
                <w:noProof/>
                <w:webHidden/>
              </w:rPr>
              <w:tab/>
            </w:r>
            <w:r>
              <w:rPr>
                <w:noProof/>
                <w:webHidden/>
              </w:rPr>
              <w:fldChar w:fldCharType="begin"/>
            </w:r>
            <w:r>
              <w:rPr>
                <w:noProof/>
                <w:webHidden/>
              </w:rPr>
              <w:instrText xml:space="preserve"> PAGEREF _Toc453004656 \h </w:instrText>
            </w:r>
            <w:r>
              <w:rPr>
                <w:noProof/>
                <w:webHidden/>
              </w:rPr>
            </w:r>
            <w:r>
              <w:rPr>
                <w:noProof/>
                <w:webHidden/>
              </w:rPr>
              <w:fldChar w:fldCharType="separate"/>
            </w:r>
            <w:r>
              <w:rPr>
                <w:noProof/>
                <w:webHidden/>
              </w:rPr>
              <w:t>38</w:t>
            </w:r>
            <w:r>
              <w:rPr>
                <w:noProof/>
                <w:webHidden/>
              </w:rPr>
              <w:fldChar w:fldCharType="end"/>
            </w:r>
          </w:hyperlink>
        </w:p>
        <w:p w:rsidR="00D91F85" w:rsidRDefault="00D91F85">
          <w:pPr>
            <w:pStyle w:val="TDC2"/>
            <w:rPr>
              <w:rFonts w:eastAsiaTheme="minorEastAsia"/>
              <w:noProof/>
              <w:lang w:eastAsia="es-PE"/>
            </w:rPr>
          </w:pPr>
          <w:hyperlink w:anchor="_Toc453004657" w:history="1">
            <w:r w:rsidRPr="006F1A93">
              <w:rPr>
                <w:rStyle w:val="Hipervnculo"/>
                <w:noProof/>
                <w:lang w:val="es-ES_tradnl"/>
              </w:rPr>
              <w:t>Plan Estratégico Nacional de Turismo (PENTUR 2021)</w:t>
            </w:r>
            <w:r>
              <w:rPr>
                <w:noProof/>
                <w:webHidden/>
              </w:rPr>
              <w:tab/>
            </w:r>
            <w:r>
              <w:rPr>
                <w:noProof/>
                <w:webHidden/>
              </w:rPr>
              <w:fldChar w:fldCharType="begin"/>
            </w:r>
            <w:r>
              <w:rPr>
                <w:noProof/>
                <w:webHidden/>
              </w:rPr>
              <w:instrText xml:space="preserve"> PAGEREF _Toc453004657 \h </w:instrText>
            </w:r>
            <w:r>
              <w:rPr>
                <w:noProof/>
                <w:webHidden/>
              </w:rPr>
            </w:r>
            <w:r>
              <w:rPr>
                <w:noProof/>
                <w:webHidden/>
              </w:rPr>
              <w:fldChar w:fldCharType="separate"/>
            </w:r>
            <w:r>
              <w:rPr>
                <w:noProof/>
                <w:webHidden/>
              </w:rPr>
              <w:t>42</w:t>
            </w:r>
            <w:r>
              <w:rPr>
                <w:noProof/>
                <w:webHidden/>
              </w:rPr>
              <w:fldChar w:fldCharType="end"/>
            </w:r>
          </w:hyperlink>
        </w:p>
        <w:p w:rsidR="00D91F85" w:rsidRDefault="00D91F85">
          <w:pPr>
            <w:pStyle w:val="TDC2"/>
            <w:rPr>
              <w:rFonts w:eastAsiaTheme="minorEastAsia"/>
              <w:noProof/>
              <w:lang w:eastAsia="es-PE"/>
            </w:rPr>
          </w:pPr>
          <w:hyperlink w:anchor="_Toc453004658" w:history="1">
            <w:r w:rsidRPr="006F1A93">
              <w:rPr>
                <w:rStyle w:val="Hipervnculo"/>
                <w:noProof/>
                <w:lang w:val="es-ES_tradnl"/>
              </w:rPr>
              <w:t>Articulación entre la Agenda de Competitividad, el Plan Nacional de Diversificación Productiva, el Plan Estratégico Nacional Exportador y el Plan Estratégico de Turismo con el Plan Estratégico de Desarrollo Nacional.</w:t>
            </w:r>
            <w:r>
              <w:rPr>
                <w:noProof/>
                <w:webHidden/>
              </w:rPr>
              <w:tab/>
            </w:r>
            <w:r>
              <w:rPr>
                <w:noProof/>
                <w:webHidden/>
              </w:rPr>
              <w:fldChar w:fldCharType="begin"/>
            </w:r>
            <w:r>
              <w:rPr>
                <w:noProof/>
                <w:webHidden/>
              </w:rPr>
              <w:instrText xml:space="preserve"> PAGEREF _Toc453004658 \h </w:instrText>
            </w:r>
            <w:r>
              <w:rPr>
                <w:noProof/>
                <w:webHidden/>
              </w:rPr>
            </w:r>
            <w:r>
              <w:rPr>
                <w:noProof/>
                <w:webHidden/>
              </w:rPr>
              <w:fldChar w:fldCharType="separate"/>
            </w:r>
            <w:r>
              <w:rPr>
                <w:noProof/>
                <w:webHidden/>
              </w:rPr>
              <w:t>45</w:t>
            </w:r>
            <w:r>
              <w:rPr>
                <w:noProof/>
                <w:webHidden/>
              </w:rPr>
              <w:fldChar w:fldCharType="end"/>
            </w:r>
          </w:hyperlink>
        </w:p>
        <w:p w:rsidR="00D91F85" w:rsidRDefault="00D91F85">
          <w:pPr>
            <w:pStyle w:val="TDC1"/>
            <w:rPr>
              <w:rFonts w:eastAsiaTheme="minorEastAsia"/>
              <w:lang w:val="es-PE" w:eastAsia="es-PE"/>
            </w:rPr>
          </w:pPr>
          <w:hyperlink w:anchor="_Toc453004659" w:history="1">
            <w:r w:rsidRPr="006F1A93">
              <w:rPr>
                <w:rStyle w:val="Hipervnculo"/>
                <w:rFonts w:ascii="Arial Narrow" w:hAnsi="Arial Narrow"/>
                <w:b/>
              </w:rPr>
              <w:t>CAPITULO [4]  El Perú en el contexto mundial 2021</w:t>
            </w:r>
            <w:r>
              <w:rPr>
                <w:webHidden/>
              </w:rPr>
              <w:tab/>
            </w:r>
            <w:r>
              <w:rPr>
                <w:webHidden/>
              </w:rPr>
              <w:fldChar w:fldCharType="begin"/>
            </w:r>
            <w:r>
              <w:rPr>
                <w:webHidden/>
              </w:rPr>
              <w:instrText xml:space="preserve"> PAGEREF _Toc453004659 \h </w:instrText>
            </w:r>
            <w:r>
              <w:rPr>
                <w:webHidden/>
              </w:rPr>
            </w:r>
            <w:r>
              <w:rPr>
                <w:webHidden/>
              </w:rPr>
              <w:fldChar w:fldCharType="separate"/>
            </w:r>
            <w:r>
              <w:rPr>
                <w:webHidden/>
              </w:rPr>
              <w:t>47</w:t>
            </w:r>
            <w:r>
              <w:rPr>
                <w:webHidden/>
              </w:rPr>
              <w:fldChar w:fldCharType="end"/>
            </w:r>
          </w:hyperlink>
        </w:p>
        <w:p w:rsidR="00D91F85" w:rsidRDefault="00D91F85">
          <w:pPr>
            <w:pStyle w:val="TDC2"/>
            <w:rPr>
              <w:rFonts w:eastAsiaTheme="minorEastAsia"/>
              <w:noProof/>
              <w:lang w:eastAsia="es-PE"/>
            </w:rPr>
          </w:pPr>
          <w:hyperlink w:anchor="_Toc453004660" w:history="1">
            <w:r w:rsidRPr="006F1A93">
              <w:rPr>
                <w:rStyle w:val="Hipervnculo"/>
                <w:noProof/>
                <w:lang w:val="es-ES_tradnl"/>
              </w:rPr>
              <w:t>Tendencias mundiales</w:t>
            </w:r>
            <w:r>
              <w:rPr>
                <w:noProof/>
                <w:webHidden/>
              </w:rPr>
              <w:tab/>
            </w:r>
            <w:r>
              <w:rPr>
                <w:noProof/>
                <w:webHidden/>
              </w:rPr>
              <w:fldChar w:fldCharType="begin"/>
            </w:r>
            <w:r>
              <w:rPr>
                <w:noProof/>
                <w:webHidden/>
              </w:rPr>
              <w:instrText xml:space="preserve"> PAGEREF _Toc453004660 \h </w:instrText>
            </w:r>
            <w:r>
              <w:rPr>
                <w:noProof/>
                <w:webHidden/>
              </w:rPr>
            </w:r>
            <w:r>
              <w:rPr>
                <w:noProof/>
                <w:webHidden/>
              </w:rPr>
              <w:fldChar w:fldCharType="separate"/>
            </w:r>
            <w:r>
              <w:rPr>
                <w:noProof/>
                <w:webHidden/>
              </w:rPr>
              <w:t>47</w:t>
            </w:r>
            <w:r>
              <w:rPr>
                <w:noProof/>
                <w:webHidden/>
              </w:rPr>
              <w:fldChar w:fldCharType="end"/>
            </w:r>
          </w:hyperlink>
        </w:p>
        <w:p w:rsidR="00D91F85" w:rsidRDefault="00D91F85">
          <w:pPr>
            <w:pStyle w:val="TDC2"/>
            <w:rPr>
              <w:rFonts w:eastAsiaTheme="minorEastAsia"/>
              <w:noProof/>
              <w:lang w:eastAsia="es-PE"/>
            </w:rPr>
          </w:pPr>
          <w:hyperlink w:anchor="_Toc453004661" w:history="1">
            <w:r w:rsidRPr="006F1A93">
              <w:rPr>
                <w:rStyle w:val="Hipervnculo"/>
                <w:noProof/>
                <w:lang w:val="es-ES_tradnl"/>
              </w:rPr>
              <w:t>Caso Base IFs y escenarios de crecimiento</w:t>
            </w:r>
            <w:r>
              <w:rPr>
                <w:noProof/>
                <w:webHidden/>
              </w:rPr>
              <w:tab/>
            </w:r>
            <w:r>
              <w:rPr>
                <w:noProof/>
                <w:webHidden/>
              </w:rPr>
              <w:fldChar w:fldCharType="begin"/>
            </w:r>
            <w:r>
              <w:rPr>
                <w:noProof/>
                <w:webHidden/>
              </w:rPr>
              <w:instrText xml:space="preserve"> PAGEREF _Toc453004661 \h </w:instrText>
            </w:r>
            <w:r>
              <w:rPr>
                <w:noProof/>
                <w:webHidden/>
              </w:rPr>
            </w:r>
            <w:r>
              <w:rPr>
                <w:noProof/>
                <w:webHidden/>
              </w:rPr>
              <w:fldChar w:fldCharType="separate"/>
            </w:r>
            <w:r>
              <w:rPr>
                <w:noProof/>
                <w:webHidden/>
              </w:rPr>
              <w:t>60</w:t>
            </w:r>
            <w:r>
              <w:rPr>
                <w:noProof/>
                <w:webHidden/>
              </w:rPr>
              <w:fldChar w:fldCharType="end"/>
            </w:r>
          </w:hyperlink>
        </w:p>
        <w:p w:rsidR="00D91F85" w:rsidRDefault="00D91F85">
          <w:pPr>
            <w:pStyle w:val="TDC1"/>
            <w:rPr>
              <w:rFonts w:eastAsiaTheme="minorEastAsia"/>
              <w:lang w:val="es-PE" w:eastAsia="es-PE"/>
            </w:rPr>
          </w:pPr>
          <w:hyperlink w:anchor="_Toc453004662" w:history="1">
            <w:r w:rsidRPr="006F1A93">
              <w:rPr>
                <w:rStyle w:val="Hipervnculo"/>
                <w:rFonts w:ascii="Arial Narrow" w:hAnsi="Arial Narrow"/>
                <w:b/>
              </w:rPr>
              <w:t>CAPITULO [5]  El Perú al 2021</w:t>
            </w:r>
            <w:r>
              <w:rPr>
                <w:webHidden/>
              </w:rPr>
              <w:tab/>
            </w:r>
            <w:r>
              <w:rPr>
                <w:webHidden/>
              </w:rPr>
              <w:fldChar w:fldCharType="begin"/>
            </w:r>
            <w:r>
              <w:rPr>
                <w:webHidden/>
              </w:rPr>
              <w:instrText xml:space="preserve"> PAGEREF _Toc453004662 \h </w:instrText>
            </w:r>
            <w:r>
              <w:rPr>
                <w:webHidden/>
              </w:rPr>
            </w:r>
            <w:r>
              <w:rPr>
                <w:webHidden/>
              </w:rPr>
              <w:fldChar w:fldCharType="separate"/>
            </w:r>
            <w:r>
              <w:rPr>
                <w:webHidden/>
              </w:rPr>
              <w:t>68</w:t>
            </w:r>
            <w:r>
              <w:rPr>
                <w:webHidden/>
              </w:rPr>
              <w:fldChar w:fldCharType="end"/>
            </w:r>
          </w:hyperlink>
        </w:p>
        <w:p w:rsidR="00D91F85" w:rsidRDefault="00D91F85">
          <w:pPr>
            <w:pStyle w:val="TDC2"/>
            <w:rPr>
              <w:rFonts w:eastAsiaTheme="minorEastAsia"/>
              <w:noProof/>
              <w:lang w:eastAsia="es-PE"/>
            </w:rPr>
          </w:pPr>
          <w:hyperlink w:anchor="_Toc453004663" w:history="1">
            <w:r w:rsidRPr="006F1A93">
              <w:rPr>
                <w:rStyle w:val="Hipervnculo"/>
                <w:noProof/>
                <w:lang w:val="es-ES_tradnl"/>
              </w:rPr>
              <w:t>Precisando la Visión del Perú al 2021</w:t>
            </w:r>
            <w:r>
              <w:rPr>
                <w:noProof/>
                <w:webHidden/>
              </w:rPr>
              <w:tab/>
            </w:r>
            <w:r>
              <w:rPr>
                <w:noProof/>
                <w:webHidden/>
              </w:rPr>
              <w:fldChar w:fldCharType="begin"/>
            </w:r>
            <w:r>
              <w:rPr>
                <w:noProof/>
                <w:webHidden/>
              </w:rPr>
              <w:instrText xml:space="preserve"> PAGEREF _Toc453004663 \h </w:instrText>
            </w:r>
            <w:r>
              <w:rPr>
                <w:noProof/>
                <w:webHidden/>
              </w:rPr>
            </w:r>
            <w:r>
              <w:rPr>
                <w:noProof/>
                <w:webHidden/>
              </w:rPr>
              <w:fldChar w:fldCharType="separate"/>
            </w:r>
            <w:r>
              <w:rPr>
                <w:noProof/>
                <w:webHidden/>
              </w:rPr>
              <w:t>68</w:t>
            </w:r>
            <w:r>
              <w:rPr>
                <w:noProof/>
                <w:webHidden/>
              </w:rPr>
              <w:fldChar w:fldCharType="end"/>
            </w:r>
          </w:hyperlink>
        </w:p>
        <w:p w:rsidR="00D91F85" w:rsidRDefault="00D91F85">
          <w:pPr>
            <w:pStyle w:val="TDC2"/>
            <w:rPr>
              <w:rFonts w:eastAsiaTheme="minorEastAsia"/>
              <w:noProof/>
              <w:lang w:eastAsia="es-PE"/>
            </w:rPr>
          </w:pPr>
          <w:hyperlink w:anchor="_Toc453004664" w:history="1">
            <w:r w:rsidRPr="006F1A93">
              <w:rPr>
                <w:rStyle w:val="Hipervnculo"/>
                <w:noProof/>
                <w:lang w:val="es-ES_tradnl"/>
              </w:rPr>
              <w:t>Visión, reto, lineamientos y prioridades al 2021</w:t>
            </w:r>
            <w:r>
              <w:rPr>
                <w:noProof/>
                <w:webHidden/>
              </w:rPr>
              <w:tab/>
            </w:r>
            <w:r>
              <w:rPr>
                <w:noProof/>
                <w:webHidden/>
              </w:rPr>
              <w:fldChar w:fldCharType="begin"/>
            </w:r>
            <w:r>
              <w:rPr>
                <w:noProof/>
                <w:webHidden/>
              </w:rPr>
              <w:instrText xml:space="preserve"> PAGEREF _Toc453004664 \h </w:instrText>
            </w:r>
            <w:r>
              <w:rPr>
                <w:noProof/>
                <w:webHidden/>
              </w:rPr>
            </w:r>
            <w:r>
              <w:rPr>
                <w:noProof/>
                <w:webHidden/>
              </w:rPr>
              <w:fldChar w:fldCharType="separate"/>
            </w:r>
            <w:r>
              <w:rPr>
                <w:noProof/>
                <w:webHidden/>
              </w:rPr>
              <w:t>69</w:t>
            </w:r>
            <w:r>
              <w:rPr>
                <w:noProof/>
                <w:webHidden/>
              </w:rPr>
              <w:fldChar w:fldCharType="end"/>
            </w:r>
          </w:hyperlink>
        </w:p>
        <w:p w:rsidR="00D91F85" w:rsidRDefault="00D91F85">
          <w:pPr>
            <w:pStyle w:val="TDC2"/>
            <w:rPr>
              <w:rFonts w:eastAsiaTheme="minorEastAsia"/>
              <w:noProof/>
              <w:lang w:eastAsia="es-PE"/>
            </w:rPr>
          </w:pPr>
          <w:hyperlink w:anchor="_Toc453004665" w:history="1">
            <w:r w:rsidRPr="006F1A93">
              <w:rPr>
                <w:rStyle w:val="Hipervnculo"/>
                <w:noProof/>
                <w:lang w:val="es-ES_tradnl"/>
              </w:rPr>
              <w:t>Correspondencia entre los Objetivos de Desarrollo Sostenible y los objetivos de desarrollo nacionales del Plan Estratégico de Desarrollo Nacional Actualizado “Perú hacia el 2021”</w:t>
            </w:r>
            <w:r>
              <w:rPr>
                <w:noProof/>
                <w:webHidden/>
              </w:rPr>
              <w:tab/>
            </w:r>
            <w:r>
              <w:rPr>
                <w:noProof/>
                <w:webHidden/>
              </w:rPr>
              <w:fldChar w:fldCharType="begin"/>
            </w:r>
            <w:r>
              <w:rPr>
                <w:noProof/>
                <w:webHidden/>
              </w:rPr>
              <w:instrText xml:space="preserve"> PAGEREF _Toc453004665 \h </w:instrText>
            </w:r>
            <w:r>
              <w:rPr>
                <w:noProof/>
                <w:webHidden/>
              </w:rPr>
            </w:r>
            <w:r>
              <w:rPr>
                <w:noProof/>
                <w:webHidden/>
              </w:rPr>
              <w:fldChar w:fldCharType="separate"/>
            </w:r>
            <w:r>
              <w:rPr>
                <w:noProof/>
                <w:webHidden/>
              </w:rPr>
              <w:t>71</w:t>
            </w:r>
            <w:r>
              <w:rPr>
                <w:noProof/>
                <w:webHidden/>
              </w:rPr>
              <w:fldChar w:fldCharType="end"/>
            </w:r>
          </w:hyperlink>
        </w:p>
        <w:p w:rsidR="00D91F85" w:rsidRDefault="00D91F85">
          <w:pPr>
            <w:pStyle w:val="TDC2"/>
            <w:rPr>
              <w:rFonts w:eastAsiaTheme="minorEastAsia"/>
              <w:noProof/>
              <w:lang w:eastAsia="es-PE"/>
            </w:rPr>
          </w:pPr>
          <w:hyperlink w:anchor="_Toc453004666" w:history="1">
            <w:r w:rsidRPr="006F1A93">
              <w:rPr>
                <w:rStyle w:val="Hipervnculo"/>
                <w:noProof/>
                <w:lang w:val="es-ES_tradnl"/>
              </w:rPr>
              <w:t>La gran oportunidad</w:t>
            </w:r>
            <w:r>
              <w:rPr>
                <w:noProof/>
                <w:webHidden/>
              </w:rPr>
              <w:tab/>
            </w:r>
            <w:r>
              <w:rPr>
                <w:noProof/>
                <w:webHidden/>
              </w:rPr>
              <w:fldChar w:fldCharType="begin"/>
            </w:r>
            <w:r>
              <w:rPr>
                <w:noProof/>
                <w:webHidden/>
              </w:rPr>
              <w:instrText xml:space="preserve"> PAGEREF _Toc453004666 \h </w:instrText>
            </w:r>
            <w:r>
              <w:rPr>
                <w:noProof/>
                <w:webHidden/>
              </w:rPr>
            </w:r>
            <w:r>
              <w:rPr>
                <w:noProof/>
                <w:webHidden/>
              </w:rPr>
              <w:fldChar w:fldCharType="separate"/>
            </w:r>
            <w:r>
              <w:rPr>
                <w:noProof/>
                <w:webHidden/>
              </w:rPr>
              <w:t>72</w:t>
            </w:r>
            <w:r>
              <w:rPr>
                <w:noProof/>
                <w:webHidden/>
              </w:rPr>
              <w:fldChar w:fldCharType="end"/>
            </w:r>
          </w:hyperlink>
        </w:p>
        <w:p w:rsidR="00D91F85" w:rsidRDefault="00D91F85">
          <w:pPr>
            <w:pStyle w:val="TDC2"/>
            <w:rPr>
              <w:rFonts w:eastAsiaTheme="minorEastAsia"/>
              <w:noProof/>
              <w:lang w:eastAsia="es-PE"/>
            </w:rPr>
          </w:pPr>
          <w:hyperlink w:anchor="_Toc453004667" w:history="1">
            <w:r w:rsidRPr="006F1A93">
              <w:rPr>
                <w:rStyle w:val="Hipervnculo"/>
                <w:noProof/>
                <w:lang w:val="es-ES_tradnl"/>
              </w:rPr>
              <w:t>Presentación de los ejes estratégicos</w:t>
            </w:r>
            <w:r>
              <w:rPr>
                <w:noProof/>
                <w:webHidden/>
              </w:rPr>
              <w:tab/>
            </w:r>
            <w:r>
              <w:rPr>
                <w:noProof/>
                <w:webHidden/>
              </w:rPr>
              <w:fldChar w:fldCharType="begin"/>
            </w:r>
            <w:r>
              <w:rPr>
                <w:noProof/>
                <w:webHidden/>
              </w:rPr>
              <w:instrText xml:space="preserve"> PAGEREF _Toc453004667 \h </w:instrText>
            </w:r>
            <w:r>
              <w:rPr>
                <w:noProof/>
                <w:webHidden/>
              </w:rPr>
            </w:r>
            <w:r>
              <w:rPr>
                <w:noProof/>
                <w:webHidden/>
              </w:rPr>
              <w:fldChar w:fldCharType="separate"/>
            </w:r>
            <w:r>
              <w:rPr>
                <w:noProof/>
                <w:webHidden/>
              </w:rPr>
              <w:t>74</w:t>
            </w:r>
            <w:r>
              <w:rPr>
                <w:noProof/>
                <w:webHidden/>
              </w:rPr>
              <w:fldChar w:fldCharType="end"/>
            </w:r>
          </w:hyperlink>
        </w:p>
        <w:p w:rsidR="00D91F85" w:rsidRDefault="00D91F85">
          <w:pPr>
            <w:pStyle w:val="TDC2"/>
            <w:rPr>
              <w:rFonts w:eastAsiaTheme="minorEastAsia"/>
              <w:noProof/>
              <w:lang w:eastAsia="es-PE"/>
            </w:rPr>
          </w:pPr>
          <w:hyperlink w:anchor="_Toc453004668" w:history="1">
            <w:r w:rsidRPr="006F1A93">
              <w:rPr>
                <w:rStyle w:val="Hipervnculo"/>
                <w:noProof/>
                <w:lang w:val="es-ES_tradnl"/>
              </w:rPr>
              <w:t>Indicadores líderes, metas y proyecciones</w:t>
            </w:r>
            <w:r>
              <w:rPr>
                <w:noProof/>
                <w:webHidden/>
              </w:rPr>
              <w:tab/>
            </w:r>
            <w:r>
              <w:rPr>
                <w:noProof/>
                <w:webHidden/>
              </w:rPr>
              <w:fldChar w:fldCharType="begin"/>
            </w:r>
            <w:r>
              <w:rPr>
                <w:noProof/>
                <w:webHidden/>
              </w:rPr>
              <w:instrText xml:space="preserve"> PAGEREF _Toc453004668 \h </w:instrText>
            </w:r>
            <w:r>
              <w:rPr>
                <w:noProof/>
                <w:webHidden/>
              </w:rPr>
            </w:r>
            <w:r>
              <w:rPr>
                <w:noProof/>
                <w:webHidden/>
              </w:rPr>
              <w:fldChar w:fldCharType="separate"/>
            </w:r>
            <w:r>
              <w:rPr>
                <w:noProof/>
                <w:webHidden/>
              </w:rPr>
              <w:t>75</w:t>
            </w:r>
            <w:r>
              <w:rPr>
                <w:noProof/>
                <w:webHidden/>
              </w:rPr>
              <w:fldChar w:fldCharType="end"/>
            </w:r>
          </w:hyperlink>
        </w:p>
        <w:p w:rsidR="00D91F85" w:rsidRDefault="00D91F85">
          <w:pPr>
            <w:pStyle w:val="TDC2"/>
            <w:rPr>
              <w:rFonts w:eastAsiaTheme="minorEastAsia"/>
              <w:noProof/>
              <w:lang w:eastAsia="es-PE"/>
            </w:rPr>
          </w:pPr>
          <w:hyperlink w:anchor="_Toc453004669" w:history="1">
            <w:r w:rsidRPr="006F1A93">
              <w:rPr>
                <w:rStyle w:val="Hipervnculo"/>
                <w:noProof/>
                <w:lang w:val="es-ES_tradnl"/>
              </w:rPr>
              <w:t>Visión del país con enfoque territorial</w:t>
            </w:r>
            <w:r>
              <w:rPr>
                <w:noProof/>
                <w:webHidden/>
              </w:rPr>
              <w:tab/>
            </w:r>
            <w:r>
              <w:rPr>
                <w:noProof/>
                <w:webHidden/>
              </w:rPr>
              <w:fldChar w:fldCharType="begin"/>
            </w:r>
            <w:r>
              <w:rPr>
                <w:noProof/>
                <w:webHidden/>
              </w:rPr>
              <w:instrText xml:space="preserve"> PAGEREF _Toc453004669 \h </w:instrText>
            </w:r>
            <w:r>
              <w:rPr>
                <w:noProof/>
                <w:webHidden/>
              </w:rPr>
            </w:r>
            <w:r>
              <w:rPr>
                <w:noProof/>
                <w:webHidden/>
              </w:rPr>
              <w:fldChar w:fldCharType="separate"/>
            </w:r>
            <w:r>
              <w:rPr>
                <w:noProof/>
                <w:webHidden/>
              </w:rPr>
              <w:t>79</w:t>
            </w:r>
            <w:r>
              <w:rPr>
                <w:noProof/>
                <w:webHidden/>
              </w:rPr>
              <w:fldChar w:fldCharType="end"/>
            </w:r>
          </w:hyperlink>
        </w:p>
        <w:p w:rsidR="00D91F85" w:rsidRDefault="00D91F85">
          <w:pPr>
            <w:pStyle w:val="TDC1"/>
            <w:rPr>
              <w:rFonts w:eastAsiaTheme="minorEastAsia"/>
              <w:lang w:val="es-PE" w:eastAsia="es-PE"/>
            </w:rPr>
          </w:pPr>
          <w:hyperlink w:anchor="_Toc453004670" w:history="1">
            <w:r w:rsidRPr="006F1A93">
              <w:rPr>
                <w:rStyle w:val="Hipervnculo"/>
                <w:rFonts w:ascii="Arial Narrow" w:hAnsi="Arial Narrow" w:cs="RotisSemiSans-Regular"/>
                <w:b/>
              </w:rPr>
              <w:t>Los ejes estratégicos</w:t>
            </w:r>
            <w:r>
              <w:rPr>
                <w:webHidden/>
              </w:rPr>
              <w:tab/>
            </w:r>
            <w:r>
              <w:rPr>
                <w:webHidden/>
              </w:rPr>
              <w:fldChar w:fldCharType="begin"/>
            </w:r>
            <w:r>
              <w:rPr>
                <w:webHidden/>
              </w:rPr>
              <w:instrText xml:space="preserve"> PAGEREF _Toc453004670 \h </w:instrText>
            </w:r>
            <w:r>
              <w:rPr>
                <w:webHidden/>
              </w:rPr>
            </w:r>
            <w:r>
              <w:rPr>
                <w:webHidden/>
              </w:rPr>
              <w:fldChar w:fldCharType="separate"/>
            </w:r>
            <w:r>
              <w:rPr>
                <w:webHidden/>
              </w:rPr>
              <w:t>86</w:t>
            </w:r>
            <w:r>
              <w:rPr>
                <w:webHidden/>
              </w:rPr>
              <w:fldChar w:fldCharType="end"/>
            </w:r>
          </w:hyperlink>
        </w:p>
        <w:p w:rsidR="00D91F85" w:rsidRDefault="00D91F85">
          <w:pPr>
            <w:pStyle w:val="TDC2"/>
            <w:rPr>
              <w:rFonts w:eastAsiaTheme="minorEastAsia"/>
              <w:noProof/>
              <w:lang w:eastAsia="es-PE"/>
            </w:rPr>
          </w:pPr>
          <w:hyperlink w:anchor="_Toc453004671" w:history="1">
            <w:r w:rsidRPr="006F1A93">
              <w:rPr>
                <w:rStyle w:val="Hipervnculo"/>
                <w:noProof/>
                <w:lang w:val="es-ES_tradnl"/>
              </w:rPr>
              <w:t>Eje estratégico 1</w:t>
            </w:r>
            <w:r w:rsidRPr="006F1A93">
              <w:rPr>
                <w:rStyle w:val="Hipervnculo"/>
                <w:noProof/>
              </w:rPr>
              <w:t xml:space="preserve"> </w:t>
            </w:r>
            <w:r w:rsidRPr="006F1A93">
              <w:rPr>
                <w:rStyle w:val="Hipervnculo"/>
                <w:noProof/>
                <w:lang w:val="es-ES_tradnl"/>
              </w:rPr>
              <w:t>Derechos Humanos e Inclusión Social</w:t>
            </w:r>
            <w:r>
              <w:rPr>
                <w:noProof/>
                <w:webHidden/>
              </w:rPr>
              <w:tab/>
            </w:r>
            <w:r>
              <w:rPr>
                <w:noProof/>
                <w:webHidden/>
              </w:rPr>
              <w:fldChar w:fldCharType="begin"/>
            </w:r>
            <w:r>
              <w:rPr>
                <w:noProof/>
                <w:webHidden/>
              </w:rPr>
              <w:instrText xml:space="preserve"> PAGEREF _Toc453004671 \h </w:instrText>
            </w:r>
            <w:r>
              <w:rPr>
                <w:noProof/>
                <w:webHidden/>
              </w:rPr>
            </w:r>
            <w:r>
              <w:rPr>
                <w:noProof/>
                <w:webHidden/>
              </w:rPr>
              <w:fldChar w:fldCharType="separate"/>
            </w:r>
            <w:r>
              <w:rPr>
                <w:noProof/>
                <w:webHidden/>
              </w:rPr>
              <w:t>86</w:t>
            </w:r>
            <w:r>
              <w:rPr>
                <w:noProof/>
                <w:webHidden/>
              </w:rPr>
              <w:fldChar w:fldCharType="end"/>
            </w:r>
          </w:hyperlink>
        </w:p>
        <w:p w:rsidR="00D91F85" w:rsidRDefault="00D91F85">
          <w:pPr>
            <w:pStyle w:val="TDC2"/>
            <w:rPr>
              <w:rFonts w:eastAsiaTheme="minorEastAsia"/>
              <w:noProof/>
              <w:lang w:eastAsia="es-PE"/>
            </w:rPr>
          </w:pPr>
          <w:hyperlink w:anchor="_Toc453004672" w:history="1">
            <w:r w:rsidRPr="006F1A93">
              <w:rPr>
                <w:rStyle w:val="Hipervnculo"/>
                <w:noProof/>
                <w:lang w:val="es-ES_tradnl"/>
              </w:rPr>
              <w:t>Eje estratégico 2</w:t>
            </w:r>
            <w:r w:rsidRPr="006F1A93">
              <w:rPr>
                <w:rStyle w:val="Hipervnculo"/>
                <w:noProof/>
              </w:rPr>
              <w:t xml:space="preserve"> </w:t>
            </w:r>
            <w:r w:rsidRPr="006F1A93">
              <w:rPr>
                <w:rStyle w:val="Hipervnculo"/>
                <w:noProof/>
                <w:lang w:val="es-ES_tradnl"/>
              </w:rPr>
              <w:t>Oportunidades y acceso a los servicios</w:t>
            </w:r>
            <w:r>
              <w:rPr>
                <w:noProof/>
                <w:webHidden/>
              </w:rPr>
              <w:tab/>
            </w:r>
            <w:r>
              <w:rPr>
                <w:noProof/>
                <w:webHidden/>
              </w:rPr>
              <w:fldChar w:fldCharType="begin"/>
            </w:r>
            <w:r>
              <w:rPr>
                <w:noProof/>
                <w:webHidden/>
              </w:rPr>
              <w:instrText xml:space="preserve"> PAGEREF _Toc453004672 \h </w:instrText>
            </w:r>
            <w:r>
              <w:rPr>
                <w:noProof/>
                <w:webHidden/>
              </w:rPr>
            </w:r>
            <w:r>
              <w:rPr>
                <w:noProof/>
                <w:webHidden/>
              </w:rPr>
              <w:fldChar w:fldCharType="separate"/>
            </w:r>
            <w:r>
              <w:rPr>
                <w:noProof/>
                <w:webHidden/>
              </w:rPr>
              <w:t>100</w:t>
            </w:r>
            <w:r>
              <w:rPr>
                <w:noProof/>
                <w:webHidden/>
              </w:rPr>
              <w:fldChar w:fldCharType="end"/>
            </w:r>
          </w:hyperlink>
        </w:p>
        <w:p w:rsidR="00D91F85" w:rsidRDefault="00D91F85">
          <w:pPr>
            <w:pStyle w:val="TDC2"/>
            <w:rPr>
              <w:rFonts w:eastAsiaTheme="minorEastAsia"/>
              <w:noProof/>
              <w:lang w:eastAsia="es-PE"/>
            </w:rPr>
          </w:pPr>
          <w:hyperlink w:anchor="_Toc453004673" w:history="1">
            <w:r w:rsidRPr="006F1A93">
              <w:rPr>
                <w:rStyle w:val="Hipervnculo"/>
                <w:noProof/>
                <w:lang w:val="es-ES_tradnl"/>
              </w:rPr>
              <w:t>Eje estratégico 3</w:t>
            </w:r>
            <w:r w:rsidRPr="006F1A93">
              <w:rPr>
                <w:rStyle w:val="Hipervnculo"/>
                <w:noProof/>
              </w:rPr>
              <w:t xml:space="preserve"> </w:t>
            </w:r>
            <w:r w:rsidRPr="006F1A93">
              <w:rPr>
                <w:rStyle w:val="Hipervnculo"/>
                <w:noProof/>
                <w:lang w:val="es-ES_tradnl"/>
              </w:rPr>
              <w:t>Estado y Gobernabilidad</w:t>
            </w:r>
            <w:r>
              <w:rPr>
                <w:noProof/>
                <w:webHidden/>
              </w:rPr>
              <w:tab/>
            </w:r>
            <w:r>
              <w:rPr>
                <w:noProof/>
                <w:webHidden/>
              </w:rPr>
              <w:fldChar w:fldCharType="begin"/>
            </w:r>
            <w:r>
              <w:rPr>
                <w:noProof/>
                <w:webHidden/>
              </w:rPr>
              <w:instrText xml:space="preserve"> PAGEREF _Toc453004673 \h </w:instrText>
            </w:r>
            <w:r>
              <w:rPr>
                <w:noProof/>
                <w:webHidden/>
              </w:rPr>
            </w:r>
            <w:r>
              <w:rPr>
                <w:noProof/>
                <w:webHidden/>
              </w:rPr>
              <w:fldChar w:fldCharType="separate"/>
            </w:r>
            <w:r>
              <w:rPr>
                <w:noProof/>
                <w:webHidden/>
              </w:rPr>
              <w:t>117</w:t>
            </w:r>
            <w:r>
              <w:rPr>
                <w:noProof/>
                <w:webHidden/>
              </w:rPr>
              <w:fldChar w:fldCharType="end"/>
            </w:r>
          </w:hyperlink>
        </w:p>
        <w:p w:rsidR="00D91F85" w:rsidRDefault="00D91F85">
          <w:pPr>
            <w:pStyle w:val="TDC2"/>
            <w:rPr>
              <w:rFonts w:eastAsiaTheme="minorEastAsia"/>
              <w:noProof/>
              <w:lang w:eastAsia="es-PE"/>
            </w:rPr>
          </w:pPr>
          <w:hyperlink w:anchor="_Toc453004674" w:history="1">
            <w:r w:rsidRPr="006F1A93">
              <w:rPr>
                <w:rStyle w:val="Hipervnculo"/>
                <w:noProof/>
                <w:lang w:val="es-ES_tradnl"/>
              </w:rPr>
              <w:t>Eje estratégico 4</w:t>
            </w:r>
            <w:r w:rsidRPr="006F1A93">
              <w:rPr>
                <w:rStyle w:val="Hipervnculo"/>
                <w:noProof/>
              </w:rPr>
              <w:t xml:space="preserve"> </w:t>
            </w:r>
            <w:r w:rsidRPr="006F1A93">
              <w:rPr>
                <w:rStyle w:val="Hipervnculo"/>
                <w:noProof/>
                <w:lang w:val="es-ES_tradnl"/>
              </w:rPr>
              <w:t>Economía diversificada, competitividad y empleo</w:t>
            </w:r>
            <w:r>
              <w:rPr>
                <w:noProof/>
                <w:webHidden/>
              </w:rPr>
              <w:tab/>
            </w:r>
            <w:r>
              <w:rPr>
                <w:noProof/>
                <w:webHidden/>
              </w:rPr>
              <w:fldChar w:fldCharType="begin"/>
            </w:r>
            <w:r>
              <w:rPr>
                <w:noProof/>
                <w:webHidden/>
              </w:rPr>
              <w:instrText xml:space="preserve"> PAGEREF _Toc453004674 \h </w:instrText>
            </w:r>
            <w:r>
              <w:rPr>
                <w:noProof/>
                <w:webHidden/>
              </w:rPr>
            </w:r>
            <w:r>
              <w:rPr>
                <w:noProof/>
                <w:webHidden/>
              </w:rPr>
              <w:fldChar w:fldCharType="separate"/>
            </w:r>
            <w:r>
              <w:rPr>
                <w:noProof/>
                <w:webHidden/>
              </w:rPr>
              <w:t>131</w:t>
            </w:r>
            <w:r>
              <w:rPr>
                <w:noProof/>
                <w:webHidden/>
              </w:rPr>
              <w:fldChar w:fldCharType="end"/>
            </w:r>
          </w:hyperlink>
        </w:p>
        <w:p w:rsidR="00D91F85" w:rsidRDefault="00D91F85">
          <w:pPr>
            <w:pStyle w:val="TDC2"/>
            <w:rPr>
              <w:rFonts w:eastAsiaTheme="minorEastAsia"/>
              <w:noProof/>
              <w:lang w:eastAsia="es-PE"/>
            </w:rPr>
          </w:pPr>
          <w:hyperlink w:anchor="_Toc453004675" w:history="1">
            <w:r w:rsidRPr="006F1A93">
              <w:rPr>
                <w:rStyle w:val="Hipervnculo"/>
                <w:noProof/>
                <w:lang w:val="es-ES_tradnl"/>
              </w:rPr>
              <w:t>Eje estratégico 5</w:t>
            </w:r>
            <w:r w:rsidRPr="006F1A93">
              <w:rPr>
                <w:rStyle w:val="Hipervnculo"/>
                <w:noProof/>
              </w:rPr>
              <w:t xml:space="preserve"> </w:t>
            </w:r>
            <w:r w:rsidRPr="006F1A93">
              <w:rPr>
                <w:rStyle w:val="Hipervnculo"/>
                <w:noProof/>
                <w:lang w:val="es-ES_tradnl"/>
              </w:rPr>
              <w:t>Desarrollo territorial e infraestructura productiva</w:t>
            </w:r>
            <w:r>
              <w:rPr>
                <w:noProof/>
                <w:webHidden/>
              </w:rPr>
              <w:tab/>
            </w:r>
            <w:r>
              <w:rPr>
                <w:noProof/>
                <w:webHidden/>
              </w:rPr>
              <w:fldChar w:fldCharType="begin"/>
            </w:r>
            <w:r>
              <w:rPr>
                <w:noProof/>
                <w:webHidden/>
              </w:rPr>
              <w:instrText xml:space="preserve"> PAGEREF _Toc453004675 \h </w:instrText>
            </w:r>
            <w:r>
              <w:rPr>
                <w:noProof/>
                <w:webHidden/>
              </w:rPr>
            </w:r>
            <w:r>
              <w:rPr>
                <w:noProof/>
                <w:webHidden/>
              </w:rPr>
              <w:fldChar w:fldCharType="separate"/>
            </w:r>
            <w:r>
              <w:rPr>
                <w:noProof/>
                <w:webHidden/>
              </w:rPr>
              <w:t>150</w:t>
            </w:r>
            <w:r>
              <w:rPr>
                <w:noProof/>
                <w:webHidden/>
              </w:rPr>
              <w:fldChar w:fldCharType="end"/>
            </w:r>
          </w:hyperlink>
        </w:p>
        <w:p w:rsidR="00D91F85" w:rsidRDefault="00D91F85">
          <w:pPr>
            <w:pStyle w:val="TDC2"/>
            <w:rPr>
              <w:rFonts w:eastAsiaTheme="minorEastAsia"/>
              <w:noProof/>
              <w:lang w:eastAsia="es-PE"/>
            </w:rPr>
          </w:pPr>
          <w:hyperlink w:anchor="_Toc453004676" w:history="1">
            <w:r w:rsidRPr="006F1A93">
              <w:rPr>
                <w:rStyle w:val="Hipervnculo"/>
                <w:noProof/>
                <w:lang w:val="es-ES_tradnl"/>
              </w:rPr>
              <w:t>Eje estratégico 6</w:t>
            </w:r>
            <w:r w:rsidRPr="006F1A93">
              <w:rPr>
                <w:rStyle w:val="Hipervnculo"/>
                <w:noProof/>
              </w:rPr>
              <w:t xml:space="preserve"> </w:t>
            </w:r>
            <w:r w:rsidRPr="006F1A93">
              <w:rPr>
                <w:rStyle w:val="Hipervnculo"/>
                <w:noProof/>
                <w:lang w:val="es-ES_tradnl"/>
              </w:rPr>
              <w:t>Ambiente, diversidad biológica y gestión del riesgo de desastres</w:t>
            </w:r>
            <w:r>
              <w:rPr>
                <w:noProof/>
                <w:webHidden/>
              </w:rPr>
              <w:tab/>
            </w:r>
            <w:r>
              <w:rPr>
                <w:noProof/>
                <w:webHidden/>
              </w:rPr>
              <w:fldChar w:fldCharType="begin"/>
            </w:r>
            <w:r>
              <w:rPr>
                <w:noProof/>
                <w:webHidden/>
              </w:rPr>
              <w:instrText xml:space="preserve"> PAGEREF _Toc453004676 \h </w:instrText>
            </w:r>
            <w:r>
              <w:rPr>
                <w:noProof/>
                <w:webHidden/>
              </w:rPr>
            </w:r>
            <w:r>
              <w:rPr>
                <w:noProof/>
                <w:webHidden/>
              </w:rPr>
              <w:fldChar w:fldCharType="separate"/>
            </w:r>
            <w:r>
              <w:rPr>
                <w:noProof/>
                <w:webHidden/>
              </w:rPr>
              <w:t>159</w:t>
            </w:r>
            <w:r>
              <w:rPr>
                <w:noProof/>
                <w:webHidden/>
              </w:rPr>
              <w:fldChar w:fldCharType="end"/>
            </w:r>
          </w:hyperlink>
        </w:p>
        <w:p w:rsidR="00D91F85" w:rsidRDefault="00D91F85">
          <w:pPr>
            <w:pStyle w:val="TDC1"/>
            <w:rPr>
              <w:rFonts w:eastAsiaTheme="minorEastAsia"/>
              <w:lang w:val="es-PE" w:eastAsia="es-PE"/>
            </w:rPr>
          </w:pPr>
          <w:hyperlink w:anchor="_Toc453004677" w:history="1">
            <w:r w:rsidRPr="006F1A93">
              <w:rPr>
                <w:rStyle w:val="Hipervnculo"/>
                <w:rFonts w:ascii="Arial Narrow" w:hAnsi="Arial Narrow"/>
                <w:b/>
              </w:rPr>
              <w:t>CAPITULO [6]  Visión del Perú al 2050 Inicio del proceso “Perú Tres Tiempos”</w:t>
            </w:r>
            <w:r>
              <w:rPr>
                <w:webHidden/>
              </w:rPr>
              <w:tab/>
            </w:r>
            <w:r>
              <w:rPr>
                <w:webHidden/>
              </w:rPr>
              <w:fldChar w:fldCharType="begin"/>
            </w:r>
            <w:r>
              <w:rPr>
                <w:webHidden/>
              </w:rPr>
              <w:instrText xml:space="preserve"> PAGEREF _Toc453004677 \h </w:instrText>
            </w:r>
            <w:r>
              <w:rPr>
                <w:webHidden/>
              </w:rPr>
            </w:r>
            <w:r>
              <w:rPr>
                <w:webHidden/>
              </w:rPr>
              <w:fldChar w:fldCharType="separate"/>
            </w:r>
            <w:r>
              <w:rPr>
                <w:webHidden/>
              </w:rPr>
              <w:t>172</w:t>
            </w:r>
            <w:r>
              <w:rPr>
                <w:webHidden/>
              </w:rPr>
              <w:fldChar w:fldCharType="end"/>
            </w:r>
          </w:hyperlink>
        </w:p>
        <w:p w:rsidR="00D91F85" w:rsidRDefault="00D91F85">
          <w:pPr>
            <w:pStyle w:val="TDC1"/>
            <w:rPr>
              <w:rFonts w:eastAsiaTheme="minorEastAsia"/>
              <w:lang w:val="es-PE" w:eastAsia="es-PE"/>
            </w:rPr>
          </w:pPr>
          <w:hyperlink w:anchor="_Toc453004678" w:history="1">
            <w:r w:rsidRPr="006F1A93">
              <w:rPr>
                <w:rStyle w:val="Hipervnculo"/>
                <w:rFonts w:ascii="Arial Narrow" w:hAnsi="Arial Narrow"/>
                <w:b/>
              </w:rPr>
              <w:t>ANEXOS</w:t>
            </w:r>
            <w:r>
              <w:rPr>
                <w:webHidden/>
              </w:rPr>
              <w:tab/>
            </w:r>
            <w:r>
              <w:rPr>
                <w:webHidden/>
              </w:rPr>
              <w:fldChar w:fldCharType="begin"/>
            </w:r>
            <w:r>
              <w:rPr>
                <w:webHidden/>
              </w:rPr>
              <w:instrText xml:space="preserve"> PAGEREF _Toc453004678 \h </w:instrText>
            </w:r>
            <w:r>
              <w:rPr>
                <w:webHidden/>
              </w:rPr>
            </w:r>
            <w:r>
              <w:rPr>
                <w:webHidden/>
              </w:rPr>
              <w:fldChar w:fldCharType="separate"/>
            </w:r>
            <w:r>
              <w:rPr>
                <w:webHidden/>
              </w:rPr>
              <w:t>180</w:t>
            </w:r>
            <w:r>
              <w:rPr>
                <w:webHidden/>
              </w:rPr>
              <w:fldChar w:fldCharType="end"/>
            </w:r>
          </w:hyperlink>
        </w:p>
        <w:p w:rsidR="00D91F85" w:rsidRDefault="00D91F85">
          <w:pPr>
            <w:pStyle w:val="TDC2"/>
            <w:rPr>
              <w:rFonts w:eastAsiaTheme="minorEastAsia"/>
              <w:noProof/>
              <w:lang w:eastAsia="es-PE"/>
            </w:rPr>
          </w:pPr>
          <w:hyperlink w:anchor="_Toc453004679" w:history="1">
            <w:r w:rsidRPr="006F1A93">
              <w:rPr>
                <w:rStyle w:val="Hipervnculo"/>
                <w:noProof/>
                <w:lang w:val="es-ES_tradnl"/>
              </w:rPr>
              <w:t>Fichas de Indicadores</w:t>
            </w:r>
            <w:r>
              <w:rPr>
                <w:noProof/>
                <w:webHidden/>
              </w:rPr>
              <w:tab/>
            </w:r>
            <w:r>
              <w:rPr>
                <w:noProof/>
                <w:webHidden/>
              </w:rPr>
              <w:fldChar w:fldCharType="begin"/>
            </w:r>
            <w:r>
              <w:rPr>
                <w:noProof/>
                <w:webHidden/>
              </w:rPr>
              <w:instrText xml:space="preserve"> PAGEREF _Toc453004679 \h </w:instrText>
            </w:r>
            <w:r>
              <w:rPr>
                <w:noProof/>
                <w:webHidden/>
              </w:rPr>
            </w:r>
            <w:r>
              <w:rPr>
                <w:noProof/>
                <w:webHidden/>
              </w:rPr>
              <w:fldChar w:fldCharType="separate"/>
            </w:r>
            <w:r>
              <w:rPr>
                <w:noProof/>
                <w:webHidden/>
              </w:rPr>
              <w:t>180</w:t>
            </w:r>
            <w:r>
              <w:rPr>
                <w:noProof/>
                <w:webHidden/>
              </w:rPr>
              <w:fldChar w:fldCharType="end"/>
            </w:r>
          </w:hyperlink>
        </w:p>
        <w:p w:rsidR="00D91F85" w:rsidRDefault="00D91F85">
          <w:pPr>
            <w:pStyle w:val="TDC2"/>
            <w:rPr>
              <w:rFonts w:eastAsiaTheme="minorEastAsia"/>
              <w:noProof/>
              <w:lang w:eastAsia="es-PE"/>
            </w:rPr>
          </w:pPr>
          <w:hyperlink w:anchor="_Toc453004680" w:history="1">
            <w:r w:rsidRPr="006F1A93">
              <w:rPr>
                <w:rStyle w:val="Hipervnculo"/>
                <w:noProof/>
                <w:lang w:val="es-ES_tradnl"/>
              </w:rPr>
              <w:t>Referencias bibliográficas</w:t>
            </w:r>
            <w:r>
              <w:rPr>
                <w:noProof/>
                <w:webHidden/>
              </w:rPr>
              <w:tab/>
            </w:r>
            <w:r>
              <w:rPr>
                <w:noProof/>
                <w:webHidden/>
              </w:rPr>
              <w:fldChar w:fldCharType="begin"/>
            </w:r>
            <w:r>
              <w:rPr>
                <w:noProof/>
                <w:webHidden/>
              </w:rPr>
              <w:instrText xml:space="preserve"> PAGEREF _Toc453004680 \h </w:instrText>
            </w:r>
            <w:r>
              <w:rPr>
                <w:noProof/>
                <w:webHidden/>
              </w:rPr>
            </w:r>
            <w:r>
              <w:rPr>
                <w:noProof/>
                <w:webHidden/>
              </w:rPr>
              <w:fldChar w:fldCharType="separate"/>
            </w:r>
            <w:r>
              <w:rPr>
                <w:noProof/>
                <w:webHidden/>
              </w:rPr>
              <w:t>192</w:t>
            </w:r>
            <w:r>
              <w:rPr>
                <w:noProof/>
                <w:webHidden/>
              </w:rPr>
              <w:fldChar w:fldCharType="end"/>
            </w:r>
          </w:hyperlink>
        </w:p>
        <w:p w:rsidR="007A64A0" w:rsidRPr="00EE003F" w:rsidRDefault="007A64A0">
          <w:r w:rsidRPr="00EE003F">
            <w:rPr>
              <w:b/>
              <w:bCs/>
              <w:lang w:val="es-ES"/>
            </w:rPr>
            <w:fldChar w:fldCharType="end"/>
          </w:r>
        </w:p>
      </w:sdtContent>
    </w:sdt>
    <w:p w:rsidR="005B7305" w:rsidRPr="00EE003F" w:rsidRDefault="005B7305" w:rsidP="001E0D19">
      <w:pPr>
        <w:tabs>
          <w:tab w:val="right" w:pos="7700"/>
        </w:tabs>
        <w:autoSpaceDE w:val="0"/>
        <w:autoSpaceDN w:val="0"/>
        <w:adjustRightInd w:val="0"/>
        <w:spacing w:before="113" w:after="0" w:line="288" w:lineRule="auto"/>
        <w:ind w:left="283" w:hanging="283"/>
        <w:textAlignment w:val="center"/>
        <w:rPr>
          <w:rFonts w:ascii="Arial Narrow" w:hAnsi="Arial Narrow" w:cs="Arial"/>
          <w:sz w:val="20"/>
          <w:szCs w:val="20"/>
        </w:rPr>
      </w:pPr>
    </w:p>
    <w:p w:rsidR="005B7305" w:rsidRPr="00EE003F" w:rsidRDefault="005B7305" w:rsidP="001E0D19">
      <w:pPr>
        <w:tabs>
          <w:tab w:val="right" w:pos="7700"/>
        </w:tabs>
        <w:autoSpaceDE w:val="0"/>
        <w:autoSpaceDN w:val="0"/>
        <w:adjustRightInd w:val="0"/>
        <w:spacing w:before="113" w:after="0" w:line="288" w:lineRule="auto"/>
        <w:ind w:left="283" w:hanging="283"/>
        <w:textAlignment w:val="center"/>
        <w:rPr>
          <w:rFonts w:ascii="Arial Narrow" w:hAnsi="Arial Narrow" w:cs="Arial"/>
          <w:sz w:val="20"/>
          <w:szCs w:val="20"/>
        </w:rPr>
      </w:pPr>
    </w:p>
    <w:p w:rsidR="001E0D19" w:rsidRPr="00EE003F" w:rsidRDefault="001E0D19" w:rsidP="008D0CB9">
      <w:pPr>
        <w:autoSpaceDE w:val="0"/>
        <w:autoSpaceDN w:val="0"/>
        <w:adjustRightInd w:val="0"/>
        <w:spacing w:after="0" w:line="240" w:lineRule="auto"/>
        <w:rPr>
          <w:rFonts w:ascii="Arial Narrow" w:hAnsi="Arial Narrow"/>
          <w:b/>
          <w:sz w:val="24"/>
          <w:szCs w:val="24"/>
          <w:lang w:val="es-ES_tradnl"/>
        </w:rPr>
      </w:pPr>
    </w:p>
    <w:p w:rsidR="008F2112" w:rsidRPr="00EE003F" w:rsidRDefault="008F2112">
      <w:pPr>
        <w:rPr>
          <w:rFonts w:ascii="Arial Narrow" w:hAnsi="Arial Narrow"/>
          <w:b/>
          <w:sz w:val="24"/>
          <w:szCs w:val="24"/>
        </w:rPr>
      </w:pPr>
      <w:r w:rsidRPr="00EE003F">
        <w:rPr>
          <w:rFonts w:ascii="Arial Narrow" w:hAnsi="Arial Narrow"/>
          <w:b/>
          <w:sz w:val="24"/>
          <w:szCs w:val="24"/>
        </w:rPr>
        <w:br w:type="page"/>
      </w:r>
    </w:p>
    <w:p w:rsidR="001E0D19" w:rsidRPr="00EE003F" w:rsidRDefault="001E0D19" w:rsidP="005B7305">
      <w:pPr>
        <w:pStyle w:val="Ttulo1"/>
      </w:pPr>
      <w:bookmarkStart w:id="2" w:name="_Toc448396872"/>
      <w:bookmarkStart w:id="3" w:name="_Toc453004645"/>
      <w:r w:rsidRPr="00EE003F">
        <w:t>Prefacio</w:t>
      </w:r>
      <w:bookmarkEnd w:id="2"/>
      <w:bookmarkEnd w:id="3"/>
    </w:p>
    <w:p w:rsidR="001E0D19" w:rsidRPr="00EE003F" w:rsidRDefault="001E0D19" w:rsidP="001E0D19">
      <w:pPr>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p>
    <w:p w:rsidR="001E0D19" w:rsidRPr="00EE003F" w:rsidRDefault="001E0D19" w:rsidP="001E0D19">
      <w:pPr>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p>
    <w:p w:rsidR="001E0D19" w:rsidRPr="00EE003F" w:rsidRDefault="001E0D19" w:rsidP="00C33EB0">
      <w:pPr>
        <w:suppressAutoHyphens/>
        <w:autoSpaceDE w:val="0"/>
        <w:autoSpaceDN w:val="0"/>
        <w:adjustRightInd w:val="0"/>
        <w:spacing w:before="113" w:after="0" w:line="240" w:lineRule="auto"/>
        <w:jc w:val="both"/>
        <w:textAlignment w:val="center"/>
        <w:rPr>
          <w:rFonts w:ascii="Arial Narrow" w:hAnsi="Arial Narrow" w:cs="Arial"/>
          <w:spacing w:val="-2"/>
          <w:sz w:val="24"/>
          <w:szCs w:val="24"/>
          <w:lang w:val="es-ES_tradnl"/>
        </w:rPr>
      </w:pPr>
      <w:r w:rsidRPr="00EE003F">
        <w:rPr>
          <w:rFonts w:ascii="Arial Narrow" w:hAnsi="Arial Narrow" w:cs="Arial"/>
          <w:sz w:val="24"/>
          <w:szCs w:val="24"/>
          <w:lang w:val="es-ES_tradnl"/>
        </w:rPr>
        <w:t>El 2021 no solo marcará el segundo centenario de la independencia del Perú, puede ser</w:t>
      </w:r>
      <w:r w:rsidRPr="00EE003F">
        <w:rPr>
          <w:rFonts w:ascii="Arial Narrow" w:hAnsi="Arial Narrow" w:cs="Arial"/>
          <w:spacing w:val="-2"/>
          <w:sz w:val="24"/>
          <w:szCs w:val="24"/>
          <w:lang w:val="es-ES_tradnl"/>
        </w:rPr>
        <w:t xml:space="preserve"> también el año del ascenso del Perú al grupo de países de alto desarrollo humano, la Organización para la Cooperación y el Desarrollo Económico - OCDE. Para entonces, podremos exhibir orgullosos una trayectoria de crecimiento económico sostenido e inclusivo</w:t>
      </w:r>
      <w:r w:rsidR="00EA6998" w:rsidRPr="00EE003F">
        <w:rPr>
          <w:rFonts w:ascii="Arial Narrow" w:hAnsi="Arial Narrow" w:cs="Arial"/>
          <w:spacing w:val="-2"/>
          <w:sz w:val="24"/>
          <w:szCs w:val="24"/>
          <w:lang w:val="es-ES_tradnl"/>
        </w:rPr>
        <w:t xml:space="preserve"> </w:t>
      </w:r>
      <w:r w:rsidR="00F465BA" w:rsidRPr="00EE003F">
        <w:rPr>
          <w:rFonts w:ascii="Arial Narrow" w:hAnsi="Arial Narrow" w:cs="Arial"/>
          <w:spacing w:val="-2"/>
          <w:sz w:val="24"/>
          <w:szCs w:val="24"/>
          <w:lang w:val="es-ES_tradnl"/>
        </w:rPr>
        <w:t>(reducción de la pobreza monetaria, pobreza multidimensional)</w:t>
      </w:r>
      <w:r w:rsidRPr="00EE003F">
        <w:rPr>
          <w:rFonts w:ascii="Arial Narrow" w:hAnsi="Arial Narrow" w:cs="Arial"/>
          <w:spacing w:val="-2"/>
          <w:sz w:val="24"/>
          <w:szCs w:val="24"/>
          <w:lang w:val="es-ES_tradnl"/>
        </w:rPr>
        <w:t xml:space="preserve">, </w:t>
      </w:r>
      <w:r w:rsidR="00BE59E1" w:rsidRPr="00EE003F">
        <w:rPr>
          <w:rFonts w:ascii="Arial Narrow" w:hAnsi="Arial Narrow" w:cs="Arial"/>
          <w:spacing w:val="-2"/>
          <w:sz w:val="24"/>
          <w:szCs w:val="24"/>
          <w:lang w:val="es-ES_tradnl"/>
        </w:rPr>
        <w:t xml:space="preserve">de más de </w:t>
      </w:r>
      <w:r w:rsidRPr="00EE003F">
        <w:rPr>
          <w:rFonts w:ascii="Arial Narrow" w:hAnsi="Arial Narrow" w:cs="Arial"/>
          <w:spacing w:val="-2"/>
          <w:sz w:val="24"/>
          <w:szCs w:val="24"/>
          <w:lang w:val="es-ES_tradnl"/>
        </w:rPr>
        <w:t xml:space="preserve">30 años de crecimiento </w:t>
      </w:r>
      <w:r w:rsidR="00BE59E1" w:rsidRPr="00EE003F">
        <w:rPr>
          <w:rFonts w:ascii="Arial Narrow" w:hAnsi="Arial Narrow" w:cs="Arial"/>
          <w:spacing w:val="-2"/>
          <w:sz w:val="24"/>
          <w:szCs w:val="24"/>
          <w:lang w:val="es-ES_tradnl"/>
        </w:rPr>
        <w:t xml:space="preserve">ininterrumpido </w:t>
      </w:r>
      <w:r w:rsidRPr="00EE003F">
        <w:rPr>
          <w:rFonts w:ascii="Arial Narrow" w:hAnsi="Arial Narrow" w:cs="Arial"/>
          <w:spacing w:val="-2"/>
          <w:sz w:val="24"/>
          <w:szCs w:val="24"/>
          <w:lang w:val="es-ES_tradnl"/>
        </w:rPr>
        <w:t>del PBI</w:t>
      </w:r>
      <w:r w:rsidR="00BE59E1" w:rsidRPr="00EE003F">
        <w:rPr>
          <w:rFonts w:ascii="Arial Narrow" w:hAnsi="Arial Narrow" w:cs="Arial"/>
          <w:spacing w:val="-2"/>
          <w:sz w:val="24"/>
          <w:szCs w:val="24"/>
          <w:lang w:val="es-ES_tradnl"/>
        </w:rPr>
        <w:t xml:space="preserve">, algo nunca visto en la historia económica del Perú, </w:t>
      </w:r>
      <w:r w:rsidRPr="00EE003F">
        <w:rPr>
          <w:rFonts w:ascii="Arial Narrow" w:hAnsi="Arial Narrow" w:cs="Arial"/>
          <w:spacing w:val="-2"/>
          <w:sz w:val="24"/>
          <w:szCs w:val="24"/>
          <w:lang w:val="es-ES_tradnl"/>
        </w:rPr>
        <w:t>con una estructura productiva más diversificada y una economía más competitiva, gracias a las mejoras en capital humano (fruto de efectivas reformas en educación y salud) y los avances en la infraestructura (transporte, tecnologías de la información, comunicaciones, energía, saneamiento y servicios básicos), lo que hará posible que muchos más peruanos se incorporen a los mercados nacionales e internacionales, dejen para siempre la pobreza y se haga realidad una auténtica inclusión social.</w:t>
      </w:r>
    </w:p>
    <w:p w:rsidR="001E0D19" w:rsidRPr="00EE003F" w:rsidRDefault="001E0D19" w:rsidP="00C33EB0">
      <w:pPr>
        <w:suppressAutoHyphens/>
        <w:autoSpaceDE w:val="0"/>
        <w:autoSpaceDN w:val="0"/>
        <w:adjustRightInd w:val="0"/>
        <w:spacing w:before="113" w:after="0" w:line="240" w:lineRule="auto"/>
        <w:jc w:val="both"/>
        <w:textAlignment w:val="center"/>
        <w:rPr>
          <w:rFonts w:ascii="Arial Narrow" w:hAnsi="Arial Narrow" w:cs="Arial"/>
          <w:spacing w:val="-2"/>
          <w:sz w:val="24"/>
          <w:szCs w:val="24"/>
          <w:lang w:val="es-ES_tradnl"/>
        </w:rPr>
      </w:pPr>
      <w:r w:rsidRPr="00EE003F">
        <w:rPr>
          <w:rFonts w:ascii="Arial Narrow" w:hAnsi="Arial Narrow" w:cs="Arial"/>
          <w:spacing w:val="-2"/>
          <w:sz w:val="24"/>
          <w:szCs w:val="24"/>
          <w:lang w:val="es-ES_tradnl"/>
        </w:rPr>
        <w:t>Ciertamente, hacia el 2021, el Perú no habrá eliminado la pobreza, pero la habrá reducido significativamente, y la pobreza extrema –para todo efecto práctico– será una cosa del pasado. Seguiremos siendo un país con desigualdad, pero mucho más inclusivo que en la actualidad. Debido al peso de la historia, las diferencias entre lo urbano y lo rural persistirán, principalmente en materia de servicios básicos, como salud, educación, agua y saneamiento, electricidad; pero sus efectos serán mucho menores que en aquellas “décadas perdidas” de fines del siglo XX, gracias a la acción de un Estado que entiende a cabalidad su papel en la búsqueda de la justicia social.</w:t>
      </w:r>
    </w:p>
    <w:p w:rsidR="001E0D19" w:rsidRPr="00EE003F" w:rsidRDefault="001E0D19" w:rsidP="00C33EB0">
      <w:pPr>
        <w:suppressAutoHyphens/>
        <w:autoSpaceDE w:val="0"/>
        <w:autoSpaceDN w:val="0"/>
        <w:adjustRightInd w:val="0"/>
        <w:spacing w:before="113" w:after="0" w:line="240" w:lineRule="auto"/>
        <w:jc w:val="both"/>
        <w:textAlignment w:val="center"/>
        <w:rPr>
          <w:rFonts w:ascii="Arial Narrow" w:hAnsi="Arial Narrow" w:cs="Arial"/>
          <w:spacing w:val="-2"/>
          <w:sz w:val="24"/>
          <w:szCs w:val="24"/>
          <w:lang w:val="es-ES_tradnl"/>
        </w:rPr>
      </w:pPr>
      <w:r w:rsidRPr="00EE003F">
        <w:rPr>
          <w:rFonts w:ascii="Arial Narrow" w:hAnsi="Arial Narrow" w:cs="Arial"/>
          <w:spacing w:val="-2"/>
          <w:sz w:val="24"/>
          <w:szCs w:val="24"/>
          <w:lang w:val="es-ES_tradnl"/>
        </w:rPr>
        <w:t xml:space="preserve">Hacia el 2021, los peruanos tendremos más oportunidades, producto de una sociedad que abraza la globalización y el cambio tecnológico con un sentimiento de genuina emoción. La economía peruana mostrará una mayor diversificación productiva </w:t>
      </w:r>
      <w:r w:rsidR="0048319C" w:rsidRPr="00EE003F">
        <w:rPr>
          <w:rFonts w:ascii="Arial Narrow" w:hAnsi="Arial Narrow" w:cs="Arial"/>
          <w:spacing w:val="-2"/>
          <w:sz w:val="24"/>
          <w:szCs w:val="24"/>
          <w:lang w:val="es-ES_tradnl"/>
        </w:rPr>
        <w:t xml:space="preserve">y será más competitiva, debido </w:t>
      </w:r>
      <w:r w:rsidRPr="00EE003F">
        <w:rPr>
          <w:rFonts w:ascii="Arial Narrow" w:hAnsi="Arial Narrow" w:cs="Arial"/>
          <w:spacing w:val="-2"/>
          <w:sz w:val="24"/>
          <w:szCs w:val="24"/>
          <w:lang w:val="es-ES_tradnl"/>
        </w:rPr>
        <w:t xml:space="preserve"> al incremento de las capacidades cognitivas, productivas e innovadoras de su gente y no solo a partir de </w:t>
      </w:r>
      <w:r w:rsidR="00C33EB0" w:rsidRPr="00EE003F">
        <w:rPr>
          <w:rFonts w:ascii="Arial Narrow" w:hAnsi="Arial Narrow" w:cs="Arial"/>
          <w:spacing w:val="-2"/>
          <w:sz w:val="24"/>
          <w:szCs w:val="24"/>
          <w:lang w:val="es-ES_tradnl"/>
        </w:rPr>
        <w:t>los</w:t>
      </w:r>
      <w:r w:rsidRPr="00EE003F">
        <w:rPr>
          <w:rFonts w:ascii="Arial Narrow" w:hAnsi="Arial Narrow" w:cs="Arial"/>
          <w:spacing w:val="-2"/>
          <w:sz w:val="24"/>
          <w:szCs w:val="24"/>
          <w:lang w:val="es-ES_tradnl"/>
        </w:rPr>
        <w:t xml:space="preserve"> recursos naturales (como los provenientes de </w:t>
      </w:r>
      <w:r w:rsidR="00C33EB0" w:rsidRPr="00EE003F">
        <w:rPr>
          <w:rFonts w:ascii="Arial Narrow" w:hAnsi="Arial Narrow" w:cs="Arial"/>
          <w:spacing w:val="-2"/>
          <w:sz w:val="24"/>
          <w:szCs w:val="24"/>
          <w:lang w:val="es-ES_tradnl"/>
        </w:rPr>
        <w:t>la</w:t>
      </w:r>
      <w:r w:rsidRPr="00EE003F">
        <w:rPr>
          <w:rFonts w:ascii="Arial Narrow" w:hAnsi="Arial Narrow" w:cs="Arial"/>
          <w:spacing w:val="-2"/>
          <w:sz w:val="24"/>
          <w:szCs w:val="24"/>
          <w:lang w:val="es-ES_tradnl"/>
        </w:rPr>
        <w:t xml:space="preserve"> minería, biodiversidad y </w:t>
      </w:r>
      <w:r w:rsidR="00C33EB0" w:rsidRPr="00EE003F">
        <w:rPr>
          <w:rFonts w:ascii="Arial Narrow" w:hAnsi="Arial Narrow" w:cs="Arial"/>
          <w:spacing w:val="-2"/>
          <w:sz w:val="24"/>
          <w:szCs w:val="24"/>
          <w:lang w:val="es-ES_tradnl"/>
        </w:rPr>
        <w:t>la</w:t>
      </w:r>
      <w:r w:rsidRPr="00EE003F">
        <w:rPr>
          <w:rFonts w:ascii="Arial Narrow" w:hAnsi="Arial Narrow" w:cs="Arial"/>
          <w:spacing w:val="-2"/>
          <w:sz w:val="24"/>
          <w:szCs w:val="24"/>
          <w:lang w:val="es-ES_tradnl"/>
        </w:rPr>
        <w:t xml:space="preserve"> riqueza bioclimática), los que, por su vulnerabilidad o reducida complejidad productiva, pudieron haber retenido al país en la llamada “trampa de los ingresos medios”. </w:t>
      </w:r>
    </w:p>
    <w:p w:rsidR="001E0D19" w:rsidRPr="00EE003F" w:rsidRDefault="001E0D19" w:rsidP="00C33EB0">
      <w:pPr>
        <w:suppressAutoHyphens/>
        <w:autoSpaceDE w:val="0"/>
        <w:autoSpaceDN w:val="0"/>
        <w:adjustRightInd w:val="0"/>
        <w:spacing w:before="113" w:after="0" w:line="240" w:lineRule="auto"/>
        <w:jc w:val="both"/>
        <w:textAlignment w:val="center"/>
        <w:rPr>
          <w:rFonts w:ascii="Arial Narrow" w:hAnsi="Arial Narrow" w:cs="Arial"/>
          <w:spacing w:val="-2"/>
          <w:sz w:val="24"/>
          <w:szCs w:val="24"/>
          <w:lang w:val="es-ES_tradnl"/>
        </w:rPr>
      </w:pPr>
      <w:r w:rsidRPr="00EE003F">
        <w:rPr>
          <w:rFonts w:ascii="Arial Narrow" w:hAnsi="Arial Narrow" w:cs="Arial"/>
          <w:spacing w:val="-2"/>
          <w:sz w:val="24"/>
          <w:szCs w:val="24"/>
          <w:lang w:val="es-ES_tradnl"/>
        </w:rPr>
        <w:t xml:space="preserve">La implementación de la Estrategia Nacional para el Desarrollo de la Ciencia, Tecnología e Innovación “Crear para Crecer” habrá empezado a dar frutos, al articular los resultados de la investigación con el sector productivo, </w:t>
      </w:r>
      <w:r w:rsidR="005077F6" w:rsidRPr="00EE003F">
        <w:rPr>
          <w:rFonts w:ascii="Arial Narrow" w:hAnsi="Arial Narrow" w:cs="Arial"/>
          <w:spacing w:val="-2"/>
          <w:sz w:val="24"/>
          <w:szCs w:val="24"/>
          <w:lang w:val="es-ES_tradnl"/>
        </w:rPr>
        <w:t xml:space="preserve">incluyendo la innovación en materia agraria a nivel nacional con fines de seguridad alimentaria nutricional, así como la transferencia tecnológica con el fin de </w:t>
      </w:r>
      <w:r w:rsidRPr="00EE003F">
        <w:rPr>
          <w:rFonts w:ascii="Arial Narrow" w:hAnsi="Arial Narrow" w:cs="Arial"/>
          <w:spacing w:val="-2"/>
          <w:sz w:val="24"/>
          <w:szCs w:val="24"/>
          <w:lang w:val="es-ES_tradnl"/>
        </w:rPr>
        <w:t xml:space="preserve">incrementar el número de investigadores y profesionales debidamente calificados, mejorar los niveles de calidad de los centros de investigación y </w:t>
      </w:r>
      <w:r w:rsidR="005077F6" w:rsidRPr="00EE003F">
        <w:rPr>
          <w:rFonts w:ascii="Arial Narrow" w:hAnsi="Arial Narrow" w:cs="Arial"/>
          <w:spacing w:val="-2"/>
          <w:sz w:val="24"/>
          <w:szCs w:val="24"/>
          <w:lang w:val="es-ES_tradnl"/>
        </w:rPr>
        <w:t xml:space="preserve">generando </w:t>
      </w:r>
      <w:r w:rsidRPr="00EE003F">
        <w:rPr>
          <w:rFonts w:ascii="Arial Narrow" w:hAnsi="Arial Narrow" w:cs="Arial"/>
          <w:spacing w:val="-2"/>
          <w:sz w:val="24"/>
          <w:szCs w:val="24"/>
          <w:lang w:val="es-ES_tradnl"/>
        </w:rPr>
        <w:t>nuevos incentivos para la innovación</w:t>
      </w:r>
      <w:r w:rsidR="005077F6" w:rsidRPr="00EE003F">
        <w:rPr>
          <w:rFonts w:ascii="Arial Narrow" w:hAnsi="Arial Narrow" w:cs="Arial"/>
          <w:spacing w:val="-2"/>
          <w:sz w:val="24"/>
          <w:szCs w:val="24"/>
          <w:lang w:val="es-ES_tradnl"/>
        </w:rPr>
        <w:t xml:space="preserve"> nacional</w:t>
      </w:r>
      <w:r w:rsidRPr="00EE003F">
        <w:rPr>
          <w:rFonts w:ascii="Arial Narrow" w:hAnsi="Arial Narrow" w:cs="Arial"/>
          <w:spacing w:val="-2"/>
          <w:sz w:val="24"/>
          <w:szCs w:val="24"/>
          <w:lang w:val="es-ES_tradnl"/>
        </w:rPr>
        <w:t>.</w:t>
      </w:r>
    </w:p>
    <w:p w:rsidR="001E0D19" w:rsidRPr="00EE003F" w:rsidRDefault="001E0D19" w:rsidP="00C33EB0">
      <w:pPr>
        <w:suppressAutoHyphens/>
        <w:autoSpaceDE w:val="0"/>
        <w:autoSpaceDN w:val="0"/>
        <w:adjustRightInd w:val="0"/>
        <w:spacing w:before="113" w:after="0" w:line="240" w:lineRule="auto"/>
        <w:jc w:val="both"/>
        <w:textAlignment w:val="center"/>
        <w:rPr>
          <w:rFonts w:ascii="Arial Narrow" w:hAnsi="Arial Narrow" w:cs="Arial"/>
          <w:spacing w:val="-2"/>
          <w:sz w:val="24"/>
          <w:szCs w:val="24"/>
          <w:lang w:val="es-ES_tradnl"/>
        </w:rPr>
      </w:pPr>
      <w:r w:rsidRPr="00EE003F">
        <w:rPr>
          <w:rFonts w:ascii="Arial Narrow" w:hAnsi="Arial Narrow" w:cs="Arial"/>
          <w:spacing w:val="-2"/>
          <w:sz w:val="24"/>
          <w:szCs w:val="24"/>
          <w:lang w:val="es-ES_tradnl"/>
        </w:rPr>
        <w:t>Las políticas de educación</w:t>
      </w:r>
      <w:r w:rsidR="005077F6" w:rsidRPr="00EE003F">
        <w:rPr>
          <w:rFonts w:ascii="Arial Narrow" w:hAnsi="Arial Narrow" w:cs="Arial"/>
          <w:spacing w:val="-2"/>
          <w:sz w:val="24"/>
          <w:szCs w:val="24"/>
          <w:lang w:val="es-ES_tradnl"/>
        </w:rPr>
        <w:t xml:space="preserve">, </w:t>
      </w:r>
      <w:r w:rsidR="00573983" w:rsidRPr="00EE003F">
        <w:rPr>
          <w:rFonts w:ascii="Arial Narrow" w:hAnsi="Arial Narrow" w:cs="Arial"/>
          <w:spacing w:val="-2"/>
          <w:sz w:val="24"/>
          <w:szCs w:val="24"/>
          <w:lang w:val="es-ES_tradnl"/>
        </w:rPr>
        <w:t>salud y</w:t>
      </w:r>
      <w:r w:rsidR="005077F6" w:rsidRPr="00EE003F">
        <w:rPr>
          <w:rFonts w:ascii="Arial Narrow" w:hAnsi="Arial Narrow" w:cs="Arial"/>
          <w:spacing w:val="-2"/>
          <w:sz w:val="24"/>
          <w:szCs w:val="24"/>
          <w:lang w:val="es-ES_tradnl"/>
        </w:rPr>
        <w:t xml:space="preserve"> seguridad alimentaria</w:t>
      </w:r>
      <w:r w:rsidRPr="00EE003F">
        <w:rPr>
          <w:rFonts w:ascii="Arial Narrow" w:hAnsi="Arial Narrow" w:cs="Arial"/>
          <w:spacing w:val="-2"/>
          <w:sz w:val="24"/>
          <w:szCs w:val="24"/>
          <w:lang w:val="es-ES_tradnl"/>
        </w:rPr>
        <w:t xml:space="preserve">, articuladas con el Plan Nacional de Diversificación Productiva </w:t>
      </w:r>
      <w:r w:rsidR="005203AC" w:rsidRPr="00EE003F">
        <w:rPr>
          <w:rFonts w:ascii="Arial Narrow" w:hAnsi="Arial Narrow" w:cs="Arial"/>
          <w:spacing w:val="-2"/>
          <w:sz w:val="24"/>
          <w:szCs w:val="24"/>
          <w:lang w:val="es-ES_tradnl"/>
        </w:rPr>
        <w:t xml:space="preserve">y la Agenda de Competitividad </w:t>
      </w:r>
      <w:r w:rsidRPr="00EE003F">
        <w:rPr>
          <w:rFonts w:ascii="Arial Narrow" w:hAnsi="Arial Narrow" w:cs="Arial"/>
          <w:spacing w:val="-2"/>
          <w:sz w:val="24"/>
          <w:szCs w:val="24"/>
          <w:lang w:val="es-ES_tradnl"/>
        </w:rPr>
        <w:t xml:space="preserve">habrán empezado a constituirse en los motores de un crecimiento sostenido, sustentable e inclusivo. En el 2021, el </w:t>
      </w:r>
      <w:r w:rsidR="00C33EB0" w:rsidRPr="00EE003F">
        <w:rPr>
          <w:rFonts w:ascii="Arial Narrow" w:hAnsi="Arial Narrow" w:cs="Arial"/>
          <w:spacing w:val="-2"/>
          <w:sz w:val="24"/>
          <w:szCs w:val="24"/>
          <w:lang w:val="es-ES_tradnl"/>
        </w:rPr>
        <w:t>95</w:t>
      </w:r>
      <w:r w:rsidRPr="00EE003F">
        <w:rPr>
          <w:rFonts w:ascii="Arial Narrow" w:hAnsi="Arial Narrow" w:cs="Arial"/>
          <w:spacing w:val="-2"/>
          <w:sz w:val="24"/>
          <w:szCs w:val="24"/>
          <w:lang w:val="es-ES_tradnl"/>
        </w:rPr>
        <w:t xml:space="preserve">% de los peruanos contarán con la cobertura de un seguro de salud y la inversión en educación </w:t>
      </w:r>
      <w:r w:rsidR="00EA6998" w:rsidRPr="00EE003F">
        <w:rPr>
          <w:rFonts w:ascii="Arial Narrow" w:hAnsi="Arial Narrow" w:cs="Arial"/>
          <w:spacing w:val="-2"/>
          <w:sz w:val="24"/>
          <w:szCs w:val="24"/>
          <w:lang w:val="es-ES_tradnl"/>
        </w:rPr>
        <w:t xml:space="preserve">habrá logrado </w:t>
      </w:r>
      <w:r w:rsidR="00F465BA" w:rsidRPr="00EE003F">
        <w:rPr>
          <w:rFonts w:ascii="Arial Narrow" w:hAnsi="Arial Narrow" w:cs="Arial"/>
          <w:spacing w:val="-2"/>
          <w:sz w:val="24"/>
          <w:szCs w:val="24"/>
          <w:lang w:val="es-ES_tradnl"/>
        </w:rPr>
        <w:t>mayores niveles de cobertura y de calidad</w:t>
      </w:r>
      <w:r w:rsidRPr="00EE003F">
        <w:rPr>
          <w:rFonts w:ascii="Arial Narrow" w:hAnsi="Arial Narrow" w:cs="Arial"/>
          <w:spacing w:val="-2"/>
          <w:sz w:val="24"/>
          <w:szCs w:val="24"/>
          <w:lang w:val="es-ES_tradnl"/>
        </w:rPr>
        <w:t>, al llegar a la meta planteada por</w:t>
      </w:r>
      <w:r w:rsidR="00C33EB0" w:rsidRPr="00EE003F">
        <w:rPr>
          <w:rFonts w:ascii="Arial Narrow" w:hAnsi="Arial Narrow" w:cs="Arial"/>
          <w:spacing w:val="-2"/>
          <w:sz w:val="24"/>
          <w:szCs w:val="24"/>
          <w:lang w:val="es-ES_tradnl"/>
        </w:rPr>
        <w:t xml:space="preserve"> el Acuerdo Nacional en el 2002. Esto</w:t>
      </w:r>
      <w:r w:rsidRPr="00EE003F">
        <w:rPr>
          <w:rFonts w:ascii="Arial Narrow" w:hAnsi="Arial Narrow" w:cs="Arial"/>
          <w:spacing w:val="-2"/>
          <w:sz w:val="24"/>
          <w:szCs w:val="24"/>
          <w:lang w:val="es-ES_tradnl"/>
        </w:rPr>
        <w:t xml:space="preserve"> sumado a las reformas emprendidas por el actual gobierno en cuanto a la revalorización de la carrera docente, la inversión en infraestructura educativa, la mejora de la calidad de</w:t>
      </w:r>
      <w:r w:rsidR="00257D87" w:rsidRPr="00EE003F">
        <w:rPr>
          <w:rFonts w:ascii="Arial Narrow" w:hAnsi="Arial Narrow" w:cs="Arial"/>
          <w:spacing w:val="-2"/>
          <w:sz w:val="24"/>
          <w:szCs w:val="24"/>
          <w:lang w:val="es-ES_tradnl"/>
        </w:rPr>
        <w:t>l</w:t>
      </w:r>
      <w:r w:rsidRPr="00EE003F">
        <w:rPr>
          <w:rFonts w:ascii="Arial Narrow" w:hAnsi="Arial Narrow" w:cs="Arial"/>
          <w:spacing w:val="-2"/>
          <w:sz w:val="24"/>
          <w:szCs w:val="24"/>
          <w:lang w:val="es-ES_tradnl"/>
        </w:rPr>
        <w:t xml:space="preserve"> aprendizaje, la modernización de la gestión y la política nacional de enseñanza del inglés contribuirán a mejorar el capital humano. Por otro lado, </w:t>
      </w:r>
      <w:r w:rsidR="005203AC" w:rsidRPr="00EE003F">
        <w:rPr>
          <w:rFonts w:ascii="Arial Narrow" w:hAnsi="Arial Narrow" w:cs="Arial"/>
          <w:spacing w:val="-2"/>
          <w:sz w:val="24"/>
          <w:szCs w:val="24"/>
          <w:lang w:val="es-ES_tradnl"/>
        </w:rPr>
        <w:t xml:space="preserve">tanto </w:t>
      </w:r>
      <w:r w:rsidRPr="00EE003F">
        <w:rPr>
          <w:rFonts w:ascii="Arial Narrow" w:hAnsi="Arial Narrow" w:cs="Arial"/>
          <w:spacing w:val="-2"/>
          <w:sz w:val="24"/>
          <w:szCs w:val="24"/>
          <w:lang w:val="es-ES_tradnl"/>
        </w:rPr>
        <w:t xml:space="preserve">el Plan Nacional de Diversificación Productiva </w:t>
      </w:r>
      <w:r w:rsidR="005203AC" w:rsidRPr="00EE003F">
        <w:rPr>
          <w:rFonts w:ascii="Arial Narrow" w:hAnsi="Arial Narrow" w:cs="Arial"/>
          <w:spacing w:val="-2"/>
          <w:sz w:val="24"/>
          <w:szCs w:val="24"/>
          <w:lang w:val="es-ES_tradnl"/>
        </w:rPr>
        <w:t xml:space="preserve">como la Agenda de Competitividad </w:t>
      </w:r>
      <w:r w:rsidRPr="00EE003F">
        <w:rPr>
          <w:rFonts w:ascii="Arial Narrow" w:hAnsi="Arial Narrow" w:cs="Arial"/>
          <w:spacing w:val="-2"/>
          <w:sz w:val="24"/>
          <w:szCs w:val="24"/>
          <w:lang w:val="es-ES_tradnl"/>
        </w:rPr>
        <w:t>habrá</w:t>
      </w:r>
      <w:r w:rsidR="005203AC" w:rsidRPr="00EE003F">
        <w:rPr>
          <w:rFonts w:ascii="Arial Narrow" w:hAnsi="Arial Narrow" w:cs="Arial"/>
          <w:spacing w:val="-2"/>
          <w:sz w:val="24"/>
          <w:szCs w:val="24"/>
          <w:lang w:val="es-ES_tradnl"/>
        </w:rPr>
        <w:t>n</w:t>
      </w:r>
      <w:r w:rsidRPr="00EE003F">
        <w:rPr>
          <w:rFonts w:ascii="Arial Narrow" w:hAnsi="Arial Narrow" w:cs="Arial"/>
          <w:spacing w:val="-2"/>
          <w:sz w:val="24"/>
          <w:szCs w:val="24"/>
          <w:lang w:val="es-ES_tradnl"/>
        </w:rPr>
        <w:t xml:space="preserve"> contribuido a ampliar la canasta exportadora de la economía, al adecuar y simplificar las regulaciones, incrementar la productividad </w:t>
      </w:r>
      <w:r w:rsidR="005203AC" w:rsidRPr="00EE003F">
        <w:rPr>
          <w:rFonts w:ascii="Arial Narrow" w:hAnsi="Arial Narrow" w:cs="Arial"/>
          <w:spacing w:val="-2"/>
          <w:sz w:val="24"/>
          <w:szCs w:val="24"/>
          <w:lang w:val="es-ES_tradnl"/>
        </w:rPr>
        <w:t xml:space="preserve">y </w:t>
      </w:r>
      <w:r w:rsidR="00243889" w:rsidRPr="00EE003F">
        <w:rPr>
          <w:rFonts w:ascii="Arial Narrow" w:hAnsi="Arial Narrow" w:cs="Arial"/>
          <w:spacing w:val="-2"/>
          <w:sz w:val="24"/>
          <w:szCs w:val="24"/>
          <w:lang w:val="es-ES_tradnl"/>
        </w:rPr>
        <w:t xml:space="preserve">la </w:t>
      </w:r>
      <w:r w:rsidR="005203AC" w:rsidRPr="00EE003F">
        <w:rPr>
          <w:rFonts w:ascii="Arial Narrow" w:hAnsi="Arial Narrow" w:cs="Arial"/>
          <w:spacing w:val="-2"/>
          <w:sz w:val="24"/>
          <w:szCs w:val="24"/>
          <w:lang w:val="es-ES_tradnl"/>
        </w:rPr>
        <w:t xml:space="preserve">competitividad </w:t>
      </w:r>
      <w:r w:rsidRPr="00EE003F">
        <w:rPr>
          <w:rFonts w:ascii="Arial Narrow" w:hAnsi="Arial Narrow" w:cs="Arial"/>
          <w:spacing w:val="-2"/>
          <w:sz w:val="24"/>
          <w:szCs w:val="24"/>
          <w:lang w:val="es-ES_tradnl"/>
        </w:rPr>
        <w:t>de la economía y reducir su heterogeneidad en el ámbito territorial.</w:t>
      </w:r>
    </w:p>
    <w:p w:rsidR="001E0D19" w:rsidRPr="00EE003F" w:rsidRDefault="001E0D19" w:rsidP="00C33EB0">
      <w:pPr>
        <w:suppressAutoHyphens/>
        <w:autoSpaceDE w:val="0"/>
        <w:autoSpaceDN w:val="0"/>
        <w:adjustRightInd w:val="0"/>
        <w:spacing w:before="113" w:after="0" w:line="240" w:lineRule="auto"/>
        <w:jc w:val="both"/>
        <w:textAlignment w:val="center"/>
        <w:rPr>
          <w:rFonts w:ascii="Arial Narrow" w:hAnsi="Arial Narrow" w:cs="Arial"/>
          <w:spacing w:val="-2"/>
          <w:sz w:val="24"/>
          <w:szCs w:val="24"/>
          <w:lang w:val="es-ES_tradnl"/>
        </w:rPr>
      </w:pPr>
      <w:r w:rsidRPr="00EE003F">
        <w:rPr>
          <w:rFonts w:ascii="Arial Narrow" w:hAnsi="Arial Narrow" w:cs="Arial"/>
          <w:spacing w:val="-2"/>
          <w:sz w:val="24"/>
          <w:szCs w:val="24"/>
          <w:lang w:val="es-ES_tradnl"/>
        </w:rPr>
        <w:t>Nuestra vocación exportadora se verá recompensada por su integración a cadenas de mayor valor agregado, gracias al aprovechamiento inteligente de los acuerdos comerciales que el Perú habrá firmado y negociado con las principales economías del mundo.</w:t>
      </w:r>
    </w:p>
    <w:p w:rsidR="001E0D19" w:rsidRPr="00EE003F" w:rsidRDefault="001E0D19" w:rsidP="00C33EB0">
      <w:pPr>
        <w:suppressAutoHyphens/>
        <w:autoSpaceDE w:val="0"/>
        <w:autoSpaceDN w:val="0"/>
        <w:adjustRightInd w:val="0"/>
        <w:spacing w:before="113" w:after="0" w:line="240" w:lineRule="auto"/>
        <w:jc w:val="both"/>
        <w:textAlignment w:val="center"/>
        <w:rPr>
          <w:rFonts w:ascii="Arial Narrow" w:hAnsi="Arial Narrow" w:cs="Arial"/>
          <w:spacing w:val="-2"/>
          <w:sz w:val="24"/>
          <w:szCs w:val="24"/>
          <w:lang w:val="es-ES_tradnl"/>
        </w:rPr>
      </w:pPr>
      <w:r w:rsidRPr="00EE003F">
        <w:rPr>
          <w:rFonts w:ascii="Arial Narrow" w:hAnsi="Arial Narrow" w:cs="Arial"/>
          <w:spacing w:val="-2"/>
          <w:sz w:val="24"/>
          <w:szCs w:val="24"/>
          <w:lang w:val="es-ES_tradnl"/>
        </w:rPr>
        <w:t>El Mercado Integrado de América Latina (MILA) será, para entonces, una vibrante realidad</w:t>
      </w:r>
      <w:r w:rsidR="00914CEB" w:rsidRPr="00EE003F">
        <w:rPr>
          <w:rFonts w:ascii="Arial Narrow" w:hAnsi="Arial Narrow" w:cs="Arial"/>
          <w:spacing w:val="-2"/>
          <w:sz w:val="24"/>
          <w:szCs w:val="24"/>
          <w:lang w:val="es-ES_tradnl"/>
        </w:rPr>
        <w:t>, tanto a nivel de mercado de acciones como de mercado de bonos, de deuda pública como privada, y con adecuado nivel de acceso para todos los segmentos minoristas nacionales.</w:t>
      </w:r>
      <w:r w:rsidR="00A50A6B" w:rsidRPr="00EE003F">
        <w:rPr>
          <w:rFonts w:ascii="Arial Narrow" w:hAnsi="Arial Narrow" w:cs="Arial"/>
          <w:spacing w:val="-2"/>
          <w:sz w:val="24"/>
          <w:szCs w:val="24"/>
          <w:lang w:val="es-ES_tradnl"/>
        </w:rPr>
        <w:t xml:space="preserve"> </w:t>
      </w:r>
      <w:r w:rsidRPr="00EE003F">
        <w:rPr>
          <w:rFonts w:ascii="Arial Narrow" w:hAnsi="Arial Narrow" w:cs="Arial"/>
          <w:spacing w:val="-2"/>
          <w:sz w:val="24"/>
          <w:szCs w:val="24"/>
          <w:lang w:val="es-ES_tradnl"/>
        </w:rPr>
        <w:t>La Alianza del Pacífico será el corredor principal de nuestra relación exportadora con la principal zona económica del mundo: el Asia-Pacífico y el MILA se habrá convertido en la plataforma principal de nuestro mercado de valores.</w:t>
      </w:r>
    </w:p>
    <w:p w:rsidR="001E0D19" w:rsidRPr="00EE003F" w:rsidRDefault="001E0D19" w:rsidP="00C33EB0">
      <w:pPr>
        <w:suppressAutoHyphens/>
        <w:autoSpaceDE w:val="0"/>
        <w:autoSpaceDN w:val="0"/>
        <w:adjustRightInd w:val="0"/>
        <w:spacing w:before="113" w:after="0" w:line="240" w:lineRule="auto"/>
        <w:jc w:val="both"/>
        <w:textAlignment w:val="center"/>
        <w:rPr>
          <w:rFonts w:ascii="Arial Narrow" w:hAnsi="Arial Narrow" w:cs="Arial"/>
          <w:spacing w:val="-2"/>
          <w:sz w:val="24"/>
          <w:szCs w:val="24"/>
          <w:lang w:val="es-ES_tradnl"/>
        </w:rPr>
      </w:pPr>
      <w:r w:rsidRPr="00EE003F">
        <w:rPr>
          <w:rFonts w:ascii="Arial Narrow" w:hAnsi="Arial Narrow" w:cs="Arial"/>
          <w:spacing w:val="-2"/>
          <w:sz w:val="24"/>
          <w:szCs w:val="24"/>
          <w:lang w:val="es-ES_tradnl"/>
        </w:rPr>
        <w:t xml:space="preserve">Al 2021, </w:t>
      </w:r>
      <w:r w:rsidR="00EE720E" w:rsidRPr="00EE003F">
        <w:rPr>
          <w:rFonts w:ascii="Arial Narrow" w:hAnsi="Arial Narrow" w:cs="Arial"/>
          <w:spacing w:val="-2"/>
          <w:sz w:val="24"/>
          <w:szCs w:val="24"/>
          <w:lang w:val="es-ES_tradnl"/>
        </w:rPr>
        <w:t xml:space="preserve">tendremos un alto nivel de formalización de la propiedad, además </w:t>
      </w:r>
      <w:r w:rsidRPr="00EE003F">
        <w:rPr>
          <w:rFonts w:ascii="Arial Narrow" w:hAnsi="Arial Narrow" w:cs="Arial"/>
          <w:spacing w:val="-2"/>
          <w:sz w:val="24"/>
          <w:szCs w:val="24"/>
          <w:lang w:val="es-ES_tradnl"/>
        </w:rPr>
        <w:t xml:space="preserve">las brechas en infraestructura </w:t>
      </w:r>
      <w:r w:rsidR="00F465BA" w:rsidRPr="00EE003F">
        <w:rPr>
          <w:rFonts w:ascii="Arial Narrow" w:hAnsi="Arial Narrow" w:cs="Arial"/>
          <w:spacing w:val="-2"/>
          <w:sz w:val="24"/>
          <w:szCs w:val="24"/>
          <w:lang w:val="es-ES_tradnl"/>
        </w:rPr>
        <w:t xml:space="preserve">se verán reducidas </w:t>
      </w:r>
      <w:r w:rsidRPr="00EE003F">
        <w:rPr>
          <w:rFonts w:ascii="Arial Narrow" w:hAnsi="Arial Narrow" w:cs="Arial"/>
          <w:spacing w:val="-2"/>
          <w:sz w:val="24"/>
          <w:szCs w:val="24"/>
          <w:lang w:val="es-ES_tradnl"/>
        </w:rPr>
        <w:t>impulsa</w:t>
      </w:r>
      <w:r w:rsidR="00D008AC" w:rsidRPr="00EE003F">
        <w:rPr>
          <w:rFonts w:ascii="Arial Narrow" w:hAnsi="Arial Narrow" w:cs="Arial"/>
          <w:spacing w:val="-2"/>
          <w:sz w:val="24"/>
          <w:szCs w:val="24"/>
          <w:lang w:val="es-ES_tradnl"/>
        </w:rPr>
        <w:t>ndo</w:t>
      </w:r>
      <w:r w:rsidRPr="00EE003F">
        <w:rPr>
          <w:rFonts w:ascii="Arial Narrow" w:hAnsi="Arial Narrow" w:cs="Arial"/>
          <w:spacing w:val="-2"/>
          <w:sz w:val="24"/>
          <w:szCs w:val="24"/>
          <w:lang w:val="es-ES_tradnl"/>
        </w:rPr>
        <w:t xml:space="preserve"> al máximo nuestra capacidad productiva gracias a la inversión pública y privada, potenciadas mediante las asociaciones público-privadas, sobre todo en materia de logística para la producción, así como en la construcción de infraestructura</w:t>
      </w:r>
      <w:r w:rsidR="003E2B0A" w:rsidRPr="00EE003F">
        <w:rPr>
          <w:rFonts w:ascii="Arial Narrow" w:hAnsi="Arial Narrow" w:cs="Arial"/>
          <w:spacing w:val="-2"/>
          <w:sz w:val="24"/>
          <w:szCs w:val="24"/>
          <w:lang w:val="es-ES_tradnl"/>
        </w:rPr>
        <w:t>s</w:t>
      </w:r>
      <w:r w:rsidRPr="00EE003F">
        <w:rPr>
          <w:rFonts w:ascii="Arial Narrow" w:hAnsi="Arial Narrow" w:cs="Arial"/>
          <w:spacing w:val="-2"/>
          <w:sz w:val="24"/>
          <w:szCs w:val="24"/>
          <w:lang w:val="es-ES_tradnl"/>
        </w:rPr>
        <w:t>.</w:t>
      </w:r>
    </w:p>
    <w:p w:rsidR="001E0D19" w:rsidRPr="00EE003F" w:rsidRDefault="001E0D19" w:rsidP="00C33EB0">
      <w:pPr>
        <w:suppressAutoHyphens/>
        <w:autoSpaceDE w:val="0"/>
        <w:autoSpaceDN w:val="0"/>
        <w:adjustRightInd w:val="0"/>
        <w:spacing w:before="113" w:after="0" w:line="240" w:lineRule="auto"/>
        <w:jc w:val="both"/>
        <w:textAlignment w:val="center"/>
        <w:rPr>
          <w:rFonts w:ascii="Arial Narrow" w:hAnsi="Arial Narrow" w:cs="Arial"/>
          <w:spacing w:val="-2"/>
          <w:sz w:val="24"/>
          <w:szCs w:val="24"/>
          <w:lang w:val="es-ES_tradnl"/>
        </w:rPr>
      </w:pPr>
      <w:r w:rsidRPr="00EE003F">
        <w:rPr>
          <w:rFonts w:ascii="Arial Narrow" w:hAnsi="Arial Narrow" w:cs="Arial"/>
          <w:spacing w:val="-2"/>
          <w:sz w:val="24"/>
          <w:szCs w:val="24"/>
          <w:lang w:val="es-ES_tradnl"/>
        </w:rPr>
        <w:t xml:space="preserve">El esfuerzo de concertación de los diversos sectores políticos, sociales, empresariales, laborales y académicos, tanto del sector público, privado y de la sociedad civil en la </w:t>
      </w:r>
      <w:r w:rsidR="00C33EB0" w:rsidRPr="00EE003F">
        <w:rPr>
          <w:rFonts w:ascii="Arial Narrow" w:hAnsi="Arial Narrow" w:cs="Arial"/>
          <w:spacing w:val="-2"/>
          <w:sz w:val="24"/>
          <w:szCs w:val="24"/>
          <w:lang w:val="es-ES_tradnl"/>
        </w:rPr>
        <w:t>formulación</w:t>
      </w:r>
      <w:r w:rsidRPr="00EE003F">
        <w:rPr>
          <w:rFonts w:ascii="Arial Narrow" w:hAnsi="Arial Narrow" w:cs="Arial"/>
          <w:spacing w:val="-2"/>
          <w:sz w:val="24"/>
          <w:szCs w:val="24"/>
          <w:lang w:val="es-ES_tradnl"/>
        </w:rPr>
        <w:t xml:space="preserve"> de este Plan Estratégico Nacional de Desarrollo pueden darnos una señal de los avances que el país puede conseguir en materia de desarrollo institucional y democrático cuando se anteponen los intereses del país. </w:t>
      </w:r>
    </w:p>
    <w:p w:rsidR="001E0D19" w:rsidRPr="00EE003F" w:rsidRDefault="001E0D19" w:rsidP="00C33EB0">
      <w:pPr>
        <w:suppressAutoHyphens/>
        <w:autoSpaceDE w:val="0"/>
        <w:autoSpaceDN w:val="0"/>
        <w:adjustRightInd w:val="0"/>
        <w:spacing w:before="113" w:after="0" w:line="240" w:lineRule="auto"/>
        <w:jc w:val="both"/>
        <w:textAlignment w:val="center"/>
        <w:rPr>
          <w:rFonts w:ascii="Arial Narrow" w:hAnsi="Arial Narrow" w:cs="Arial"/>
          <w:spacing w:val="-2"/>
          <w:sz w:val="24"/>
          <w:szCs w:val="24"/>
          <w:lang w:val="es-ES_tradnl"/>
        </w:rPr>
      </w:pPr>
      <w:r w:rsidRPr="00EE003F">
        <w:rPr>
          <w:rFonts w:ascii="Arial Narrow" w:hAnsi="Arial Narrow" w:cs="Arial"/>
          <w:spacing w:val="-2"/>
          <w:sz w:val="24"/>
          <w:szCs w:val="24"/>
          <w:lang w:val="es-ES_tradnl"/>
        </w:rPr>
        <w:t>Y es que, a pesar de todas las debilidades y desafíos que enfrentaremos como país, en el análisis final, hacia el 2021, el camino recorrido habrá sido –para la inmensa mayoría de peruanas y peruanos– significativamente positivo en todos los ámbitos temáticos del desarrollo, porque habremos conseguido hacer realidad ese país más justo, moderno, competitivo y democrático con el que todos soñamos.</w:t>
      </w:r>
    </w:p>
    <w:p w:rsidR="001E0D19" w:rsidRPr="00EE003F" w:rsidRDefault="001E0D19" w:rsidP="001E0D19">
      <w:pPr>
        <w:autoSpaceDE w:val="0"/>
        <w:autoSpaceDN w:val="0"/>
        <w:adjustRightInd w:val="0"/>
        <w:spacing w:before="57" w:after="0" w:line="288" w:lineRule="auto"/>
        <w:jc w:val="both"/>
        <w:textAlignment w:val="center"/>
        <w:rPr>
          <w:rFonts w:ascii="Arial Narrow" w:hAnsi="Arial Narrow" w:cs="Arial"/>
          <w:spacing w:val="-2"/>
          <w:sz w:val="24"/>
          <w:szCs w:val="24"/>
          <w:lang w:val="es-ES_tradnl"/>
        </w:rPr>
      </w:pPr>
    </w:p>
    <w:p w:rsidR="008D0CB9" w:rsidRPr="00EE003F" w:rsidRDefault="008D0CB9" w:rsidP="008D0CB9">
      <w:pPr>
        <w:rPr>
          <w:rFonts w:ascii="Arial Narrow" w:hAnsi="Arial Narrow"/>
          <w:sz w:val="24"/>
          <w:szCs w:val="24"/>
        </w:rPr>
      </w:pPr>
      <w:r w:rsidRPr="00EE003F">
        <w:rPr>
          <w:rFonts w:ascii="Arial Narrow" w:hAnsi="Arial Narrow"/>
          <w:sz w:val="24"/>
          <w:szCs w:val="24"/>
        </w:rPr>
        <w:br w:type="page"/>
      </w:r>
    </w:p>
    <w:p w:rsidR="001E0D19" w:rsidRPr="00EE003F" w:rsidRDefault="001E0D19" w:rsidP="005B7305">
      <w:pPr>
        <w:pStyle w:val="Ttulo1"/>
      </w:pPr>
      <w:bookmarkStart w:id="4" w:name="_Toc448396873"/>
      <w:bookmarkStart w:id="5" w:name="_Toc453004646"/>
      <w:r w:rsidRPr="00EE003F">
        <w:t>Introducción</w:t>
      </w:r>
      <w:bookmarkEnd w:id="4"/>
      <w:bookmarkEnd w:id="5"/>
    </w:p>
    <w:p w:rsidR="001E0D19" w:rsidRPr="00EE003F" w:rsidRDefault="001E0D19" w:rsidP="001E0D19">
      <w:pPr>
        <w:suppressAutoHyphens/>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p>
    <w:p w:rsidR="001E0D19" w:rsidRPr="00EE003F" w:rsidRDefault="001E0D19" w:rsidP="001E0D19">
      <w:pPr>
        <w:suppressAutoHyphens/>
        <w:autoSpaceDE w:val="0"/>
        <w:autoSpaceDN w:val="0"/>
        <w:adjustRightInd w:val="0"/>
        <w:spacing w:before="113" w:after="0" w:line="288" w:lineRule="auto"/>
        <w:jc w:val="both"/>
        <w:textAlignment w:val="center"/>
        <w:rPr>
          <w:rFonts w:ascii="Arial Narrow" w:hAnsi="Arial Narrow" w:cs="Arial"/>
          <w:sz w:val="20"/>
          <w:szCs w:val="20"/>
          <w:lang w:val="es-ES_tradnl"/>
        </w:rPr>
      </w:pP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 xml:space="preserve">El Centro Nacional de Planeamiento Estratégico – </w:t>
      </w:r>
      <w:proofErr w:type="spellStart"/>
      <w:r w:rsidRPr="00EE003F">
        <w:rPr>
          <w:rFonts w:ascii="Arial Narrow" w:hAnsi="Arial Narrow" w:cs="Arial"/>
          <w:sz w:val="24"/>
          <w:szCs w:val="24"/>
          <w:lang w:val="es-ES_tradnl"/>
        </w:rPr>
        <w:t>Ceplan</w:t>
      </w:r>
      <w:proofErr w:type="spellEnd"/>
      <w:r w:rsidRPr="00EE003F">
        <w:rPr>
          <w:rFonts w:ascii="Arial Narrow" w:hAnsi="Arial Narrow" w:cs="Arial"/>
          <w:sz w:val="24"/>
          <w:szCs w:val="24"/>
          <w:lang w:val="es-ES_tradnl"/>
        </w:rPr>
        <w:t>, ente rector del Sistema Nacional de Planeamiento Estratégico, tiene la responsabilidad de elaborar el Plan Estratégico de Desarrollo Nacional (PEDN), instrumento técnico que contiene los lineamientos de política, las prioridades, los objetivos, las metas y las acciones de orden estratégico para el desarrollo armónico del país, y promover las sinergias entre las instituciones públicas, el sector privado y la sociedad civil, a fin de lograr el fortalecimiento de la gobernabilidad democrática como parte del Estado Constitucional de Derecho.</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 xml:space="preserve">El PEDN </w:t>
      </w:r>
      <w:r w:rsidR="00C33EB0" w:rsidRPr="00EE003F">
        <w:rPr>
          <w:rFonts w:ascii="Arial Narrow" w:hAnsi="Arial Narrow" w:cs="Arial"/>
          <w:sz w:val="24"/>
          <w:szCs w:val="24"/>
          <w:lang w:val="es-ES_tradnl"/>
        </w:rPr>
        <w:t xml:space="preserve">anterior </w:t>
      </w:r>
      <w:r w:rsidRPr="00EE003F">
        <w:rPr>
          <w:rFonts w:ascii="Arial Narrow" w:hAnsi="Arial Narrow" w:cs="Arial"/>
          <w:sz w:val="24"/>
          <w:szCs w:val="24"/>
          <w:lang w:val="es-ES_tradnl"/>
        </w:rPr>
        <w:t>fue aprobado mediante Decreto Supremo 054-2011-PCM</w:t>
      </w:r>
      <w:r w:rsidR="00C33EB0" w:rsidRPr="00EE003F">
        <w:rPr>
          <w:rFonts w:ascii="Arial Narrow" w:hAnsi="Arial Narrow" w:cs="Arial"/>
          <w:sz w:val="24"/>
          <w:szCs w:val="24"/>
          <w:lang w:val="es-ES_tradnl"/>
        </w:rPr>
        <w:t>,</w:t>
      </w:r>
      <w:r w:rsidRPr="00EE003F">
        <w:rPr>
          <w:rFonts w:ascii="Arial Narrow" w:hAnsi="Arial Narrow" w:cs="Arial"/>
          <w:sz w:val="24"/>
          <w:szCs w:val="24"/>
          <w:lang w:val="es-ES_tradnl"/>
        </w:rPr>
        <w:t xml:space="preserve"> con ello las entidades conformantes del Sistema Nacional de Planeamiento Estratégico ajustaron sus planes estratégicos a los objetivos de desarrollo nacional previstos en </w:t>
      </w:r>
      <w:r w:rsidR="00C33EB0" w:rsidRPr="00EE003F">
        <w:rPr>
          <w:rFonts w:ascii="Arial Narrow" w:hAnsi="Arial Narrow" w:cs="Arial"/>
          <w:sz w:val="24"/>
          <w:szCs w:val="24"/>
          <w:lang w:val="es-ES_tradnl"/>
        </w:rPr>
        <w:t>dicho</w:t>
      </w:r>
      <w:r w:rsidRPr="00EE003F">
        <w:rPr>
          <w:rFonts w:ascii="Arial Narrow" w:hAnsi="Arial Narrow" w:cs="Arial"/>
          <w:sz w:val="24"/>
          <w:szCs w:val="24"/>
          <w:lang w:val="es-ES_tradnl"/>
        </w:rPr>
        <w:t xml:space="preserve"> documento (previamente aprobados por el Foro del Acuerdo Nacional). A su vez, los Decretos Supremos 089-2011-PCM y 051-2012-PCM determinaron los parámetros de actualización y ampliaron el plazo original a dos años. </w:t>
      </w:r>
    </w:p>
    <w:p w:rsidR="00CF0BE4"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 xml:space="preserve">La actual administración del presidente Ollanta Humala entiende que existe la necesidad de incluir en el </w:t>
      </w:r>
      <w:r w:rsidR="00F11107" w:rsidRPr="00EE003F">
        <w:rPr>
          <w:rFonts w:ascii="Arial Narrow" w:hAnsi="Arial Narrow" w:cs="Arial"/>
          <w:sz w:val="24"/>
          <w:szCs w:val="24"/>
          <w:lang w:val="es-ES_tradnl"/>
        </w:rPr>
        <w:t xml:space="preserve">plan estratégico </w:t>
      </w:r>
      <w:r w:rsidRPr="00EE003F">
        <w:rPr>
          <w:rFonts w:ascii="Arial Narrow" w:hAnsi="Arial Narrow" w:cs="Arial"/>
          <w:sz w:val="24"/>
          <w:szCs w:val="24"/>
          <w:lang w:val="es-ES_tradnl"/>
        </w:rPr>
        <w:t>los lineamientos fundamentales de su actual política de gobierno, como son construir un “Perú con progreso para todos”. Esto se concreta en un país con un crecimiento económico sostenido, con avances sustantivos en</w:t>
      </w:r>
      <w:r w:rsidR="003B58C1" w:rsidRPr="00EE003F">
        <w:rPr>
          <w:rFonts w:ascii="Arial Narrow" w:hAnsi="Arial Narrow" w:cs="Arial"/>
          <w:sz w:val="24"/>
          <w:szCs w:val="24"/>
          <w:lang w:val="es-ES_tradnl"/>
        </w:rPr>
        <w:t>:</w:t>
      </w:r>
      <w:r w:rsidRPr="00EE003F">
        <w:rPr>
          <w:rFonts w:ascii="Arial Narrow" w:hAnsi="Arial Narrow" w:cs="Arial"/>
          <w:sz w:val="24"/>
          <w:szCs w:val="24"/>
          <w:lang w:val="es-ES_tradnl"/>
        </w:rPr>
        <w:t xml:space="preserve"> inclusión </w:t>
      </w:r>
      <w:r w:rsidR="003B58C1" w:rsidRPr="00EE003F">
        <w:rPr>
          <w:rFonts w:ascii="Arial Narrow" w:hAnsi="Arial Narrow" w:cs="Arial"/>
          <w:sz w:val="24"/>
          <w:szCs w:val="24"/>
          <w:lang w:val="es-ES_tradnl"/>
        </w:rPr>
        <w:t>social, educación, salud</w:t>
      </w:r>
      <w:r w:rsidRPr="00EE003F">
        <w:rPr>
          <w:rFonts w:ascii="Arial Narrow" w:hAnsi="Arial Narrow" w:cs="Arial"/>
          <w:sz w:val="24"/>
          <w:szCs w:val="24"/>
          <w:lang w:val="es-ES_tradnl"/>
        </w:rPr>
        <w:t xml:space="preserve"> </w:t>
      </w:r>
      <w:r w:rsidR="003B58C1" w:rsidRPr="00EE003F">
        <w:rPr>
          <w:rFonts w:ascii="Arial Narrow" w:hAnsi="Arial Narrow" w:cs="Arial"/>
          <w:sz w:val="24"/>
          <w:szCs w:val="24"/>
          <w:lang w:val="es-ES_tradnl"/>
        </w:rPr>
        <w:t xml:space="preserve">y una </w:t>
      </w:r>
      <w:r w:rsidRPr="00EE003F">
        <w:rPr>
          <w:rFonts w:ascii="Arial Narrow" w:hAnsi="Arial Narrow" w:cs="Arial"/>
          <w:sz w:val="24"/>
          <w:szCs w:val="24"/>
          <w:lang w:val="es-ES_tradnl"/>
        </w:rPr>
        <w:t>mayor diversificación productiva</w:t>
      </w:r>
      <w:r w:rsidR="003B58C1" w:rsidRPr="00EE003F">
        <w:rPr>
          <w:rFonts w:ascii="Arial Narrow" w:hAnsi="Arial Narrow" w:cs="Arial"/>
          <w:sz w:val="24"/>
          <w:szCs w:val="24"/>
          <w:lang w:val="es-ES_tradnl"/>
        </w:rPr>
        <w:t>.</w:t>
      </w:r>
      <w:r w:rsidRPr="00EE003F">
        <w:rPr>
          <w:rFonts w:ascii="Arial Narrow" w:hAnsi="Arial Narrow" w:cs="Arial"/>
          <w:sz w:val="24"/>
          <w:szCs w:val="24"/>
          <w:lang w:val="es-ES_tradnl"/>
        </w:rPr>
        <w:t xml:space="preserve"> </w:t>
      </w:r>
    </w:p>
    <w:p w:rsidR="001E0D19" w:rsidRPr="00EE003F" w:rsidRDefault="00CF0BE4"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L</w:t>
      </w:r>
      <w:r w:rsidR="001E0D19" w:rsidRPr="00EE003F">
        <w:rPr>
          <w:rFonts w:ascii="Arial Narrow" w:hAnsi="Arial Narrow" w:cs="Arial"/>
          <w:sz w:val="24"/>
          <w:szCs w:val="24"/>
          <w:lang w:val="es-ES_tradnl"/>
        </w:rPr>
        <w:t>as reformas</w:t>
      </w:r>
      <w:r w:rsidR="005B3E0A" w:rsidRPr="00EE003F">
        <w:rPr>
          <w:rFonts w:ascii="Arial Narrow" w:hAnsi="Arial Narrow" w:cs="Arial"/>
          <w:sz w:val="24"/>
          <w:szCs w:val="24"/>
          <w:lang w:val="es-ES_tradnl"/>
        </w:rPr>
        <w:t xml:space="preserve"> </w:t>
      </w:r>
      <w:r w:rsidRPr="00EE003F">
        <w:rPr>
          <w:rFonts w:ascii="Arial Narrow" w:hAnsi="Arial Narrow" w:cs="Arial"/>
          <w:sz w:val="24"/>
          <w:szCs w:val="24"/>
          <w:lang w:val="es-ES_tradnl"/>
        </w:rPr>
        <w:t xml:space="preserve">desarrolladas en los últimos años en el país </w:t>
      </w:r>
      <w:r w:rsidR="005B3E0A" w:rsidRPr="00EE003F">
        <w:rPr>
          <w:rFonts w:ascii="Arial Narrow" w:hAnsi="Arial Narrow" w:cs="Arial"/>
          <w:sz w:val="24"/>
          <w:szCs w:val="24"/>
          <w:lang w:val="es-ES_tradnl"/>
        </w:rPr>
        <w:t>en:</w:t>
      </w:r>
      <w:r w:rsidR="001E0D19" w:rsidRPr="00EE003F">
        <w:rPr>
          <w:rFonts w:ascii="Arial Narrow" w:hAnsi="Arial Narrow" w:cs="Arial"/>
          <w:sz w:val="24"/>
          <w:szCs w:val="24"/>
          <w:lang w:val="es-ES_tradnl"/>
        </w:rPr>
        <w:t xml:space="preserve"> </w:t>
      </w:r>
      <w:r w:rsidRPr="00EE003F">
        <w:rPr>
          <w:rFonts w:ascii="Arial Narrow" w:hAnsi="Arial Narrow" w:cs="Arial"/>
          <w:sz w:val="24"/>
          <w:szCs w:val="24"/>
          <w:lang w:val="es-ES_tradnl"/>
        </w:rPr>
        <w:t>el s</w:t>
      </w:r>
      <w:r w:rsidR="001E0D19" w:rsidRPr="00EE003F">
        <w:rPr>
          <w:rFonts w:ascii="Arial Narrow" w:hAnsi="Arial Narrow" w:cs="Arial"/>
          <w:sz w:val="24"/>
          <w:szCs w:val="24"/>
          <w:lang w:val="es-ES_tradnl"/>
        </w:rPr>
        <w:t xml:space="preserve">ervicio </w:t>
      </w:r>
      <w:r w:rsidRPr="00EE003F">
        <w:rPr>
          <w:rFonts w:ascii="Arial Narrow" w:hAnsi="Arial Narrow" w:cs="Arial"/>
          <w:sz w:val="24"/>
          <w:szCs w:val="24"/>
          <w:lang w:val="es-ES_tradnl"/>
        </w:rPr>
        <w:t>civil, la p</w:t>
      </w:r>
      <w:r w:rsidR="005B3E0A" w:rsidRPr="00EE003F">
        <w:rPr>
          <w:rFonts w:ascii="Arial Narrow" w:hAnsi="Arial Narrow" w:cs="Arial"/>
          <w:sz w:val="24"/>
          <w:szCs w:val="24"/>
          <w:lang w:val="es-ES_tradnl"/>
        </w:rPr>
        <w:t>ol</w:t>
      </w:r>
      <w:r w:rsidRPr="00EE003F">
        <w:rPr>
          <w:rFonts w:ascii="Arial Narrow" w:hAnsi="Arial Narrow" w:cs="Arial"/>
          <w:sz w:val="24"/>
          <w:szCs w:val="24"/>
          <w:lang w:val="es-ES_tradnl"/>
        </w:rPr>
        <w:t>í</w:t>
      </w:r>
      <w:r w:rsidR="005B3E0A" w:rsidRPr="00EE003F">
        <w:rPr>
          <w:rFonts w:ascii="Arial Narrow" w:hAnsi="Arial Narrow" w:cs="Arial"/>
          <w:sz w:val="24"/>
          <w:szCs w:val="24"/>
          <w:lang w:val="es-ES_tradnl"/>
        </w:rPr>
        <w:t>tica</w:t>
      </w:r>
      <w:r w:rsidR="001E0D19" w:rsidRPr="00EE003F">
        <w:rPr>
          <w:rFonts w:ascii="Arial Narrow" w:hAnsi="Arial Narrow" w:cs="Arial"/>
          <w:sz w:val="24"/>
          <w:szCs w:val="24"/>
          <w:lang w:val="es-ES_tradnl"/>
        </w:rPr>
        <w:t xml:space="preserve"> </w:t>
      </w:r>
      <w:r w:rsidRPr="00EE003F">
        <w:rPr>
          <w:rFonts w:ascii="Arial Narrow" w:hAnsi="Arial Narrow" w:cs="Arial"/>
          <w:sz w:val="24"/>
          <w:szCs w:val="24"/>
          <w:lang w:val="es-ES_tradnl"/>
        </w:rPr>
        <w:t>tributaria y fiscal, el m</w:t>
      </w:r>
      <w:r w:rsidR="001E0D19" w:rsidRPr="00EE003F">
        <w:rPr>
          <w:rFonts w:ascii="Arial Narrow" w:hAnsi="Arial Narrow" w:cs="Arial"/>
          <w:sz w:val="24"/>
          <w:szCs w:val="24"/>
          <w:lang w:val="es-ES_tradnl"/>
        </w:rPr>
        <w:t xml:space="preserve">ercado de </w:t>
      </w:r>
      <w:r w:rsidRPr="00EE003F">
        <w:rPr>
          <w:rFonts w:ascii="Arial Narrow" w:hAnsi="Arial Narrow" w:cs="Arial"/>
          <w:sz w:val="24"/>
          <w:szCs w:val="24"/>
          <w:lang w:val="es-ES_tradnl"/>
        </w:rPr>
        <w:t>valores</w:t>
      </w:r>
      <w:r w:rsidR="001E0D19" w:rsidRPr="00EE003F">
        <w:rPr>
          <w:rFonts w:ascii="Arial Narrow" w:hAnsi="Arial Narrow" w:cs="Arial"/>
          <w:sz w:val="24"/>
          <w:szCs w:val="24"/>
          <w:lang w:val="es-ES_tradnl"/>
        </w:rPr>
        <w:t>,</w:t>
      </w:r>
      <w:r w:rsidRPr="00EE003F">
        <w:rPr>
          <w:rFonts w:ascii="Arial Narrow" w:hAnsi="Arial Narrow" w:cs="Arial"/>
          <w:sz w:val="24"/>
          <w:szCs w:val="24"/>
          <w:lang w:val="es-ES_tradnl"/>
        </w:rPr>
        <w:t xml:space="preserve"> el </w:t>
      </w:r>
      <w:r w:rsidR="005B3E0A" w:rsidRPr="00EE003F">
        <w:rPr>
          <w:rFonts w:ascii="Arial Narrow" w:hAnsi="Arial Narrow" w:cs="Arial"/>
          <w:sz w:val="24"/>
          <w:szCs w:val="24"/>
          <w:lang w:val="es-ES_tradnl"/>
        </w:rPr>
        <w:t xml:space="preserve">sistema de ciencia, tecnología e innovación, </w:t>
      </w:r>
      <w:r w:rsidRPr="00EE003F">
        <w:rPr>
          <w:rFonts w:ascii="Arial Narrow" w:hAnsi="Arial Narrow" w:cs="Arial"/>
          <w:sz w:val="24"/>
          <w:szCs w:val="24"/>
          <w:lang w:val="es-ES_tradnl"/>
        </w:rPr>
        <w:t>en la seguridad ciudadana</w:t>
      </w:r>
      <w:r w:rsidRPr="00EE003F">
        <w:rPr>
          <w:rStyle w:val="Refdenotaalpie"/>
          <w:rFonts w:ascii="Arial Narrow" w:hAnsi="Arial Narrow" w:cs="Arial"/>
          <w:sz w:val="24"/>
          <w:szCs w:val="24"/>
          <w:lang w:val="es-ES_tradnl"/>
        </w:rPr>
        <w:footnoteReference w:id="1"/>
      </w:r>
      <w:r w:rsidRPr="00EE003F">
        <w:rPr>
          <w:rFonts w:ascii="Arial Narrow" w:hAnsi="Arial Narrow" w:cs="Arial"/>
          <w:sz w:val="24"/>
          <w:szCs w:val="24"/>
          <w:lang w:val="es-ES_tradnl"/>
        </w:rPr>
        <w:t>, la modernización del Estado, la elimi</w:t>
      </w:r>
      <w:r w:rsidR="00F11107" w:rsidRPr="00EE003F">
        <w:rPr>
          <w:rFonts w:ascii="Arial Narrow" w:hAnsi="Arial Narrow" w:cs="Arial"/>
          <w:sz w:val="24"/>
          <w:szCs w:val="24"/>
          <w:lang w:val="es-ES_tradnl"/>
        </w:rPr>
        <w:t>nación de trabas a la inversión</w:t>
      </w:r>
      <w:r w:rsidR="005B3E0A" w:rsidRPr="00EE003F">
        <w:rPr>
          <w:rFonts w:ascii="Arial Narrow" w:hAnsi="Arial Narrow" w:cs="Arial"/>
          <w:sz w:val="24"/>
          <w:szCs w:val="24"/>
          <w:lang w:val="es-ES_tradnl"/>
        </w:rPr>
        <w:t xml:space="preserve"> y </w:t>
      </w:r>
      <w:r w:rsidR="001E0D19" w:rsidRPr="00EE003F">
        <w:rPr>
          <w:rFonts w:ascii="Arial Narrow" w:hAnsi="Arial Narrow" w:cs="Arial"/>
          <w:sz w:val="24"/>
          <w:szCs w:val="24"/>
          <w:lang w:val="es-ES_tradnl"/>
        </w:rPr>
        <w:t>la suscripción de 2</w:t>
      </w:r>
      <w:r w:rsidR="00B45298" w:rsidRPr="00EE003F">
        <w:rPr>
          <w:rFonts w:ascii="Arial Narrow" w:hAnsi="Arial Narrow" w:cs="Arial"/>
          <w:sz w:val="24"/>
          <w:szCs w:val="24"/>
          <w:lang w:val="es-ES_tradnl"/>
        </w:rPr>
        <w:t>1</w:t>
      </w:r>
      <w:r w:rsidR="001E0D19" w:rsidRPr="00EE003F">
        <w:rPr>
          <w:rFonts w:ascii="Arial Narrow" w:hAnsi="Arial Narrow" w:cs="Arial"/>
          <w:sz w:val="24"/>
          <w:szCs w:val="24"/>
          <w:lang w:val="es-ES_tradnl"/>
        </w:rPr>
        <w:t xml:space="preserve"> acuerdos comerciales, nos acercan cada vez más a convertirnos en un país miembro de la OCDE. </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El gobierno de presidente Humala ha propuesto líneas de acción de mediano plazo, como la erradicación de la pobreza extrema, la reforma política, la igualdad de derechos y de oportunidades, el reconocimiento de la diversidad cultural como un activo de nuestra identidad nacional y metas sociales que están alineadas con los objetivos del milenio, las que sumadas a la concertación económica y social en el ámbito nacional, regional y local harán posible una gestión y gobernanza territorial más racional y que vaya al reencuentro histórico con el Perú rural.</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Dado que la visión estratégica de un país se enfoca en el largo plazo, en el presente proceso de actualización del PEDN, se ha buscado mantener los elementos estructurales de su versión original. No obstante ello, advertimos que en la versión que presentamos se ha revisado, delimitado y actualizado el contenido temático de los ejes siguientes:</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(i) Derechos humanos e inclusión social</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(ii) Oportunidades y acceso a los servicios</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(iii) Estado y gobernabilidad</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(iv) Economía, competitividad y empleo</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(v) Desarrollo territorial e infraestructura productiva</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w:t>
      </w:r>
      <w:proofErr w:type="gramStart"/>
      <w:r w:rsidRPr="00EE003F">
        <w:rPr>
          <w:rFonts w:ascii="Arial Narrow" w:hAnsi="Arial Narrow" w:cs="Arial"/>
          <w:sz w:val="24"/>
          <w:szCs w:val="24"/>
          <w:lang w:val="es-ES_tradnl"/>
        </w:rPr>
        <w:t>vi</w:t>
      </w:r>
      <w:proofErr w:type="gramEnd"/>
      <w:r w:rsidRPr="00EE003F">
        <w:rPr>
          <w:rFonts w:ascii="Arial Narrow" w:hAnsi="Arial Narrow" w:cs="Arial"/>
          <w:sz w:val="24"/>
          <w:szCs w:val="24"/>
          <w:lang w:val="es-ES_tradnl"/>
        </w:rPr>
        <w:t>) Ambiente, diversidad biológica y gestión de riesgos de desastres.</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Asimismo, como parte de este proceso de actualización, se han determinado seis lineamientos de política y se han establecido catorce prioridades nacionales.</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 xml:space="preserve">El diseño metodológico del Plan Estratégico de Desarrollo Nacional </w:t>
      </w:r>
      <w:r w:rsidR="00C33EB0" w:rsidRPr="00EE003F">
        <w:rPr>
          <w:rFonts w:ascii="Arial Narrow" w:hAnsi="Arial Narrow" w:cs="Arial"/>
          <w:sz w:val="24"/>
          <w:szCs w:val="24"/>
          <w:lang w:val="es-ES_tradnl"/>
        </w:rPr>
        <w:t xml:space="preserve">Actualizado </w:t>
      </w:r>
      <w:r w:rsidRPr="00EE003F">
        <w:rPr>
          <w:rFonts w:ascii="Arial Narrow" w:hAnsi="Arial Narrow" w:cs="Arial"/>
          <w:sz w:val="24"/>
          <w:szCs w:val="24"/>
          <w:lang w:val="es-ES_tradnl"/>
        </w:rPr>
        <w:t>“Perú hacia el 2021” cont</w:t>
      </w:r>
      <w:r w:rsidR="00A31B28" w:rsidRPr="00EE003F">
        <w:rPr>
          <w:rFonts w:ascii="Arial Narrow" w:hAnsi="Arial Narrow" w:cs="Arial"/>
          <w:sz w:val="24"/>
          <w:szCs w:val="24"/>
          <w:lang w:val="es-ES_tradnl"/>
        </w:rPr>
        <w:t>iene los enfoques participativo</w:t>
      </w:r>
      <w:r w:rsidRPr="00EE003F">
        <w:rPr>
          <w:rFonts w:ascii="Arial Narrow" w:hAnsi="Arial Narrow" w:cs="Arial"/>
          <w:sz w:val="24"/>
          <w:szCs w:val="24"/>
          <w:lang w:val="es-ES_tradnl"/>
        </w:rPr>
        <w:t xml:space="preserve"> y prospectivo,</w:t>
      </w:r>
      <w:r w:rsidR="00A31B28" w:rsidRPr="00EE003F">
        <w:rPr>
          <w:rFonts w:ascii="Arial Narrow" w:hAnsi="Arial Narrow" w:cs="Arial"/>
          <w:sz w:val="24"/>
          <w:szCs w:val="24"/>
          <w:lang w:val="es-ES_tradnl"/>
        </w:rPr>
        <w:t xml:space="preserve"> usando diversas herramientas estadísticas y econométricas</w:t>
      </w:r>
      <w:r w:rsidR="00BB45A0" w:rsidRPr="00EE003F">
        <w:rPr>
          <w:rFonts w:ascii="Arial Narrow" w:hAnsi="Arial Narrow" w:cs="Arial"/>
          <w:sz w:val="24"/>
          <w:szCs w:val="24"/>
          <w:lang w:val="es-ES_tradnl"/>
        </w:rPr>
        <w:t>.</w:t>
      </w:r>
      <w:r w:rsidRPr="00EE003F">
        <w:rPr>
          <w:rFonts w:ascii="Arial Narrow" w:hAnsi="Arial Narrow" w:cs="Arial"/>
          <w:sz w:val="24"/>
          <w:szCs w:val="24"/>
          <w:lang w:val="es-ES_tradnl"/>
        </w:rPr>
        <w:t xml:space="preserve"> </w:t>
      </w:r>
      <w:r w:rsidR="00BB45A0" w:rsidRPr="00EE003F">
        <w:rPr>
          <w:rFonts w:ascii="Arial Narrow" w:hAnsi="Arial Narrow" w:cs="Arial"/>
          <w:sz w:val="24"/>
          <w:szCs w:val="24"/>
          <w:lang w:val="es-ES_tradnl"/>
        </w:rPr>
        <w:t xml:space="preserve">Las bases de datos utilizadas son de fuentes </w:t>
      </w:r>
      <w:r w:rsidR="00E626F7" w:rsidRPr="00EE003F">
        <w:rPr>
          <w:rFonts w:ascii="Arial Narrow" w:hAnsi="Arial Narrow" w:cs="Arial"/>
          <w:sz w:val="24"/>
          <w:szCs w:val="24"/>
          <w:lang w:val="es-ES_tradnl"/>
        </w:rPr>
        <w:t xml:space="preserve">nacionales </w:t>
      </w:r>
      <w:r w:rsidR="00BB45A0" w:rsidRPr="00EE003F">
        <w:rPr>
          <w:rFonts w:ascii="Arial Narrow" w:hAnsi="Arial Narrow" w:cs="Arial"/>
          <w:sz w:val="24"/>
          <w:szCs w:val="24"/>
          <w:lang w:val="es-ES_tradnl"/>
        </w:rPr>
        <w:t>oficiales</w:t>
      </w:r>
      <w:r w:rsidR="00E626F7" w:rsidRPr="00EE003F">
        <w:rPr>
          <w:rFonts w:ascii="Arial Narrow" w:hAnsi="Arial Narrow" w:cs="Arial"/>
          <w:sz w:val="24"/>
          <w:szCs w:val="24"/>
          <w:lang w:val="es-ES_tradnl"/>
        </w:rPr>
        <w:t xml:space="preserve"> (INEI, Ministerios, </w:t>
      </w:r>
      <w:proofErr w:type="spellStart"/>
      <w:r w:rsidR="00E626F7" w:rsidRPr="00EE003F">
        <w:rPr>
          <w:rFonts w:ascii="Arial Narrow" w:hAnsi="Arial Narrow" w:cs="Arial"/>
          <w:sz w:val="24"/>
          <w:szCs w:val="24"/>
          <w:lang w:val="es-ES_tradnl"/>
        </w:rPr>
        <w:t>etc</w:t>
      </w:r>
      <w:proofErr w:type="spellEnd"/>
      <w:r w:rsidR="00E626F7" w:rsidRPr="00EE003F">
        <w:rPr>
          <w:rFonts w:ascii="Arial Narrow" w:hAnsi="Arial Narrow" w:cs="Arial"/>
          <w:sz w:val="24"/>
          <w:szCs w:val="24"/>
          <w:lang w:val="es-ES_tradnl"/>
        </w:rPr>
        <w:t>) y otras de organismos multilaterales,</w:t>
      </w:r>
      <w:r w:rsidR="00BB45A0" w:rsidRPr="00EE003F">
        <w:rPr>
          <w:rFonts w:ascii="Arial Narrow" w:hAnsi="Arial Narrow" w:cs="Arial"/>
          <w:sz w:val="24"/>
          <w:szCs w:val="24"/>
          <w:lang w:val="es-ES_tradnl"/>
        </w:rPr>
        <w:t xml:space="preserve"> principalmente de</w:t>
      </w:r>
      <w:r w:rsidR="00E626F7" w:rsidRPr="00EE003F">
        <w:rPr>
          <w:rFonts w:ascii="Arial Narrow" w:hAnsi="Arial Narrow" w:cs="Arial"/>
          <w:sz w:val="24"/>
          <w:szCs w:val="24"/>
          <w:lang w:val="es-ES_tradnl"/>
        </w:rPr>
        <w:t>l Banco Mundial, Fondo Monetario Internacional, entre otros.</w:t>
      </w:r>
      <w:r w:rsidRPr="00EE003F">
        <w:rPr>
          <w:rFonts w:ascii="Arial Narrow" w:hAnsi="Arial Narrow" w:cs="Arial"/>
          <w:sz w:val="24"/>
          <w:szCs w:val="24"/>
          <w:lang w:val="es-ES_tradnl"/>
        </w:rPr>
        <w:t xml:space="preserve"> Además, su enfoque general es el desarrollo humano, el cual sitúa a las personas en el centro del desarrollo, potenciando sus capacidades, el goce de sus derechos y el aumento de sus oportunidades para mejorar sus condiciones de vida.</w:t>
      </w:r>
    </w:p>
    <w:p w:rsidR="001E0D19" w:rsidRPr="00EE003F" w:rsidRDefault="001E0D19" w:rsidP="001B38F5">
      <w:pPr>
        <w:suppressAutoHyphens/>
        <w:autoSpaceDE w:val="0"/>
        <w:autoSpaceDN w:val="0"/>
        <w:adjustRightInd w:val="0"/>
        <w:spacing w:before="113" w:after="0" w:line="240" w:lineRule="auto"/>
        <w:jc w:val="both"/>
        <w:textAlignment w:val="center"/>
        <w:rPr>
          <w:rFonts w:ascii="Arial Narrow" w:hAnsi="Arial Narrow" w:cs="Arial"/>
          <w:sz w:val="24"/>
          <w:szCs w:val="24"/>
          <w:lang w:val="es-ES_tradnl"/>
        </w:rPr>
      </w:pPr>
      <w:r w:rsidRPr="00EE003F">
        <w:rPr>
          <w:rFonts w:ascii="Arial Narrow" w:hAnsi="Arial Narrow" w:cs="Arial"/>
          <w:sz w:val="24"/>
          <w:szCs w:val="24"/>
          <w:lang w:val="es-ES_tradnl"/>
        </w:rPr>
        <w:t xml:space="preserve">El presente plan enfatiza, a su vez, la importancia del crecimiento verde y la necesidad de avanzar en la gobernabilidad democrática y la búsqueda de la eficiencia en la administración pública, así como el apoyo al progreso científico, tecnológico y de la innovación como medios para lograr el crecimiento sostenible. Por ello, el Plan Estratégico de Desarrollo Nacional </w:t>
      </w:r>
      <w:r w:rsidR="00C33EB0" w:rsidRPr="00EE003F">
        <w:rPr>
          <w:rFonts w:ascii="Arial Narrow" w:hAnsi="Arial Narrow" w:cs="Arial"/>
          <w:sz w:val="24"/>
          <w:szCs w:val="24"/>
          <w:lang w:val="es-ES_tradnl"/>
        </w:rPr>
        <w:t>Actualizado</w:t>
      </w:r>
      <w:r w:rsidR="00A50A6B" w:rsidRPr="00EE003F">
        <w:rPr>
          <w:rFonts w:ascii="Arial Narrow" w:hAnsi="Arial Narrow" w:cs="Arial"/>
          <w:sz w:val="24"/>
          <w:szCs w:val="24"/>
          <w:lang w:val="es-ES_tradnl"/>
        </w:rPr>
        <w:t xml:space="preserve"> </w:t>
      </w:r>
      <w:r w:rsidRPr="00EE003F">
        <w:rPr>
          <w:rFonts w:ascii="Arial Narrow" w:hAnsi="Arial Narrow" w:cs="Arial"/>
          <w:sz w:val="24"/>
          <w:szCs w:val="24"/>
          <w:lang w:val="es-ES_tradnl"/>
        </w:rPr>
        <w:t>“Perú hacia el 2021” plantea mirar el futuro con optimismo, objetivos y metas ambiciosas, pero también realizables, al estar sustentadas en un riguroso análisis prospectivo y una visión concertada del país.</w:t>
      </w:r>
    </w:p>
    <w:p w:rsidR="008D0CB9" w:rsidRPr="00EE003F" w:rsidRDefault="008D0CB9" w:rsidP="008D0CB9">
      <w:pPr>
        <w:rPr>
          <w:rFonts w:ascii="Arial Narrow" w:hAnsi="Arial Narrow"/>
          <w:sz w:val="24"/>
          <w:szCs w:val="24"/>
        </w:rPr>
      </w:pPr>
      <w:r w:rsidRPr="00EE003F">
        <w:rPr>
          <w:rFonts w:ascii="Arial Narrow" w:hAnsi="Arial Narrow"/>
          <w:sz w:val="24"/>
          <w:szCs w:val="24"/>
        </w:rPr>
        <w:br w:type="page"/>
      </w:r>
    </w:p>
    <w:p w:rsidR="008D0CB9" w:rsidRPr="00EE003F" w:rsidRDefault="008D0CB9" w:rsidP="009054AC">
      <w:pPr>
        <w:pStyle w:val="Ttulo1"/>
        <w:jc w:val="center"/>
        <w:rPr>
          <w:rStyle w:val="Ttulo2Car"/>
          <w:b w:val="0"/>
          <w:bCs/>
        </w:rPr>
      </w:pPr>
      <w:bookmarkStart w:id="6" w:name="_Toc453004647"/>
      <w:r w:rsidRPr="00EE003F">
        <w:rPr>
          <w:rFonts w:ascii="Arial Narrow" w:hAnsi="Arial Narrow"/>
          <w:b/>
          <w:sz w:val="28"/>
        </w:rPr>
        <w:t xml:space="preserve">CAPITULO </w:t>
      </w:r>
      <w:proofErr w:type="gramStart"/>
      <w:r w:rsidRPr="00EE003F">
        <w:rPr>
          <w:rFonts w:ascii="Arial Narrow" w:hAnsi="Arial Narrow"/>
          <w:b/>
          <w:sz w:val="28"/>
        </w:rPr>
        <w:t>[</w:t>
      </w:r>
      <w:r w:rsidR="005E582A" w:rsidRPr="00EE003F">
        <w:rPr>
          <w:rFonts w:ascii="Arial Narrow" w:hAnsi="Arial Narrow"/>
          <w:b/>
          <w:sz w:val="28"/>
        </w:rPr>
        <w:t xml:space="preserve"> 1</w:t>
      </w:r>
      <w:proofErr w:type="gramEnd"/>
      <w:r w:rsidR="005E582A" w:rsidRPr="00EE003F">
        <w:rPr>
          <w:rFonts w:ascii="Arial Narrow" w:hAnsi="Arial Narrow"/>
          <w:b/>
          <w:sz w:val="28"/>
        </w:rPr>
        <w:t xml:space="preserve"> ]</w:t>
      </w:r>
      <w:r w:rsidR="009054AC" w:rsidRPr="00EE003F">
        <w:rPr>
          <w:rFonts w:ascii="Arial Narrow" w:hAnsi="Arial Narrow"/>
          <w:b/>
          <w:sz w:val="32"/>
          <w:szCs w:val="32"/>
        </w:rPr>
        <w:t xml:space="preserve"> </w:t>
      </w:r>
      <w:r w:rsidR="009054AC" w:rsidRPr="00EE003F">
        <w:rPr>
          <w:rFonts w:ascii="Arial Narrow" w:hAnsi="Arial Narrow"/>
          <w:b/>
          <w:sz w:val="32"/>
          <w:szCs w:val="32"/>
        </w:rPr>
        <w:br/>
      </w:r>
      <w:r w:rsidRPr="00EE003F">
        <w:rPr>
          <w:rStyle w:val="Ttulo2Car"/>
          <w:bCs/>
        </w:rPr>
        <w:t>Justificación de la actualización</w:t>
      </w:r>
      <w:bookmarkEnd w:id="6"/>
    </w:p>
    <w:p w:rsidR="008D0CB9" w:rsidRPr="00EE003F" w:rsidRDefault="008D0CB9" w:rsidP="008D0CB9">
      <w:pPr>
        <w:autoSpaceDE w:val="0"/>
        <w:autoSpaceDN w:val="0"/>
        <w:adjustRightInd w:val="0"/>
        <w:spacing w:after="0" w:line="240" w:lineRule="auto"/>
        <w:rPr>
          <w:rFonts w:ascii="Arial Narrow" w:hAnsi="Arial Narrow"/>
          <w:sz w:val="24"/>
          <w:szCs w:val="24"/>
        </w:rPr>
      </w:pPr>
    </w:p>
    <w:p w:rsidR="008D0CB9" w:rsidRPr="00EE003F" w:rsidRDefault="008D0CB9" w:rsidP="002C11BA">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 xml:space="preserve">El Plan Estratégico de Desarrollo Nacional fue concebido y diseñado para un entorno nacional e internacional diferente al actual, con líneas bases al 2010 en su mayoría. Por lo tanto, es necesario incluir los cambios en los supuestos y proyecciones macroeconómicas, y además, actualizar la información sobre políticas públicas, puesto que algunas de las recomendaciones del plan original ya han sido implementadas. En efecto, durante los últimos años se han dado avances considerables en la consolidación del desarrollo de nuestro país. La Ley de Reforma Magisterial, la Ley de Servicio Civil, la Política Nacional de Modernización de la Gestión Pública, </w:t>
      </w:r>
      <w:r w:rsidR="000E421A" w:rsidRPr="00EE003F">
        <w:rPr>
          <w:rFonts w:ascii="Arial Narrow" w:hAnsi="Arial Narrow"/>
          <w:sz w:val="24"/>
          <w:szCs w:val="24"/>
        </w:rPr>
        <w:t xml:space="preserve">la Agenda de Competitividad, </w:t>
      </w:r>
      <w:r w:rsidRPr="00EE003F">
        <w:rPr>
          <w:rFonts w:ascii="Arial Narrow" w:hAnsi="Arial Narrow"/>
          <w:sz w:val="24"/>
          <w:szCs w:val="24"/>
        </w:rPr>
        <w:t>el Plan Nacional de Diversificación Productiva, los acuerdos comerciales que han entrado en vigor y el mantenimiento del crecimiento sostenido son algunos de los hitos más importantes en este esfuerzo por impulsar el desarrollo nacional por parte del gobierno del presidente Ollanta Humala.</w:t>
      </w:r>
    </w:p>
    <w:p w:rsidR="008D0CB9" w:rsidRPr="00EE003F" w:rsidRDefault="008D0CB9" w:rsidP="002C11BA">
      <w:pPr>
        <w:autoSpaceDE w:val="0"/>
        <w:autoSpaceDN w:val="0"/>
        <w:adjustRightInd w:val="0"/>
        <w:spacing w:after="0" w:line="240" w:lineRule="auto"/>
        <w:jc w:val="both"/>
        <w:rPr>
          <w:rFonts w:ascii="Arial Narrow" w:hAnsi="Arial Narrow"/>
          <w:sz w:val="24"/>
          <w:szCs w:val="24"/>
        </w:rPr>
      </w:pPr>
    </w:p>
    <w:p w:rsidR="008D0CB9" w:rsidRPr="00EE003F" w:rsidRDefault="008D0CB9" w:rsidP="0068015F">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 xml:space="preserve">Por otro lado, el entorno internacional </w:t>
      </w:r>
      <w:r w:rsidR="00907C22" w:rsidRPr="00EE003F">
        <w:rPr>
          <w:rFonts w:ascii="Arial Narrow" w:hAnsi="Arial Narrow"/>
          <w:sz w:val="24"/>
          <w:szCs w:val="24"/>
        </w:rPr>
        <w:t xml:space="preserve">con la </w:t>
      </w:r>
      <w:r w:rsidRPr="00EE003F">
        <w:rPr>
          <w:rFonts w:ascii="Arial Narrow" w:hAnsi="Arial Narrow"/>
          <w:sz w:val="24"/>
          <w:szCs w:val="24"/>
        </w:rPr>
        <w:t>crisis</w:t>
      </w:r>
      <w:r w:rsidR="00907C22" w:rsidRPr="00EE003F">
        <w:rPr>
          <w:rFonts w:ascii="Arial Narrow" w:hAnsi="Arial Narrow"/>
          <w:sz w:val="24"/>
          <w:szCs w:val="24"/>
        </w:rPr>
        <w:t xml:space="preserve"> mundial, </w:t>
      </w:r>
      <w:r w:rsidR="0068015F" w:rsidRPr="00EE003F">
        <w:rPr>
          <w:rFonts w:ascii="Arial Narrow" w:hAnsi="Arial Narrow"/>
          <w:sz w:val="24"/>
          <w:szCs w:val="24"/>
        </w:rPr>
        <w:t>la desaceleración de China</w:t>
      </w:r>
      <w:r w:rsidR="00907C22" w:rsidRPr="00EE003F">
        <w:rPr>
          <w:rFonts w:ascii="Arial Narrow" w:hAnsi="Arial Narrow"/>
          <w:sz w:val="24"/>
          <w:szCs w:val="24"/>
        </w:rPr>
        <w:t xml:space="preserve"> y la caída de los precios de las materias primas</w:t>
      </w:r>
      <w:r w:rsidR="0068015F" w:rsidRPr="00EE003F">
        <w:rPr>
          <w:rFonts w:ascii="Arial Narrow" w:hAnsi="Arial Narrow"/>
          <w:sz w:val="24"/>
          <w:szCs w:val="24"/>
        </w:rPr>
        <w:t xml:space="preserve">, han </w:t>
      </w:r>
      <w:r w:rsidR="00907C22" w:rsidRPr="00EE003F">
        <w:rPr>
          <w:rFonts w:ascii="Arial Narrow" w:hAnsi="Arial Narrow"/>
          <w:sz w:val="24"/>
          <w:szCs w:val="24"/>
        </w:rPr>
        <w:t xml:space="preserve">definido </w:t>
      </w:r>
      <w:r w:rsidR="0068015F" w:rsidRPr="00EE003F">
        <w:rPr>
          <w:rFonts w:ascii="Arial Narrow" w:hAnsi="Arial Narrow"/>
          <w:sz w:val="24"/>
          <w:szCs w:val="24"/>
        </w:rPr>
        <w:t>un escenario que debe ser incluido en el análisis de largo plazo del Perú.</w:t>
      </w:r>
    </w:p>
    <w:p w:rsidR="008D0CB9" w:rsidRPr="00EE003F" w:rsidRDefault="008D0CB9" w:rsidP="002C11BA">
      <w:pPr>
        <w:autoSpaceDE w:val="0"/>
        <w:autoSpaceDN w:val="0"/>
        <w:adjustRightInd w:val="0"/>
        <w:spacing w:after="0" w:line="240" w:lineRule="auto"/>
        <w:jc w:val="both"/>
        <w:rPr>
          <w:rFonts w:ascii="Arial Narrow" w:hAnsi="Arial Narrow"/>
          <w:sz w:val="24"/>
          <w:szCs w:val="24"/>
        </w:rPr>
      </w:pPr>
    </w:p>
    <w:p w:rsidR="008D0CB9" w:rsidRPr="00EE003F" w:rsidRDefault="008D0CB9" w:rsidP="002C11BA">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El proceso de actualización del Plan Estratégico de Desarrollo Nacional se inició con la promulgación del Decreto Supremo 089-2011-PCM, en el cual se establecen cuatro fines para este proceso:</w:t>
      </w:r>
    </w:p>
    <w:p w:rsidR="008D0CB9" w:rsidRPr="00EE003F" w:rsidRDefault="008D0CB9" w:rsidP="002C11BA">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 xml:space="preserve"> </w:t>
      </w:r>
    </w:p>
    <w:p w:rsidR="008D0CB9" w:rsidRPr="00EE003F" w:rsidRDefault="0037446D" w:rsidP="008D0CB9">
      <w:pPr>
        <w:autoSpaceDE w:val="0"/>
        <w:autoSpaceDN w:val="0"/>
        <w:adjustRightInd w:val="0"/>
        <w:spacing w:after="0" w:line="240" w:lineRule="auto"/>
        <w:rPr>
          <w:rFonts w:ascii="Arial Narrow" w:hAnsi="Arial Narrow"/>
          <w:sz w:val="24"/>
          <w:szCs w:val="24"/>
        </w:rPr>
      </w:pPr>
      <w:r w:rsidRPr="00EE003F">
        <w:rPr>
          <w:noProof/>
          <w:lang w:eastAsia="es-PE"/>
        </w:rPr>
        <mc:AlternateContent>
          <mc:Choice Requires="wps">
            <w:drawing>
              <wp:anchor distT="0" distB="0" distL="114300" distR="114300" simplePos="0" relativeHeight="251719168" behindDoc="0" locked="0" layoutInCell="1" allowOverlap="1" wp14:anchorId="0FCB659C" wp14:editId="0905CD6E">
                <wp:simplePos x="0" y="0"/>
                <wp:positionH relativeFrom="column">
                  <wp:posOffset>-411480</wp:posOffset>
                </wp:positionH>
                <wp:positionV relativeFrom="paragraph">
                  <wp:posOffset>2313305</wp:posOffset>
                </wp:positionV>
                <wp:extent cx="8865870" cy="299085"/>
                <wp:effectExtent l="0" t="0" r="0" b="5715"/>
                <wp:wrapNone/>
                <wp:docPr id="233" name="22 CuadroTexto"/>
                <wp:cNvGraphicFramePr/>
                <a:graphic xmlns:a="http://schemas.openxmlformats.org/drawingml/2006/main">
                  <a:graphicData uri="http://schemas.microsoft.com/office/word/2010/wordprocessingShape">
                    <wps:wsp>
                      <wps:cNvSpPr txBox="1"/>
                      <wps:spPr>
                        <a:xfrm>
                          <a:off x="0" y="0"/>
                          <a:ext cx="8865870" cy="299085"/>
                        </a:xfrm>
                        <a:prstGeom prst="rect">
                          <a:avLst/>
                        </a:prstGeom>
                        <a:noFill/>
                        <a:ln w="9525" cmpd="sng">
                          <a:noFill/>
                        </a:ln>
                        <a:effectLst/>
                      </wps:spPr>
                      <wps:txbx>
                        <w:txbxContent>
                          <w:p w:rsidR="00274AEA" w:rsidRPr="0037446D" w:rsidRDefault="00274AEA" w:rsidP="0037446D">
                            <w:pPr>
                              <w:pStyle w:val="NormalWeb"/>
                              <w:spacing w:before="0" w:beforeAutospacing="0" w:after="0" w:afterAutospacing="0"/>
                              <w:ind w:left="720" w:right="4682"/>
                              <w:jc w:val="both"/>
                              <w:rPr>
                                <w:sz w:val="16"/>
                                <w:szCs w:val="16"/>
                              </w:rPr>
                            </w:pPr>
                            <w:r>
                              <w:rPr>
                                <w:rFonts w:ascii="Calibri" w:eastAsia="+mn-ea" w:hAnsi="Calibri" w:cs="+mn-cs"/>
                                <w:b/>
                                <w:bCs/>
                                <w:color w:val="000000"/>
                                <w:sz w:val="16"/>
                                <w:szCs w:val="16"/>
                                <w:vertAlign w:val="superscript"/>
                              </w:rPr>
                              <w:t>+</w:t>
                            </w:r>
                            <w:r w:rsidRPr="0037446D">
                              <w:rPr>
                                <w:rFonts w:ascii="Calibri" w:eastAsia="+mn-ea" w:hAnsi="Calibri" w:cs="+mn-cs"/>
                                <w:b/>
                                <w:bCs/>
                                <w:color w:val="000000"/>
                                <w:sz w:val="16"/>
                                <w:szCs w:val="16"/>
                              </w:rPr>
                              <w:t>Y a los Objetivos de Desarrollo Sostenible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2 CuadroTexto" o:spid="_x0000_s1026" type="#_x0000_t202" style="position:absolute;margin-left:-32.4pt;margin-top:182.15pt;width:698.1pt;height:23.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" filled="f" stroked="f">
                <v:textbox>
                  <w:txbxContent>
                    <w:p w:rsidR="00274AEA" w:rsidRPr="0037446D" w:rsidRDefault="00274AEA" w:rsidP="0037446D">
                      <w:pPr>
                        <w:pStyle w:val="NormalWeb"/>
                        <w:spacing w:before="0" w:beforeAutospacing="0" w:after="0" w:afterAutospacing="0"/>
                        <w:ind w:left="720" w:right="4682"/>
                        <w:jc w:val="both"/>
                        <w:rPr>
                          <w:sz w:val="16"/>
                          <w:szCs w:val="16"/>
                        </w:rPr>
                      </w:pPr>
                      <w:r>
                        <w:rPr>
                          <w:rFonts w:ascii="Calibri" w:eastAsia="+mn-ea" w:hAnsi="Calibri" w:cs="+mn-cs"/>
                          <w:b/>
                          <w:bCs/>
                          <w:color w:val="000000"/>
                          <w:sz w:val="16"/>
                          <w:szCs w:val="16"/>
                          <w:vertAlign w:val="superscript"/>
                        </w:rPr>
                        <w:t>+</w:t>
                      </w:r>
                      <w:r w:rsidRPr="0037446D">
                        <w:rPr>
                          <w:rFonts w:ascii="Calibri" w:eastAsia="+mn-ea" w:hAnsi="Calibri" w:cs="+mn-cs"/>
                          <w:b/>
                          <w:bCs/>
                          <w:color w:val="000000"/>
                          <w:sz w:val="16"/>
                          <w:szCs w:val="16"/>
                        </w:rPr>
                        <w:t>Y a los Objetivos de Desarrollo Sostenible</w:t>
                      </w:r>
                    </w:p>
                  </w:txbxContent>
                </v:textbox>
              </v:shape>
            </w:pict>
          </mc:Fallback>
        </mc:AlternateContent>
      </w:r>
      <w:r w:rsidR="00563590" w:rsidRPr="00EE003F">
        <w:rPr>
          <w:noProof/>
          <w:lang w:eastAsia="es-PE"/>
        </w:rPr>
        <w:drawing>
          <wp:inline distT="0" distB="0" distL="0" distR="0" wp14:anchorId="3EA6B630" wp14:editId="1CA81AA1">
            <wp:extent cx="5400675" cy="2318614"/>
            <wp:effectExtent l="0" t="0" r="0" b="571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675" cy="2318614"/>
                    </a:xfrm>
                    <a:prstGeom prst="rect">
                      <a:avLst/>
                    </a:prstGeom>
                  </pic:spPr>
                </pic:pic>
              </a:graphicData>
            </a:graphic>
          </wp:inline>
        </w:drawing>
      </w:r>
    </w:p>
    <w:p w:rsidR="00563590" w:rsidRPr="00EE003F" w:rsidRDefault="00563590" w:rsidP="008D0CB9">
      <w:pPr>
        <w:autoSpaceDE w:val="0"/>
        <w:autoSpaceDN w:val="0"/>
        <w:adjustRightInd w:val="0"/>
        <w:spacing w:after="0" w:line="240" w:lineRule="auto"/>
        <w:rPr>
          <w:rFonts w:ascii="Arial Narrow" w:hAnsi="Arial Narrow"/>
          <w:sz w:val="24"/>
          <w:szCs w:val="24"/>
        </w:rPr>
      </w:pPr>
    </w:p>
    <w:p w:rsidR="0037446D" w:rsidRPr="00EE003F" w:rsidRDefault="0037446D" w:rsidP="00836749">
      <w:pPr>
        <w:autoSpaceDE w:val="0"/>
        <w:autoSpaceDN w:val="0"/>
        <w:adjustRightInd w:val="0"/>
        <w:spacing w:after="0" w:line="240" w:lineRule="auto"/>
        <w:jc w:val="both"/>
        <w:rPr>
          <w:rFonts w:ascii="Arial Narrow" w:hAnsi="Arial Narrow"/>
          <w:sz w:val="24"/>
          <w:szCs w:val="24"/>
        </w:rPr>
      </w:pPr>
    </w:p>
    <w:p w:rsidR="0037446D" w:rsidRPr="00EE003F" w:rsidRDefault="0037446D" w:rsidP="00836749">
      <w:pPr>
        <w:autoSpaceDE w:val="0"/>
        <w:autoSpaceDN w:val="0"/>
        <w:adjustRightInd w:val="0"/>
        <w:spacing w:after="0" w:line="240" w:lineRule="auto"/>
        <w:jc w:val="both"/>
        <w:rPr>
          <w:rFonts w:ascii="Arial Narrow" w:hAnsi="Arial Narrow"/>
          <w:sz w:val="24"/>
          <w:szCs w:val="24"/>
        </w:rPr>
      </w:pPr>
    </w:p>
    <w:p w:rsidR="0037446D" w:rsidRPr="00EE003F" w:rsidRDefault="0037446D" w:rsidP="00836749">
      <w:pPr>
        <w:autoSpaceDE w:val="0"/>
        <w:autoSpaceDN w:val="0"/>
        <w:adjustRightInd w:val="0"/>
        <w:spacing w:after="0" w:line="240" w:lineRule="auto"/>
        <w:jc w:val="both"/>
        <w:rPr>
          <w:rFonts w:ascii="Arial Narrow" w:hAnsi="Arial Narrow"/>
          <w:sz w:val="24"/>
          <w:szCs w:val="24"/>
        </w:rPr>
      </w:pPr>
    </w:p>
    <w:p w:rsidR="008D0CB9" w:rsidRPr="00EE003F" w:rsidRDefault="008D0CB9" w:rsidP="00836749">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El Plan Estratégico de Desarrollo Nacional</w:t>
      </w:r>
      <w:r w:rsidR="00C33EB0" w:rsidRPr="00EE003F">
        <w:rPr>
          <w:rFonts w:ascii="Arial Narrow" w:hAnsi="Arial Narrow"/>
          <w:sz w:val="24"/>
          <w:szCs w:val="24"/>
        </w:rPr>
        <w:t xml:space="preserve"> Actualizado</w:t>
      </w:r>
      <w:r w:rsidRPr="00EE003F">
        <w:rPr>
          <w:rFonts w:ascii="Arial Narrow" w:hAnsi="Arial Narrow"/>
          <w:sz w:val="24"/>
          <w:szCs w:val="24"/>
        </w:rPr>
        <w:t xml:space="preserve"> “El Perú hacia el 2021” contempla el cumplimiento de los objetivos planteados en el referido decreto supremo y añade el cumplimiento de los Objetivos de Desarrollo Sostenible (ODS). En ese sentido, contribuye a afianzar el crecimiento con inclusión social en democracia, enfocando los lineamientos y acciones estratégicas bajo una perspectiva de desarrollo económico y social; particularmente, incluyendo la Estrategia Nacional de Desarrollo e Inclusión Social llamada “Incluir para Crecer” como enfoque de política social y lucha contra la pobreza. Así también, consigue alinear la igualdad de derechos, oportunidades y metas sociales con los ODM y ODS y los integr</w:t>
      </w:r>
      <w:r w:rsidR="005F7052" w:rsidRPr="00EE003F">
        <w:rPr>
          <w:rFonts w:ascii="Arial Narrow" w:hAnsi="Arial Narrow"/>
          <w:sz w:val="24"/>
          <w:szCs w:val="24"/>
        </w:rPr>
        <w:t>a</w:t>
      </w:r>
      <w:r w:rsidRPr="00EE003F">
        <w:rPr>
          <w:rFonts w:ascii="Arial Narrow" w:hAnsi="Arial Narrow"/>
          <w:sz w:val="24"/>
          <w:szCs w:val="24"/>
        </w:rPr>
        <w:t>n a los objetivos</w:t>
      </w:r>
      <w:r w:rsidR="003E6508" w:rsidRPr="00EE003F">
        <w:rPr>
          <w:rFonts w:ascii="Arial Narrow" w:hAnsi="Arial Narrow"/>
          <w:sz w:val="24"/>
          <w:szCs w:val="24"/>
        </w:rPr>
        <w:t>,</w:t>
      </w:r>
      <w:r w:rsidRPr="00EE003F">
        <w:rPr>
          <w:rFonts w:ascii="Arial Narrow" w:hAnsi="Arial Narrow"/>
          <w:sz w:val="24"/>
          <w:szCs w:val="24"/>
        </w:rPr>
        <w:t xml:space="preserve"> ac</w:t>
      </w:r>
      <w:r w:rsidR="003E6508" w:rsidRPr="00EE003F">
        <w:rPr>
          <w:rFonts w:ascii="Arial Narrow" w:hAnsi="Arial Narrow"/>
          <w:sz w:val="24"/>
          <w:szCs w:val="24"/>
        </w:rPr>
        <w:t xml:space="preserve">ciones estratégicas y prioridades del PEDN. </w:t>
      </w:r>
    </w:p>
    <w:p w:rsidR="00A93837" w:rsidRPr="00EE003F" w:rsidRDefault="00A93837" w:rsidP="00836749">
      <w:pPr>
        <w:autoSpaceDE w:val="0"/>
        <w:autoSpaceDN w:val="0"/>
        <w:adjustRightInd w:val="0"/>
        <w:spacing w:after="0" w:line="240" w:lineRule="auto"/>
        <w:jc w:val="both"/>
        <w:rPr>
          <w:rFonts w:ascii="Arial Narrow" w:hAnsi="Arial Narrow"/>
          <w:sz w:val="24"/>
          <w:szCs w:val="24"/>
        </w:rPr>
      </w:pPr>
    </w:p>
    <w:p w:rsidR="00A93837" w:rsidRPr="00EE003F" w:rsidRDefault="00A93837" w:rsidP="00836749">
      <w:pPr>
        <w:autoSpaceDE w:val="0"/>
        <w:autoSpaceDN w:val="0"/>
        <w:adjustRightInd w:val="0"/>
        <w:spacing w:after="0" w:line="240" w:lineRule="auto"/>
        <w:jc w:val="both"/>
        <w:rPr>
          <w:rFonts w:ascii="Arial Narrow" w:hAnsi="Arial Narrow"/>
          <w:sz w:val="24"/>
          <w:szCs w:val="24"/>
        </w:rPr>
      </w:pPr>
    </w:p>
    <w:p w:rsidR="00A93837" w:rsidRPr="00EE003F" w:rsidRDefault="00A93837" w:rsidP="00836749">
      <w:pPr>
        <w:autoSpaceDE w:val="0"/>
        <w:autoSpaceDN w:val="0"/>
        <w:adjustRightInd w:val="0"/>
        <w:spacing w:after="0" w:line="240" w:lineRule="auto"/>
        <w:jc w:val="both"/>
        <w:rPr>
          <w:rFonts w:ascii="Arial Narrow" w:hAnsi="Arial Narrow"/>
          <w:sz w:val="24"/>
          <w:szCs w:val="24"/>
        </w:rPr>
      </w:pPr>
    </w:p>
    <w:p w:rsidR="008D0CB9" w:rsidRPr="00EE003F" w:rsidRDefault="008D0CB9" w:rsidP="00836749">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Con el fin de alcanzar la concertación de diversos actores y niveles de gobierno en el proceso mismo de actualización del PEDN se organizaron talleres de consulta con especialistas del</w:t>
      </w:r>
      <w:r w:rsidR="00E37AD7" w:rsidRPr="00EE003F">
        <w:rPr>
          <w:rFonts w:ascii="Arial Narrow" w:hAnsi="Arial Narrow"/>
          <w:sz w:val="24"/>
          <w:szCs w:val="24"/>
        </w:rPr>
        <w:t xml:space="preserve"> </w:t>
      </w:r>
      <w:r w:rsidRPr="00EE003F">
        <w:rPr>
          <w:rFonts w:ascii="Arial Narrow" w:hAnsi="Arial Narrow"/>
          <w:sz w:val="24"/>
          <w:szCs w:val="24"/>
        </w:rPr>
        <w:t>sector público y privado. En total, se contó con la participación de más de 450 expertos nacionales y del extranjero, consultas oficial</w:t>
      </w:r>
      <w:r w:rsidR="00E5171B" w:rsidRPr="00EE003F">
        <w:rPr>
          <w:rFonts w:ascii="Arial Narrow" w:hAnsi="Arial Narrow"/>
          <w:sz w:val="24"/>
          <w:szCs w:val="24"/>
        </w:rPr>
        <w:t>es</w:t>
      </w:r>
      <w:r w:rsidRPr="00EE003F">
        <w:rPr>
          <w:rFonts w:ascii="Arial Narrow" w:hAnsi="Arial Narrow"/>
          <w:sz w:val="24"/>
          <w:szCs w:val="24"/>
        </w:rPr>
        <w:t xml:space="preserve"> a los sectores,</w:t>
      </w:r>
      <w:r w:rsidR="00C958B7" w:rsidRPr="00EE003F">
        <w:rPr>
          <w:rFonts w:ascii="Arial Narrow" w:hAnsi="Arial Narrow"/>
          <w:sz w:val="24"/>
          <w:szCs w:val="24"/>
        </w:rPr>
        <w:t xml:space="preserve"> y</w:t>
      </w:r>
      <w:r w:rsidRPr="00EE003F">
        <w:rPr>
          <w:rFonts w:ascii="Arial Narrow" w:hAnsi="Arial Narrow"/>
          <w:sz w:val="24"/>
          <w:szCs w:val="24"/>
        </w:rPr>
        <w:t xml:space="preserve"> encuestas en línea. Se consideraron las propuestas de los partidos políticos desarrolladas en el Diálogo Nacional y se incluyeron los temas de prospectiva desarrollados en los Foros del Futuro organizados por el </w:t>
      </w:r>
      <w:proofErr w:type="spellStart"/>
      <w:r w:rsidRPr="00EE003F">
        <w:rPr>
          <w:rFonts w:ascii="Arial Narrow" w:hAnsi="Arial Narrow"/>
          <w:sz w:val="24"/>
          <w:szCs w:val="24"/>
        </w:rPr>
        <w:t>Ceplan</w:t>
      </w:r>
      <w:proofErr w:type="spellEnd"/>
      <w:r w:rsidRPr="00EE003F">
        <w:rPr>
          <w:rFonts w:ascii="Arial Narrow" w:hAnsi="Arial Narrow"/>
          <w:sz w:val="24"/>
          <w:szCs w:val="24"/>
        </w:rPr>
        <w:t>. Finalmente, para lograr el reencuentro histórico con el Perú rural se han priorizado las acciones orientadas a mejorar las condiciones y calidad de vida de las poblaciones rurales, mediante el análisis de la situación actual bajo un enfoque de brechas y de interculturalidad en el tratamiento de los derechos humanos.</w:t>
      </w:r>
    </w:p>
    <w:p w:rsidR="008D0CB9" w:rsidRPr="00EE003F" w:rsidRDefault="008D0CB9" w:rsidP="00836749">
      <w:pPr>
        <w:autoSpaceDE w:val="0"/>
        <w:autoSpaceDN w:val="0"/>
        <w:adjustRightInd w:val="0"/>
        <w:spacing w:after="0" w:line="240" w:lineRule="auto"/>
        <w:jc w:val="both"/>
        <w:rPr>
          <w:rFonts w:ascii="Arial Narrow" w:hAnsi="Arial Narrow"/>
          <w:sz w:val="24"/>
          <w:szCs w:val="24"/>
        </w:rPr>
      </w:pPr>
    </w:p>
    <w:p w:rsidR="008D0CB9" w:rsidRPr="00EE003F" w:rsidRDefault="00E21D78" w:rsidP="00836749">
      <w:pPr>
        <w:autoSpaceDE w:val="0"/>
        <w:autoSpaceDN w:val="0"/>
        <w:adjustRightInd w:val="0"/>
        <w:spacing w:after="0" w:line="240" w:lineRule="auto"/>
        <w:jc w:val="both"/>
        <w:rPr>
          <w:rFonts w:ascii="Arial Narrow" w:hAnsi="Arial Narrow"/>
          <w:sz w:val="24"/>
          <w:szCs w:val="24"/>
        </w:rPr>
      </w:pPr>
      <w:r w:rsidRPr="00EE003F">
        <w:rPr>
          <w:noProof/>
          <w:lang w:eastAsia="es-PE"/>
        </w:rPr>
        <w:drawing>
          <wp:inline distT="0" distB="0" distL="0" distR="0" wp14:anchorId="781263B5" wp14:editId="7488130F">
            <wp:extent cx="5400675" cy="362061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675" cy="3620615"/>
                    </a:xfrm>
                    <a:prstGeom prst="rect">
                      <a:avLst/>
                    </a:prstGeom>
                  </pic:spPr>
                </pic:pic>
              </a:graphicData>
            </a:graphic>
          </wp:inline>
        </w:drawing>
      </w:r>
    </w:p>
    <w:p w:rsidR="008D0CB9" w:rsidRPr="00EE003F" w:rsidRDefault="008D0CB9" w:rsidP="00836749">
      <w:pPr>
        <w:autoSpaceDE w:val="0"/>
        <w:autoSpaceDN w:val="0"/>
        <w:adjustRightInd w:val="0"/>
        <w:spacing w:after="0" w:line="240" w:lineRule="auto"/>
        <w:jc w:val="both"/>
        <w:rPr>
          <w:rFonts w:ascii="Arial Narrow" w:hAnsi="Arial Narrow"/>
          <w:sz w:val="24"/>
          <w:szCs w:val="24"/>
        </w:rPr>
      </w:pPr>
    </w:p>
    <w:p w:rsidR="008D0CB9" w:rsidRPr="00EE003F" w:rsidRDefault="008D0CB9" w:rsidP="00836749">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Desde que se dio a conocer el primer Plan Estratégico de Desarrollo Naci</w:t>
      </w:r>
      <w:r w:rsidR="00A36241" w:rsidRPr="00EE003F">
        <w:rPr>
          <w:rFonts w:ascii="Arial Narrow" w:hAnsi="Arial Narrow"/>
          <w:sz w:val="24"/>
          <w:szCs w:val="24"/>
        </w:rPr>
        <w:t xml:space="preserve">onal, éste recibió observaciones </w:t>
      </w:r>
      <w:r w:rsidRPr="00EE003F">
        <w:rPr>
          <w:rFonts w:ascii="Arial Narrow" w:hAnsi="Arial Narrow"/>
          <w:sz w:val="24"/>
          <w:szCs w:val="24"/>
        </w:rPr>
        <w:t>de caráct</w:t>
      </w:r>
      <w:r w:rsidR="00A36241" w:rsidRPr="00EE003F">
        <w:rPr>
          <w:rFonts w:ascii="Arial Narrow" w:hAnsi="Arial Narrow"/>
          <w:sz w:val="24"/>
          <w:szCs w:val="24"/>
        </w:rPr>
        <w:t xml:space="preserve">er metodológico; tales como </w:t>
      </w:r>
      <w:r w:rsidRPr="00EE003F">
        <w:rPr>
          <w:rFonts w:ascii="Arial Narrow" w:hAnsi="Arial Narrow"/>
          <w:sz w:val="24"/>
          <w:szCs w:val="24"/>
        </w:rPr>
        <w:t>superposición de los temas contenidos en los seis ejes que conforman</w:t>
      </w:r>
      <w:r w:rsidR="00A36241" w:rsidRPr="00EE003F">
        <w:rPr>
          <w:rFonts w:ascii="Arial Narrow" w:hAnsi="Arial Narrow"/>
          <w:sz w:val="24"/>
          <w:szCs w:val="24"/>
        </w:rPr>
        <w:t xml:space="preserve"> la base fundamental del plan, </w:t>
      </w:r>
      <w:r w:rsidRPr="00EE003F">
        <w:rPr>
          <w:rFonts w:ascii="Arial Narrow" w:hAnsi="Arial Narrow"/>
          <w:sz w:val="24"/>
          <w:szCs w:val="24"/>
        </w:rPr>
        <w:t>el exce</w:t>
      </w:r>
      <w:r w:rsidR="00A36241" w:rsidRPr="00EE003F">
        <w:rPr>
          <w:rFonts w:ascii="Arial Narrow" w:hAnsi="Arial Narrow"/>
          <w:sz w:val="24"/>
          <w:szCs w:val="24"/>
        </w:rPr>
        <w:t>sivo número de indicadores (91)</w:t>
      </w:r>
      <w:r w:rsidRPr="00EE003F">
        <w:rPr>
          <w:rFonts w:ascii="Arial Narrow" w:hAnsi="Arial Narrow"/>
          <w:sz w:val="24"/>
          <w:szCs w:val="24"/>
        </w:rPr>
        <w:t xml:space="preserve"> </w:t>
      </w:r>
      <w:r w:rsidR="00A36241" w:rsidRPr="00EE003F">
        <w:rPr>
          <w:rFonts w:ascii="Arial Narrow" w:hAnsi="Arial Narrow"/>
          <w:sz w:val="24"/>
          <w:szCs w:val="24"/>
        </w:rPr>
        <w:t>y</w:t>
      </w:r>
      <w:r w:rsidRPr="00EE003F">
        <w:rPr>
          <w:rFonts w:ascii="Arial Narrow" w:hAnsi="Arial Narrow"/>
          <w:sz w:val="24"/>
          <w:szCs w:val="24"/>
        </w:rPr>
        <w:t xml:space="preserve"> el hecho de que muchos de </w:t>
      </w:r>
      <w:r w:rsidR="00A36241" w:rsidRPr="00EE003F">
        <w:rPr>
          <w:rFonts w:ascii="Arial Narrow" w:hAnsi="Arial Narrow"/>
          <w:sz w:val="24"/>
          <w:szCs w:val="24"/>
        </w:rPr>
        <w:t>ellos</w:t>
      </w:r>
      <w:r w:rsidRPr="00EE003F">
        <w:rPr>
          <w:rFonts w:ascii="Arial Narrow" w:hAnsi="Arial Narrow"/>
          <w:sz w:val="24"/>
          <w:szCs w:val="24"/>
        </w:rPr>
        <w:t xml:space="preserve"> presentaban distorsiones de carácter estadístico.</w:t>
      </w:r>
    </w:p>
    <w:p w:rsidR="008D0CB9" w:rsidRPr="00EE003F" w:rsidRDefault="008D0CB9" w:rsidP="00836749">
      <w:pPr>
        <w:autoSpaceDE w:val="0"/>
        <w:autoSpaceDN w:val="0"/>
        <w:adjustRightInd w:val="0"/>
        <w:spacing w:after="0" w:line="240" w:lineRule="auto"/>
        <w:jc w:val="both"/>
        <w:rPr>
          <w:rFonts w:ascii="Arial Narrow" w:hAnsi="Arial Narrow"/>
          <w:sz w:val="24"/>
          <w:szCs w:val="24"/>
        </w:rPr>
      </w:pPr>
    </w:p>
    <w:p w:rsidR="00945644" w:rsidRPr="00EE003F" w:rsidRDefault="00114F01" w:rsidP="00836749">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 xml:space="preserve">Los temas desarrollados en los ejes han sido delimitados y precisados, permitiendo una mejor comprensión del plan, y una articulación de los </w:t>
      </w:r>
      <w:r w:rsidR="00945644" w:rsidRPr="00EE003F">
        <w:rPr>
          <w:rFonts w:ascii="Arial Narrow" w:hAnsi="Arial Narrow"/>
          <w:sz w:val="24"/>
          <w:szCs w:val="24"/>
        </w:rPr>
        <w:t xml:space="preserve">procesos de planeamiento estratégico de las entidades públicas. </w:t>
      </w:r>
      <w:r w:rsidRPr="00EE003F">
        <w:rPr>
          <w:rFonts w:ascii="Arial Narrow" w:hAnsi="Arial Narrow"/>
          <w:sz w:val="24"/>
          <w:szCs w:val="24"/>
        </w:rPr>
        <w:t>L</w:t>
      </w:r>
      <w:r w:rsidR="00945644" w:rsidRPr="00EE003F">
        <w:rPr>
          <w:rFonts w:ascii="Arial Narrow" w:hAnsi="Arial Narrow"/>
          <w:sz w:val="24"/>
          <w:szCs w:val="24"/>
        </w:rPr>
        <w:t>a redistribución de temas en los ejes permitió identificar algunos otros temas de vital importancia que no habían sido incluidos, tales como: planeamiento territorial, crecimiento verde, inclusión social, gestión del riesgo de desastres, mitigación y adaptación al cambio climático, entre otros.</w:t>
      </w:r>
    </w:p>
    <w:p w:rsidR="00945644" w:rsidRPr="00EE003F" w:rsidRDefault="00945644" w:rsidP="00836749">
      <w:pPr>
        <w:autoSpaceDE w:val="0"/>
        <w:autoSpaceDN w:val="0"/>
        <w:adjustRightInd w:val="0"/>
        <w:spacing w:after="0" w:line="240" w:lineRule="auto"/>
        <w:jc w:val="both"/>
        <w:rPr>
          <w:rFonts w:ascii="Arial Narrow" w:hAnsi="Arial Narrow"/>
          <w:sz w:val="24"/>
          <w:szCs w:val="24"/>
        </w:rPr>
      </w:pPr>
    </w:p>
    <w:p w:rsidR="008D0CB9" w:rsidRPr="00EE003F" w:rsidRDefault="008D0CB9" w:rsidP="00836749">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 xml:space="preserve">En el presente plan, los seis ejes estratégicos de desarrollo son complementarios y no superpuestos, donde cada tema está relacionado y delimitado claramente con una mayor cobertura temática orientada a los desafíos y cierre de brechas con una visión prospectiva. </w:t>
      </w:r>
    </w:p>
    <w:p w:rsidR="008D0CB9" w:rsidRPr="00EE003F" w:rsidRDefault="008D0CB9" w:rsidP="00836749">
      <w:pPr>
        <w:autoSpaceDE w:val="0"/>
        <w:autoSpaceDN w:val="0"/>
        <w:adjustRightInd w:val="0"/>
        <w:spacing w:after="0" w:line="240" w:lineRule="auto"/>
        <w:jc w:val="both"/>
        <w:rPr>
          <w:rFonts w:ascii="Arial Narrow" w:hAnsi="Arial Narrow"/>
          <w:sz w:val="24"/>
          <w:szCs w:val="24"/>
        </w:rPr>
      </w:pPr>
    </w:p>
    <w:p w:rsidR="008D0CB9" w:rsidRPr="00EE003F" w:rsidRDefault="008D0CB9" w:rsidP="00836749">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El desarrollo de los ejes se sustenta en una revisión documental más amplia y actualizada, tomando en cuenta los importantes avances del país, la comparación internacional, y las políticas implementadas en los últimos años.</w:t>
      </w:r>
    </w:p>
    <w:p w:rsidR="008D0CB9" w:rsidRPr="00EE003F" w:rsidRDefault="008D0CB9" w:rsidP="00836749">
      <w:pPr>
        <w:autoSpaceDE w:val="0"/>
        <w:autoSpaceDN w:val="0"/>
        <w:adjustRightInd w:val="0"/>
        <w:spacing w:after="0" w:line="240" w:lineRule="auto"/>
        <w:jc w:val="both"/>
        <w:rPr>
          <w:rFonts w:ascii="Arial Narrow" w:hAnsi="Arial Narrow"/>
          <w:sz w:val="24"/>
          <w:szCs w:val="24"/>
        </w:rPr>
      </w:pPr>
    </w:p>
    <w:p w:rsidR="008D0CB9" w:rsidRPr="00EE003F" w:rsidRDefault="008D0CB9" w:rsidP="008D0CB9">
      <w:pPr>
        <w:autoSpaceDE w:val="0"/>
        <w:autoSpaceDN w:val="0"/>
        <w:adjustRightInd w:val="0"/>
        <w:spacing w:after="0" w:line="240" w:lineRule="auto"/>
        <w:rPr>
          <w:rFonts w:ascii="Arial Narrow" w:hAnsi="Arial Narrow"/>
          <w:sz w:val="24"/>
          <w:szCs w:val="24"/>
        </w:rPr>
      </w:pPr>
      <w:r w:rsidRPr="00EE003F">
        <w:rPr>
          <w:rFonts w:ascii="Arial Narrow" w:hAnsi="Arial Narrow"/>
          <w:noProof/>
          <w:sz w:val="24"/>
          <w:szCs w:val="24"/>
          <w:lang w:eastAsia="es-PE"/>
        </w:rPr>
        <w:drawing>
          <wp:inline distT="0" distB="0" distL="0" distR="0" wp14:anchorId="23500D7A" wp14:editId="5121D1DE">
            <wp:extent cx="3880237" cy="2792149"/>
            <wp:effectExtent l="0" t="0" r="6350"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0316" cy="2792206"/>
                    </a:xfrm>
                    <a:prstGeom prst="rect">
                      <a:avLst/>
                    </a:prstGeom>
                    <a:noFill/>
                    <a:ln>
                      <a:noFill/>
                    </a:ln>
                  </pic:spPr>
                </pic:pic>
              </a:graphicData>
            </a:graphic>
          </wp:inline>
        </w:drawing>
      </w:r>
    </w:p>
    <w:p w:rsidR="00945644" w:rsidRPr="00EE003F" w:rsidRDefault="00945644" w:rsidP="00945644">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 xml:space="preserve">De esta manera en el eje 1 </w:t>
      </w:r>
      <w:r w:rsidR="00F93360" w:rsidRPr="00EE003F">
        <w:rPr>
          <w:rFonts w:ascii="Arial Narrow" w:hAnsi="Arial Narrow"/>
          <w:sz w:val="24"/>
          <w:szCs w:val="24"/>
        </w:rPr>
        <w:t xml:space="preserve">(Derechos Humanos e Inclusión Social) </w:t>
      </w:r>
      <w:r w:rsidRPr="00EE003F">
        <w:rPr>
          <w:rFonts w:ascii="Arial Narrow" w:hAnsi="Arial Narrow"/>
          <w:sz w:val="24"/>
          <w:szCs w:val="24"/>
        </w:rPr>
        <w:t xml:space="preserve">se consideró que el enfoque del PEDN actualizado </w:t>
      </w:r>
      <w:r w:rsidR="00D221F2" w:rsidRPr="00EE003F">
        <w:rPr>
          <w:rFonts w:ascii="Arial Narrow" w:hAnsi="Arial Narrow"/>
          <w:sz w:val="24"/>
          <w:szCs w:val="24"/>
        </w:rPr>
        <w:t xml:space="preserve">debía </w:t>
      </w:r>
      <w:r w:rsidRPr="00EE003F">
        <w:rPr>
          <w:rFonts w:ascii="Arial Narrow" w:hAnsi="Arial Narrow"/>
          <w:sz w:val="24"/>
          <w:szCs w:val="24"/>
        </w:rPr>
        <w:t>potenciar el ejercicio de derechos humanos, tales como a</w:t>
      </w:r>
      <w:r w:rsidR="00D221F2" w:rsidRPr="00EE003F">
        <w:rPr>
          <w:rFonts w:ascii="Arial Narrow" w:hAnsi="Arial Narrow"/>
          <w:sz w:val="24"/>
          <w:szCs w:val="24"/>
        </w:rPr>
        <w:t xml:space="preserve"> </w:t>
      </w:r>
      <w:r w:rsidRPr="00EE003F">
        <w:rPr>
          <w:rFonts w:ascii="Arial Narrow" w:hAnsi="Arial Narrow"/>
          <w:sz w:val="24"/>
          <w:szCs w:val="24"/>
        </w:rPr>
        <w:t>l</w:t>
      </w:r>
      <w:r w:rsidR="00D221F2" w:rsidRPr="00EE003F">
        <w:rPr>
          <w:rFonts w:ascii="Arial Narrow" w:hAnsi="Arial Narrow"/>
          <w:sz w:val="24"/>
          <w:szCs w:val="24"/>
        </w:rPr>
        <w:t>a</w:t>
      </w:r>
      <w:r w:rsidRPr="00EE003F">
        <w:rPr>
          <w:rFonts w:ascii="Arial Narrow" w:hAnsi="Arial Narrow"/>
          <w:sz w:val="24"/>
          <w:szCs w:val="24"/>
        </w:rPr>
        <w:t xml:space="preserve"> vida, la libertad, la igualdad y la participación política y ciudadana. Por esta razón, se trasladaron los asuntos referidos al sistema de representación política y de la administración de justicia al eje 3. Este último enfatiza a nivel macro la modernización y gestión pública en el país.</w:t>
      </w:r>
    </w:p>
    <w:p w:rsidR="00945644" w:rsidRPr="00EE003F" w:rsidRDefault="00945644" w:rsidP="00945644">
      <w:pPr>
        <w:autoSpaceDE w:val="0"/>
        <w:autoSpaceDN w:val="0"/>
        <w:adjustRightInd w:val="0"/>
        <w:spacing w:after="0" w:line="240" w:lineRule="auto"/>
        <w:jc w:val="both"/>
        <w:rPr>
          <w:rFonts w:ascii="Arial Narrow" w:hAnsi="Arial Narrow"/>
          <w:sz w:val="24"/>
          <w:szCs w:val="24"/>
        </w:rPr>
      </w:pPr>
    </w:p>
    <w:p w:rsidR="00762FBB" w:rsidRPr="00EE003F" w:rsidRDefault="00945644" w:rsidP="00945644">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El enfoque del eje 2</w:t>
      </w:r>
      <w:r w:rsidR="00F93360" w:rsidRPr="00EE003F">
        <w:rPr>
          <w:rFonts w:ascii="Arial Narrow" w:hAnsi="Arial Narrow"/>
          <w:sz w:val="24"/>
          <w:szCs w:val="24"/>
        </w:rPr>
        <w:t xml:space="preserve"> (Oportunidades y acceso a los servicios) </w:t>
      </w:r>
      <w:r w:rsidRPr="00EE003F">
        <w:rPr>
          <w:rFonts w:ascii="Arial Narrow" w:hAnsi="Arial Narrow"/>
          <w:sz w:val="24"/>
          <w:szCs w:val="24"/>
        </w:rPr>
        <w:t xml:space="preserve">considera el acceso a servicios </w:t>
      </w:r>
      <w:r w:rsidR="00D221F2" w:rsidRPr="00EE003F">
        <w:rPr>
          <w:rFonts w:ascii="Arial Narrow" w:hAnsi="Arial Narrow"/>
          <w:sz w:val="24"/>
          <w:szCs w:val="24"/>
        </w:rPr>
        <w:t xml:space="preserve">públicos </w:t>
      </w:r>
      <w:r w:rsidRPr="00EE003F">
        <w:rPr>
          <w:rFonts w:ascii="Arial Narrow" w:hAnsi="Arial Narrow"/>
          <w:sz w:val="24"/>
          <w:szCs w:val="24"/>
        </w:rPr>
        <w:t xml:space="preserve">de calidad que permiten el desarrollo de las capacidades plenas de la población. De esta manera la seguridad ciudadana pasó al eje 3 donde se ven temas de seguridad interna y externa. </w:t>
      </w:r>
      <w:r w:rsidR="00D221F2" w:rsidRPr="00EE003F">
        <w:rPr>
          <w:rFonts w:ascii="Arial Narrow" w:hAnsi="Arial Narrow"/>
          <w:sz w:val="24"/>
          <w:szCs w:val="24"/>
        </w:rPr>
        <w:t>Por su parte l</w:t>
      </w:r>
      <w:r w:rsidRPr="00EE003F">
        <w:rPr>
          <w:rFonts w:ascii="Arial Narrow" w:hAnsi="Arial Narrow"/>
          <w:sz w:val="24"/>
          <w:szCs w:val="24"/>
        </w:rPr>
        <w:t>a seguridad alimentaria se aborda des</w:t>
      </w:r>
      <w:r w:rsidR="00D221F2" w:rsidRPr="00EE003F">
        <w:rPr>
          <w:rFonts w:ascii="Arial Narrow" w:hAnsi="Arial Narrow"/>
          <w:sz w:val="24"/>
          <w:szCs w:val="24"/>
        </w:rPr>
        <w:t>d</w:t>
      </w:r>
      <w:r w:rsidRPr="00EE003F">
        <w:rPr>
          <w:rFonts w:ascii="Arial Narrow" w:hAnsi="Arial Narrow"/>
          <w:sz w:val="24"/>
          <w:szCs w:val="24"/>
        </w:rPr>
        <w:t>e dos grande</w:t>
      </w:r>
      <w:r w:rsidR="00D221F2" w:rsidRPr="00EE003F">
        <w:rPr>
          <w:rFonts w:ascii="Arial Narrow" w:hAnsi="Arial Narrow"/>
          <w:sz w:val="24"/>
          <w:szCs w:val="24"/>
        </w:rPr>
        <w:t>s</w:t>
      </w:r>
      <w:r w:rsidRPr="00EE003F">
        <w:rPr>
          <w:rFonts w:ascii="Arial Narrow" w:hAnsi="Arial Narrow"/>
          <w:sz w:val="24"/>
          <w:szCs w:val="24"/>
        </w:rPr>
        <w:t xml:space="preserve"> dimensiones</w:t>
      </w:r>
      <w:r w:rsidR="00D221F2" w:rsidRPr="00EE003F">
        <w:rPr>
          <w:rFonts w:ascii="Arial Narrow" w:hAnsi="Arial Narrow"/>
          <w:sz w:val="24"/>
          <w:szCs w:val="24"/>
        </w:rPr>
        <w:t>, en primer lugar</w:t>
      </w:r>
      <w:r w:rsidRPr="00EE003F">
        <w:rPr>
          <w:rFonts w:ascii="Arial Narrow" w:hAnsi="Arial Narrow"/>
          <w:sz w:val="24"/>
          <w:szCs w:val="24"/>
        </w:rPr>
        <w:t xml:space="preserve"> como </w:t>
      </w:r>
      <w:r w:rsidR="00D221F2" w:rsidRPr="00EE003F">
        <w:rPr>
          <w:rFonts w:ascii="Arial Narrow" w:hAnsi="Arial Narrow"/>
          <w:sz w:val="24"/>
          <w:szCs w:val="24"/>
        </w:rPr>
        <w:t xml:space="preserve">el </w:t>
      </w:r>
      <w:r w:rsidRPr="00EE003F">
        <w:rPr>
          <w:rFonts w:ascii="Arial Narrow" w:hAnsi="Arial Narrow"/>
          <w:sz w:val="24"/>
          <w:szCs w:val="24"/>
        </w:rPr>
        <w:t>aprovechamiento biológico de los alimentos</w:t>
      </w:r>
      <w:r w:rsidR="00D221F2" w:rsidRPr="00EE003F">
        <w:rPr>
          <w:rFonts w:ascii="Arial Narrow" w:hAnsi="Arial Narrow"/>
          <w:sz w:val="24"/>
          <w:szCs w:val="24"/>
        </w:rPr>
        <w:t xml:space="preserve"> (</w:t>
      </w:r>
      <w:r w:rsidRPr="00EE003F">
        <w:rPr>
          <w:rFonts w:ascii="Arial Narrow" w:hAnsi="Arial Narrow"/>
          <w:sz w:val="24"/>
          <w:szCs w:val="24"/>
        </w:rPr>
        <w:t>considerado en el eje 1 desde la lógica de</w:t>
      </w:r>
      <w:r w:rsidR="00D221F2" w:rsidRPr="00EE003F">
        <w:rPr>
          <w:rFonts w:ascii="Arial Narrow" w:hAnsi="Arial Narrow"/>
          <w:sz w:val="24"/>
          <w:szCs w:val="24"/>
        </w:rPr>
        <w:t xml:space="preserve"> </w:t>
      </w:r>
      <w:r w:rsidRPr="00EE003F">
        <w:rPr>
          <w:rFonts w:ascii="Arial Narrow" w:hAnsi="Arial Narrow"/>
          <w:sz w:val="24"/>
          <w:szCs w:val="24"/>
        </w:rPr>
        <w:t>la inclusión social</w:t>
      </w:r>
      <w:r w:rsidR="00D221F2" w:rsidRPr="00EE003F">
        <w:rPr>
          <w:rFonts w:ascii="Arial Narrow" w:hAnsi="Arial Narrow"/>
          <w:sz w:val="24"/>
          <w:szCs w:val="24"/>
        </w:rPr>
        <w:t xml:space="preserve">) y en segundo lugar </w:t>
      </w:r>
      <w:r w:rsidRPr="00EE003F">
        <w:rPr>
          <w:rFonts w:ascii="Arial Narrow" w:hAnsi="Arial Narrow"/>
          <w:sz w:val="24"/>
          <w:szCs w:val="24"/>
        </w:rPr>
        <w:t xml:space="preserve">como </w:t>
      </w:r>
      <w:r w:rsidR="00D221F2" w:rsidRPr="00EE003F">
        <w:rPr>
          <w:rFonts w:ascii="Arial Narrow" w:hAnsi="Arial Narrow"/>
          <w:sz w:val="24"/>
          <w:szCs w:val="24"/>
        </w:rPr>
        <w:t xml:space="preserve">la </w:t>
      </w:r>
      <w:r w:rsidRPr="00EE003F">
        <w:rPr>
          <w:rFonts w:ascii="Arial Narrow" w:hAnsi="Arial Narrow"/>
          <w:sz w:val="24"/>
          <w:szCs w:val="24"/>
        </w:rPr>
        <w:t>disponibilidad de los recursos alimentarios, contemplados en el eje 4</w:t>
      </w:r>
      <w:r w:rsidR="00762FBB" w:rsidRPr="00EE003F">
        <w:rPr>
          <w:rFonts w:ascii="Arial Narrow" w:hAnsi="Arial Narrow"/>
          <w:sz w:val="24"/>
          <w:szCs w:val="24"/>
        </w:rPr>
        <w:t xml:space="preserve"> (</w:t>
      </w:r>
      <w:r w:rsidRPr="00EE003F">
        <w:rPr>
          <w:rFonts w:ascii="Arial Narrow" w:hAnsi="Arial Narrow"/>
          <w:sz w:val="24"/>
          <w:szCs w:val="24"/>
        </w:rPr>
        <w:t>diversificación productiva</w:t>
      </w:r>
      <w:r w:rsidR="00762FBB" w:rsidRPr="00EE003F">
        <w:rPr>
          <w:rFonts w:ascii="Arial Narrow" w:hAnsi="Arial Narrow"/>
          <w:sz w:val="24"/>
          <w:szCs w:val="24"/>
        </w:rPr>
        <w:t>)</w:t>
      </w:r>
      <w:r w:rsidRPr="00EE003F">
        <w:rPr>
          <w:rFonts w:ascii="Arial Narrow" w:hAnsi="Arial Narrow"/>
          <w:sz w:val="24"/>
          <w:szCs w:val="24"/>
        </w:rPr>
        <w:t xml:space="preserve">. </w:t>
      </w:r>
    </w:p>
    <w:p w:rsidR="00945644" w:rsidRPr="00EE003F" w:rsidRDefault="00945644" w:rsidP="00945644">
      <w:pPr>
        <w:autoSpaceDE w:val="0"/>
        <w:autoSpaceDN w:val="0"/>
        <w:adjustRightInd w:val="0"/>
        <w:spacing w:after="0" w:line="240" w:lineRule="auto"/>
        <w:jc w:val="both"/>
        <w:rPr>
          <w:rFonts w:ascii="Arial Narrow" w:hAnsi="Arial Narrow"/>
          <w:sz w:val="24"/>
          <w:szCs w:val="24"/>
        </w:rPr>
      </w:pPr>
    </w:p>
    <w:p w:rsidR="00945644" w:rsidRPr="00EE003F" w:rsidRDefault="00945644" w:rsidP="00945644">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En relación al eje 3</w:t>
      </w:r>
      <w:r w:rsidR="00762FBB" w:rsidRPr="00EE003F">
        <w:rPr>
          <w:rFonts w:ascii="Arial Narrow" w:hAnsi="Arial Narrow"/>
          <w:sz w:val="24"/>
          <w:szCs w:val="24"/>
        </w:rPr>
        <w:t xml:space="preserve"> (Estado y gobernabilidad)</w:t>
      </w:r>
      <w:r w:rsidRPr="00EE003F">
        <w:rPr>
          <w:rFonts w:ascii="Arial Narrow" w:hAnsi="Arial Narrow"/>
          <w:sz w:val="24"/>
          <w:szCs w:val="24"/>
        </w:rPr>
        <w:t xml:space="preserve"> se adopta la perspectiva multidisciplinaria establecida por el Banco Mundial</w:t>
      </w:r>
      <w:r w:rsidR="00762FBB" w:rsidRPr="00EE003F">
        <w:rPr>
          <w:rFonts w:ascii="Arial Narrow" w:hAnsi="Arial Narrow"/>
          <w:sz w:val="24"/>
          <w:szCs w:val="24"/>
        </w:rPr>
        <w:t>, a</w:t>
      </w:r>
      <w:r w:rsidRPr="00EE003F">
        <w:rPr>
          <w:rFonts w:ascii="Arial Narrow" w:hAnsi="Arial Narrow"/>
          <w:sz w:val="24"/>
          <w:szCs w:val="24"/>
        </w:rPr>
        <w:t>sí los temas abordados están relacionados a tres asuntos esenciales:</w:t>
      </w:r>
    </w:p>
    <w:p w:rsidR="00945644" w:rsidRPr="00EE003F" w:rsidRDefault="00945644" w:rsidP="00907C22">
      <w:pPr>
        <w:pStyle w:val="Prrafodelista"/>
        <w:numPr>
          <w:ilvl w:val="0"/>
          <w:numId w:val="52"/>
        </w:num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 xml:space="preserve">El proceso por el cual los gobiernos son </w:t>
      </w:r>
      <w:r w:rsidR="00762FBB" w:rsidRPr="00EE003F">
        <w:rPr>
          <w:rFonts w:ascii="Arial Narrow" w:hAnsi="Arial Narrow"/>
          <w:sz w:val="24"/>
          <w:szCs w:val="24"/>
        </w:rPr>
        <w:t>elegidos</w:t>
      </w:r>
      <w:r w:rsidRPr="00EE003F">
        <w:rPr>
          <w:rFonts w:ascii="Arial Narrow" w:hAnsi="Arial Narrow"/>
          <w:sz w:val="24"/>
          <w:szCs w:val="24"/>
        </w:rPr>
        <w:t>, controlado</w:t>
      </w:r>
      <w:r w:rsidR="00762FBB" w:rsidRPr="00EE003F">
        <w:rPr>
          <w:rFonts w:ascii="Arial Narrow" w:hAnsi="Arial Narrow"/>
          <w:sz w:val="24"/>
          <w:szCs w:val="24"/>
        </w:rPr>
        <w:t>s</w:t>
      </w:r>
      <w:r w:rsidRPr="00EE003F">
        <w:rPr>
          <w:rFonts w:ascii="Arial Narrow" w:hAnsi="Arial Narrow"/>
          <w:sz w:val="24"/>
          <w:szCs w:val="24"/>
        </w:rPr>
        <w:t xml:space="preserve"> </w:t>
      </w:r>
      <w:r w:rsidR="00762FBB" w:rsidRPr="00EE003F">
        <w:rPr>
          <w:rFonts w:ascii="Arial Narrow" w:hAnsi="Arial Narrow"/>
          <w:sz w:val="24"/>
          <w:szCs w:val="24"/>
        </w:rPr>
        <w:t xml:space="preserve">por los ciudadanos </w:t>
      </w:r>
      <w:r w:rsidRPr="00EE003F">
        <w:rPr>
          <w:rFonts w:ascii="Arial Narrow" w:hAnsi="Arial Narrow"/>
          <w:sz w:val="24"/>
          <w:szCs w:val="24"/>
        </w:rPr>
        <w:t>y reemplazados.</w:t>
      </w:r>
    </w:p>
    <w:p w:rsidR="00945644" w:rsidRPr="00EE003F" w:rsidRDefault="00945644" w:rsidP="00907C22">
      <w:pPr>
        <w:pStyle w:val="Prrafodelista"/>
        <w:numPr>
          <w:ilvl w:val="0"/>
          <w:numId w:val="52"/>
        </w:num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La capacidad del gobierno para formular y aplicar eficazmente políticas acertadas y el respeto a los ciudadanos.</w:t>
      </w:r>
    </w:p>
    <w:p w:rsidR="00945644" w:rsidRPr="00EE003F" w:rsidRDefault="00945644" w:rsidP="00907C22">
      <w:pPr>
        <w:pStyle w:val="Prrafodelista"/>
        <w:numPr>
          <w:ilvl w:val="0"/>
          <w:numId w:val="52"/>
        </w:num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El estado de las instituciones que gobiernan las interacciones económica</w:t>
      </w:r>
      <w:r w:rsidR="00762FBB" w:rsidRPr="00EE003F">
        <w:rPr>
          <w:rFonts w:ascii="Arial Narrow" w:hAnsi="Arial Narrow"/>
          <w:sz w:val="24"/>
          <w:szCs w:val="24"/>
        </w:rPr>
        <w:t>s</w:t>
      </w:r>
      <w:r w:rsidRPr="00EE003F">
        <w:rPr>
          <w:rFonts w:ascii="Arial Narrow" w:hAnsi="Arial Narrow"/>
          <w:sz w:val="24"/>
          <w:szCs w:val="24"/>
        </w:rPr>
        <w:t xml:space="preserve"> y sociales.</w:t>
      </w:r>
    </w:p>
    <w:p w:rsidR="00945644" w:rsidRPr="00EE003F" w:rsidRDefault="00945644" w:rsidP="00945644">
      <w:pPr>
        <w:autoSpaceDE w:val="0"/>
        <w:autoSpaceDN w:val="0"/>
        <w:adjustRightInd w:val="0"/>
        <w:spacing w:after="0" w:line="240" w:lineRule="auto"/>
        <w:jc w:val="both"/>
        <w:rPr>
          <w:rFonts w:ascii="Arial Narrow" w:hAnsi="Arial Narrow"/>
          <w:sz w:val="24"/>
          <w:szCs w:val="24"/>
        </w:rPr>
      </w:pPr>
    </w:p>
    <w:p w:rsidR="00762FBB" w:rsidRPr="00EE003F" w:rsidRDefault="00945644" w:rsidP="00945644">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En relación al eje 4</w:t>
      </w:r>
      <w:r w:rsidR="00F93360" w:rsidRPr="00EE003F">
        <w:rPr>
          <w:rFonts w:ascii="Arial Narrow" w:hAnsi="Arial Narrow"/>
          <w:sz w:val="24"/>
          <w:szCs w:val="24"/>
        </w:rPr>
        <w:t xml:space="preserve"> (Economía diversificada, competitividad y empleo)</w:t>
      </w:r>
      <w:r w:rsidRPr="00EE003F">
        <w:rPr>
          <w:rFonts w:ascii="Arial Narrow" w:hAnsi="Arial Narrow"/>
          <w:sz w:val="24"/>
          <w:szCs w:val="24"/>
        </w:rPr>
        <w:t xml:space="preserve">, este se estructura sobre la base del concepto de desarrollo humano de la </w:t>
      </w:r>
      <w:r w:rsidR="00697B43" w:rsidRPr="00EE003F">
        <w:rPr>
          <w:rFonts w:ascii="Arial Narrow" w:hAnsi="Arial Narrow"/>
          <w:sz w:val="24"/>
          <w:szCs w:val="24"/>
        </w:rPr>
        <w:t xml:space="preserve">Organización </w:t>
      </w:r>
      <w:r w:rsidRPr="00EE003F">
        <w:rPr>
          <w:rFonts w:ascii="Arial Narrow" w:hAnsi="Arial Narrow"/>
          <w:sz w:val="24"/>
          <w:szCs w:val="24"/>
        </w:rPr>
        <w:t>de Naciones Unidas y de crecimiento verde</w:t>
      </w:r>
      <w:r w:rsidR="00762FBB" w:rsidRPr="00EE003F">
        <w:rPr>
          <w:rFonts w:ascii="Arial Narrow" w:hAnsi="Arial Narrow"/>
          <w:sz w:val="24"/>
          <w:szCs w:val="24"/>
        </w:rPr>
        <w:t>, que</w:t>
      </w:r>
      <w:r w:rsidRPr="00EE003F">
        <w:rPr>
          <w:rFonts w:ascii="Arial Narrow" w:hAnsi="Arial Narrow"/>
          <w:sz w:val="24"/>
          <w:szCs w:val="24"/>
        </w:rPr>
        <w:t xml:space="preserve"> a diferencia del plan anterior</w:t>
      </w:r>
      <w:r w:rsidR="00762FBB" w:rsidRPr="00EE003F">
        <w:rPr>
          <w:rFonts w:ascii="Arial Narrow" w:hAnsi="Arial Narrow"/>
          <w:sz w:val="24"/>
          <w:szCs w:val="24"/>
        </w:rPr>
        <w:t xml:space="preserve"> </w:t>
      </w:r>
      <w:r w:rsidRPr="00EE003F">
        <w:rPr>
          <w:rFonts w:ascii="Arial Narrow" w:hAnsi="Arial Narrow"/>
          <w:sz w:val="24"/>
          <w:szCs w:val="24"/>
        </w:rPr>
        <w:t xml:space="preserve">lo hacía </w:t>
      </w:r>
      <w:r w:rsidR="002806DF" w:rsidRPr="00EE003F">
        <w:rPr>
          <w:rFonts w:ascii="Arial Narrow" w:hAnsi="Arial Narrow"/>
          <w:sz w:val="24"/>
          <w:szCs w:val="24"/>
        </w:rPr>
        <w:t xml:space="preserve">únicamente </w:t>
      </w:r>
      <w:r w:rsidRPr="00EE003F">
        <w:rPr>
          <w:rFonts w:ascii="Arial Narrow" w:hAnsi="Arial Narrow"/>
          <w:sz w:val="24"/>
          <w:szCs w:val="24"/>
        </w:rPr>
        <w:t xml:space="preserve">considerando el crecimiento económico y la creación masiva de empleos dignos. </w:t>
      </w:r>
    </w:p>
    <w:p w:rsidR="00762FBB" w:rsidRPr="00EE003F" w:rsidRDefault="00762FBB" w:rsidP="00945644">
      <w:pPr>
        <w:autoSpaceDE w:val="0"/>
        <w:autoSpaceDN w:val="0"/>
        <w:adjustRightInd w:val="0"/>
        <w:spacing w:after="0" w:line="240" w:lineRule="auto"/>
        <w:jc w:val="both"/>
        <w:rPr>
          <w:rFonts w:ascii="Arial Narrow" w:hAnsi="Arial Narrow"/>
          <w:sz w:val="24"/>
          <w:szCs w:val="24"/>
        </w:rPr>
      </w:pPr>
    </w:p>
    <w:p w:rsidR="002806DF" w:rsidRPr="00EE003F" w:rsidRDefault="002806DF" w:rsidP="00945644">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El eje 4 actualizado contiene como grandes temas la estabilidad macroeconómica y financiera, la competitividad del capital humano, la inclusión financiera y la promoción del empleo formal, la estructura productiva diversificada pro exportadora y articulada a las cadenas de valor global, la promoción de la inversión y las actividades intensivas en tecnología.</w:t>
      </w:r>
    </w:p>
    <w:p w:rsidR="00945644" w:rsidRPr="00EE003F" w:rsidRDefault="00945644" w:rsidP="00945644">
      <w:pPr>
        <w:autoSpaceDE w:val="0"/>
        <w:autoSpaceDN w:val="0"/>
        <w:adjustRightInd w:val="0"/>
        <w:spacing w:after="0" w:line="240" w:lineRule="auto"/>
        <w:jc w:val="both"/>
        <w:rPr>
          <w:rFonts w:ascii="Arial Narrow" w:hAnsi="Arial Narrow"/>
          <w:sz w:val="24"/>
          <w:szCs w:val="24"/>
        </w:rPr>
      </w:pPr>
    </w:p>
    <w:p w:rsidR="00945644" w:rsidRPr="00EE003F" w:rsidRDefault="00945644" w:rsidP="00945644">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El eje 5</w:t>
      </w:r>
      <w:r w:rsidR="00E52A8A" w:rsidRPr="00EE003F">
        <w:rPr>
          <w:rFonts w:ascii="Arial Narrow" w:hAnsi="Arial Narrow"/>
          <w:sz w:val="24"/>
          <w:szCs w:val="24"/>
        </w:rPr>
        <w:t xml:space="preserve"> (Desarrollo territorial e infraestructura productiva)</w:t>
      </w:r>
      <w:r w:rsidRPr="00EE003F">
        <w:rPr>
          <w:rFonts w:ascii="Arial Narrow" w:hAnsi="Arial Narrow"/>
          <w:sz w:val="24"/>
          <w:szCs w:val="24"/>
        </w:rPr>
        <w:t xml:space="preserve"> contempla la </w:t>
      </w:r>
      <w:r w:rsidR="002806DF" w:rsidRPr="00EE003F">
        <w:rPr>
          <w:rFonts w:ascii="Arial Narrow" w:hAnsi="Arial Narrow"/>
          <w:sz w:val="24"/>
          <w:szCs w:val="24"/>
        </w:rPr>
        <w:t xml:space="preserve">cohesión </w:t>
      </w:r>
      <w:r w:rsidRPr="00EE003F">
        <w:rPr>
          <w:rFonts w:ascii="Arial Narrow" w:hAnsi="Arial Narrow"/>
          <w:sz w:val="24"/>
          <w:szCs w:val="24"/>
        </w:rPr>
        <w:t>del territorio</w:t>
      </w:r>
      <w:r w:rsidR="000B481C" w:rsidRPr="00EE003F">
        <w:rPr>
          <w:rFonts w:ascii="Arial Narrow" w:hAnsi="Arial Narrow"/>
          <w:sz w:val="24"/>
          <w:szCs w:val="24"/>
        </w:rPr>
        <w:t xml:space="preserve"> y su organización en redes de ciudades sostenibles, buscando asegurar una provisión de infraestructura de calidad a los ciudadanos. Este eje contempla la articulación de la población rural a los núcleos urbanos</w:t>
      </w:r>
      <w:r w:rsidRPr="00EE003F">
        <w:rPr>
          <w:rFonts w:ascii="Arial Narrow" w:hAnsi="Arial Narrow"/>
          <w:sz w:val="24"/>
          <w:szCs w:val="24"/>
        </w:rPr>
        <w:t xml:space="preserve">, </w:t>
      </w:r>
      <w:r w:rsidR="000B481C" w:rsidRPr="00EE003F">
        <w:rPr>
          <w:rFonts w:ascii="Arial Narrow" w:hAnsi="Arial Narrow"/>
          <w:sz w:val="24"/>
          <w:szCs w:val="24"/>
        </w:rPr>
        <w:t>la promoción de la inversión pública y privada sobre la base de planes con enfoque territorial, sistemas de ciudades intermedias sostenibles y la institucionalización del planeamiento estratégico para el desarrollo de la infraestructura.</w:t>
      </w:r>
    </w:p>
    <w:p w:rsidR="00945644" w:rsidRPr="00EE003F" w:rsidRDefault="00945644" w:rsidP="00945644">
      <w:pPr>
        <w:autoSpaceDE w:val="0"/>
        <w:autoSpaceDN w:val="0"/>
        <w:adjustRightInd w:val="0"/>
        <w:spacing w:after="0" w:line="240" w:lineRule="auto"/>
        <w:jc w:val="both"/>
        <w:rPr>
          <w:rFonts w:ascii="Arial Narrow" w:hAnsi="Arial Narrow"/>
          <w:sz w:val="24"/>
          <w:szCs w:val="24"/>
        </w:rPr>
      </w:pPr>
    </w:p>
    <w:p w:rsidR="008D0CB9" w:rsidRPr="00EE003F" w:rsidRDefault="00FF1F99" w:rsidP="00BF507D">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w:t>
      </w:r>
      <w:r w:rsidR="00C109FA" w:rsidRPr="00EE003F">
        <w:rPr>
          <w:rFonts w:ascii="Arial Narrow" w:hAnsi="Arial Narrow" w:cs="Calibri"/>
          <w:sz w:val="24"/>
          <w:szCs w:val="24"/>
        </w:rPr>
        <w:t xml:space="preserve">l eje 6 </w:t>
      </w:r>
      <w:r w:rsidR="00E52A8A" w:rsidRPr="00EE003F">
        <w:rPr>
          <w:rFonts w:ascii="Arial Narrow" w:hAnsi="Arial Narrow" w:cs="Calibri"/>
          <w:sz w:val="24"/>
          <w:szCs w:val="24"/>
        </w:rPr>
        <w:t xml:space="preserve">(Ambiente, diversidad biológica y gestión del riegos de desastres) </w:t>
      </w:r>
      <w:r w:rsidR="00C109FA" w:rsidRPr="00EE003F">
        <w:rPr>
          <w:rFonts w:ascii="Arial Narrow" w:hAnsi="Arial Narrow" w:cs="Calibri"/>
          <w:sz w:val="24"/>
          <w:szCs w:val="24"/>
        </w:rPr>
        <w:t>comprende la calidad ambiental adecuada para la salud de las personas, la gestión integral de los recursos hídricos, el aprovechamiento sostenible de la diversidad biológica, así como la vulnerabilidad ante el cambio climático y ante el riesgo de desastres. Mediante el eje 6 se contribuye al enfoque de crecimiento verde dentro de la planificación estratégica.</w:t>
      </w:r>
    </w:p>
    <w:p w:rsidR="00A27BB7" w:rsidRPr="00EE003F" w:rsidRDefault="00A27BB7" w:rsidP="005A4DE1">
      <w:pPr>
        <w:autoSpaceDE w:val="0"/>
        <w:autoSpaceDN w:val="0"/>
        <w:adjustRightInd w:val="0"/>
        <w:spacing w:after="0" w:line="240" w:lineRule="auto"/>
        <w:jc w:val="both"/>
        <w:rPr>
          <w:rFonts w:ascii="Arial Narrow" w:hAnsi="Arial Narrow"/>
          <w:sz w:val="24"/>
          <w:szCs w:val="24"/>
        </w:rPr>
      </w:pPr>
    </w:p>
    <w:p w:rsidR="00E2167E" w:rsidRPr="00EE003F" w:rsidRDefault="00A27BB7" w:rsidP="00E2167E">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 xml:space="preserve">En relación </w:t>
      </w:r>
      <w:r w:rsidR="00CF018A" w:rsidRPr="00EE003F">
        <w:rPr>
          <w:rFonts w:ascii="Arial Narrow" w:hAnsi="Arial Narrow"/>
          <w:sz w:val="24"/>
          <w:szCs w:val="24"/>
        </w:rPr>
        <w:t>a los indicadores, el presente p</w:t>
      </w:r>
      <w:r w:rsidRPr="00EE003F">
        <w:rPr>
          <w:rFonts w:ascii="Arial Narrow" w:hAnsi="Arial Narrow"/>
          <w:sz w:val="24"/>
          <w:szCs w:val="24"/>
        </w:rPr>
        <w:t xml:space="preserve">lan reduce el número de indicadores de 91 a </w:t>
      </w:r>
      <w:r w:rsidR="009432DF" w:rsidRPr="00EE003F">
        <w:rPr>
          <w:rFonts w:ascii="Arial Narrow" w:hAnsi="Arial Narrow"/>
          <w:sz w:val="24"/>
          <w:szCs w:val="24"/>
        </w:rPr>
        <w:t>5</w:t>
      </w:r>
      <w:r w:rsidR="00CF018A" w:rsidRPr="00EE003F">
        <w:rPr>
          <w:rFonts w:ascii="Arial Narrow" w:hAnsi="Arial Narrow"/>
          <w:sz w:val="24"/>
          <w:szCs w:val="24"/>
        </w:rPr>
        <w:t>1</w:t>
      </w:r>
      <w:r w:rsidRPr="00EE003F">
        <w:rPr>
          <w:rFonts w:ascii="Arial Narrow" w:hAnsi="Arial Narrow"/>
          <w:sz w:val="24"/>
          <w:szCs w:val="24"/>
        </w:rPr>
        <w:t>, incluyendo seis indicadores líderes y considerando metas al 2016 y 2021. La identificación de los indicadores se realizó a partir de diversas consultas a expertos, análisis econométricos y consulta a los sectores, a fin de lograr que los indicadores sean independientes, comparables y medibles</w:t>
      </w:r>
      <w:r w:rsidR="00E52A8A" w:rsidRPr="00EE003F">
        <w:rPr>
          <w:rFonts w:ascii="Arial Narrow" w:hAnsi="Arial Narrow"/>
          <w:sz w:val="24"/>
          <w:szCs w:val="24"/>
        </w:rPr>
        <w:t xml:space="preserve"> en el tiempo. Asimismo, se tomaron</w:t>
      </w:r>
      <w:r w:rsidRPr="00EE003F">
        <w:rPr>
          <w:rFonts w:ascii="Arial Narrow" w:hAnsi="Arial Narrow"/>
          <w:sz w:val="24"/>
          <w:szCs w:val="24"/>
        </w:rPr>
        <w:t xml:space="preserve"> como base principal las proyecciones del Marco Macroeconómico Multianual 201</w:t>
      </w:r>
      <w:r w:rsidR="0029163D" w:rsidRPr="00EE003F">
        <w:rPr>
          <w:rFonts w:ascii="Arial Narrow" w:hAnsi="Arial Narrow"/>
          <w:sz w:val="24"/>
          <w:szCs w:val="24"/>
        </w:rPr>
        <w:t>7</w:t>
      </w:r>
      <w:r w:rsidRPr="00EE003F">
        <w:rPr>
          <w:rFonts w:ascii="Arial Narrow" w:hAnsi="Arial Narrow"/>
          <w:sz w:val="24"/>
          <w:szCs w:val="24"/>
        </w:rPr>
        <w:t>-201</w:t>
      </w:r>
      <w:r w:rsidR="0029163D" w:rsidRPr="00EE003F">
        <w:rPr>
          <w:rFonts w:ascii="Arial Narrow" w:hAnsi="Arial Narrow"/>
          <w:sz w:val="24"/>
          <w:szCs w:val="24"/>
        </w:rPr>
        <w:t>9</w:t>
      </w:r>
      <w:r w:rsidRPr="00EE003F">
        <w:rPr>
          <w:rFonts w:ascii="Arial Narrow" w:hAnsi="Arial Narrow"/>
          <w:sz w:val="24"/>
          <w:szCs w:val="24"/>
        </w:rPr>
        <w:t xml:space="preserve"> y del Informe preelectoral: Administración 2011-2016, documentos que contienen proyecciones a</w:t>
      </w:r>
      <w:r w:rsidR="00470448" w:rsidRPr="00EE003F">
        <w:rPr>
          <w:rFonts w:ascii="Arial Narrow" w:hAnsi="Arial Narrow"/>
          <w:sz w:val="24"/>
          <w:szCs w:val="24"/>
        </w:rPr>
        <w:t>l 2018 y al 2021</w:t>
      </w:r>
      <w:r w:rsidRPr="00EE003F">
        <w:rPr>
          <w:rFonts w:ascii="Arial Narrow" w:hAnsi="Arial Narrow"/>
          <w:sz w:val="24"/>
          <w:szCs w:val="24"/>
        </w:rPr>
        <w:t xml:space="preserve">. </w:t>
      </w:r>
      <w:r w:rsidR="00E2167E" w:rsidRPr="00EE003F">
        <w:rPr>
          <w:rFonts w:ascii="Arial Narrow" w:hAnsi="Arial Narrow"/>
          <w:sz w:val="24"/>
          <w:szCs w:val="24"/>
        </w:rPr>
        <w:t xml:space="preserve">Es importante destacar el uso del Modelo International </w:t>
      </w:r>
      <w:proofErr w:type="spellStart"/>
      <w:r w:rsidR="00E2167E" w:rsidRPr="00EE003F">
        <w:rPr>
          <w:rFonts w:ascii="Arial Narrow" w:hAnsi="Arial Narrow"/>
          <w:sz w:val="24"/>
          <w:szCs w:val="24"/>
        </w:rPr>
        <w:t>Futures</w:t>
      </w:r>
      <w:proofErr w:type="spellEnd"/>
      <w:r w:rsidR="00E2167E" w:rsidRPr="00EE003F">
        <w:rPr>
          <w:rFonts w:ascii="Arial Narrow" w:hAnsi="Arial Narrow"/>
          <w:sz w:val="24"/>
          <w:szCs w:val="24"/>
        </w:rPr>
        <w:t xml:space="preserve"> (</w:t>
      </w:r>
      <w:proofErr w:type="spellStart"/>
      <w:r w:rsidR="00E2167E" w:rsidRPr="00EE003F">
        <w:rPr>
          <w:rFonts w:ascii="Arial Narrow" w:hAnsi="Arial Narrow"/>
          <w:sz w:val="24"/>
          <w:szCs w:val="24"/>
        </w:rPr>
        <w:t>IFs</w:t>
      </w:r>
      <w:proofErr w:type="spellEnd"/>
      <w:r w:rsidR="00E2167E" w:rsidRPr="00EE003F">
        <w:rPr>
          <w:rFonts w:ascii="Arial Narrow" w:hAnsi="Arial Narrow"/>
          <w:sz w:val="24"/>
          <w:szCs w:val="24"/>
        </w:rPr>
        <w:t xml:space="preserve">), que permite la formulación, modelación y proyección de variables de largo, a través de un modelo dinámico de equilibrio.   </w:t>
      </w:r>
    </w:p>
    <w:p w:rsidR="00E2167E" w:rsidRPr="00EE003F" w:rsidRDefault="00E2167E" w:rsidP="00E2167E">
      <w:pPr>
        <w:autoSpaceDE w:val="0"/>
        <w:autoSpaceDN w:val="0"/>
        <w:adjustRightInd w:val="0"/>
        <w:spacing w:after="0" w:line="240" w:lineRule="auto"/>
        <w:jc w:val="both"/>
        <w:rPr>
          <w:rFonts w:ascii="Arial Narrow" w:hAnsi="Arial Narrow"/>
          <w:sz w:val="24"/>
          <w:szCs w:val="24"/>
        </w:rPr>
      </w:pPr>
    </w:p>
    <w:p w:rsidR="00A27BB7" w:rsidRPr="00EE003F" w:rsidRDefault="00A27BB7" w:rsidP="00E2167E">
      <w:pPr>
        <w:autoSpaceDE w:val="0"/>
        <w:autoSpaceDN w:val="0"/>
        <w:adjustRightInd w:val="0"/>
        <w:spacing w:after="0" w:line="240" w:lineRule="auto"/>
        <w:jc w:val="both"/>
        <w:rPr>
          <w:rFonts w:ascii="Arial Narrow" w:hAnsi="Arial Narrow"/>
          <w:sz w:val="24"/>
          <w:szCs w:val="24"/>
        </w:rPr>
      </w:pPr>
      <w:r w:rsidRPr="00EE003F">
        <w:rPr>
          <w:rFonts w:ascii="Arial Narrow" w:hAnsi="Arial Narrow"/>
          <w:sz w:val="24"/>
          <w:szCs w:val="24"/>
        </w:rPr>
        <w:t>El número más reducido de indicadores permitirá un mejor seguimiento y monitoreo en el tiempo y, por lo tanto, evaluar mejor el avance en el logro de las metas establecidas.</w:t>
      </w:r>
    </w:p>
    <w:p w:rsidR="00A27BB7" w:rsidRPr="00EE003F" w:rsidRDefault="00A27BB7" w:rsidP="005A4DE1">
      <w:pPr>
        <w:autoSpaceDE w:val="0"/>
        <w:autoSpaceDN w:val="0"/>
        <w:adjustRightInd w:val="0"/>
        <w:spacing w:after="0" w:line="240" w:lineRule="auto"/>
        <w:jc w:val="both"/>
        <w:rPr>
          <w:rFonts w:ascii="Arial Narrow" w:hAnsi="Arial Narrow"/>
          <w:sz w:val="24"/>
          <w:szCs w:val="24"/>
        </w:rPr>
      </w:pPr>
    </w:p>
    <w:p w:rsidR="0024446D" w:rsidRPr="00EE003F" w:rsidRDefault="006720C0" w:rsidP="008D0CB9">
      <w:pPr>
        <w:spacing w:after="0" w:line="240" w:lineRule="auto"/>
        <w:jc w:val="both"/>
        <w:rPr>
          <w:rFonts w:ascii="Arial Narrow" w:hAnsi="Arial Narrow"/>
          <w:sz w:val="32"/>
          <w:szCs w:val="32"/>
        </w:rPr>
      </w:pPr>
      <w:r w:rsidRPr="00EE003F">
        <w:rPr>
          <w:rFonts w:ascii="Arial Narrow" w:hAnsi="Arial Narrow"/>
          <w:noProof/>
          <w:sz w:val="32"/>
          <w:szCs w:val="32"/>
          <w:lang w:eastAsia="es-PE"/>
        </w:rPr>
        <w:drawing>
          <wp:inline distT="0" distB="0" distL="0" distR="0" wp14:anchorId="197D159B" wp14:editId="6EB29A9F">
            <wp:extent cx="4747564" cy="2663200"/>
            <wp:effectExtent l="0" t="0" r="0" b="0"/>
            <wp:docPr id="34" name="Imagen 34" descr="C:\Users\mlopez\AppData\Local\Microsoft\Windows\Temporary Internet Files\Content.Outlook\47JZVL3C\grafico-PE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opez\AppData\Local\Microsoft\Windows\Temporary Internet Files\Content.Outlook\47JZVL3C\grafico-PED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3792" cy="2666694"/>
                    </a:xfrm>
                    <a:prstGeom prst="rect">
                      <a:avLst/>
                    </a:prstGeom>
                    <a:noFill/>
                    <a:ln>
                      <a:noFill/>
                    </a:ln>
                  </pic:spPr>
                </pic:pic>
              </a:graphicData>
            </a:graphic>
          </wp:inline>
        </w:drawing>
      </w:r>
    </w:p>
    <w:p w:rsidR="006720C0" w:rsidRPr="00EE003F" w:rsidRDefault="006720C0">
      <w:pPr>
        <w:rPr>
          <w:rFonts w:ascii="Arial Narrow" w:hAnsi="Arial Narrow"/>
          <w:b/>
          <w:sz w:val="32"/>
          <w:szCs w:val="32"/>
        </w:rPr>
      </w:pPr>
      <w:r w:rsidRPr="00EE003F">
        <w:rPr>
          <w:rFonts w:ascii="Arial Narrow" w:hAnsi="Arial Narrow"/>
          <w:b/>
          <w:sz w:val="32"/>
          <w:szCs w:val="32"/>
        </w:rPr>
        <w:br w:type="page"/>
      </w:r>
    </w:p>
    <w:p w:rsidR="00AE0DB2" w:rsidRPr="00EE003F" w:rsidRDefault="003607AF" w:rsidP="009054AC">
      <w:pPr>
        <w:pStyle w:val="Ttulo1"/>
        <w:jc w:val="center"/>
        <w:rPr>
          <w:rFonts w:ascii="Arial Narrow" w:hAnsi="Arial Narrow"/>
          <w:b/>
          <w:sz w:val="32"/>
          <w:szCs w:val="32"/>
        </w:rPr>
      </w:pPr>
      <w:bookmarkStart w:id="7" w:name="_Toc453004648"/>
      <w:r w:rsidRPr="00EE003F">
        <w:rPr>
          <w:rFonts w:ascii="Arial Narrow" w:hAnsi="Arial Narrow"/>
          <w:b/>
          <w:sz w:val="32"/>
          <w:szCs w:val="32"/>
        </w:rPr>
        <w:t xml:space="preserve">CAPÍTULO </w:t>
      </w:r>
      <w:r w:rsidR="005E582A" w:rsidRPr="00EE003F">
        <w:rPr>
          <w:rFonts w:ascii="Arial Narrow" w:hAnsi="Arial Narrow"/>
          <w:b/>
          <w:sz w:val="32"/>
          <w:szCs w:val="32"/>
        </w:rPr>
        <w:t>[</w:t>
      </w:r>
      <w:r w:rsidR="00AE0DB2" w:rsidRPr="00EE003F">
        <w:rPr>
          <w:rFonts w:ascii="Arial Narrow" w:hAnsi="Arial Narrow"/>
          <w:b/>
          <w:sz w:val="32"/>
          <w:szCs w:val="32"/>
        </w:rPr>
        <w:t>2</w:t>
      </w:r>
      <w:r w:rsidR="005E582A" w:rsidRPr="00EE003F">
        <w:rPr>
          <w:rFonts w:ascii="Arial Narrow" w:hAnsi="Arial Narrow"/>
          <w:b/>
          <w:sz w:val="32"/>
          <w:szCs w:val="32"/>
        </w:rPr>
        <w:t>]</w:t>
      </w:r>
      <w:r w:rsidR="009054AC" w:rsidRPr="00EE003F">
        <w:rPr>
          <w:rFonts w:ascii="Arial Narrow" w:hAnsi="Arial Narrow"/>
          <w:b/>
          <w:sz w:val="32"/>
          <w:szCs w:val="32"/>
        </w:rPr>
        <w:t xml:space="preserve"> </w:t>
      </w:r>
      <w:r w:rsidR="009054AC" w:rsidRPr="00EE003F">
        <w:rPr>
          <w:rFonts w:ascii="Arial Narrow" w:hAnsi="Arial Narrow"/>
          <w:b/>
          <w:sz w:val="32"/>
          <w:szCs w:val="32"/>
        </w:rPr>
        <w:br/>
      </w:r>
      <w:r w:rsidR="00AE0DB2" w:rsidRPr="00EE003F">
        <w:rPr>
          <w:b/>
          <w:sz w:val="32"/>
          <w:szCs w:val="32"/>
        </w:rPr>
        <w:t>Las etapas del proceso de actualización</w:t>
      </w:r>
      <w:bookmarkEnd w:id="7"/>
    </w:p>
    <w:p w:rsidR="00AE0DB2" w:rsidRPr="00EE003F" w:rsidRDefault="00AE0DB2" w:rsidP="008D0CB9">
      <w:pPr>
        <w:spacing w:after="0" w:line="240" w:lineRule="auto"/>
        <w:jc w:val="both"/>
        <w:rPr>
          <w:rFonts w:ascii="Arial Narrow" w:hAnsi="Arial Narrow"/>
          <w:sz w:val="32"/>
          <w:szCs w:val="32"/>
        </w:rPr>
      </w:pPr>
    </w:p>
    <w:p w:rsidR="00AE0DB2" w:rsidRPr="00EE003F" w:rsidRDefault="00AE0DB2" w:rsidP="00AE0DB2">
      <w:pPr>
        <w:suppressAutoHyphens/>
        <w:autoSpaceDE w:val="0"/>
        <w:autoSpaceDN w:val="0"/>
        <w:adjustRightInd w:val="0"/>
        <w:spacing w:before="340" w:after="0" w:line="288"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El Plan Estratégico de Desarrollo Nacional Perú hacia el 2021 ha sido actualizado a través de un proceso ordenado en cuatro etapas:</w:t>
      </w:r>
    </w:p>
    <w:p w:rsidR="008D0CB9" w:rsidRPr="00EE003F" w:rsidRDefault="008D0CB9" w:rsidP="008D0CB9">
      <w:pPr>
        <w:spacing w:after="0" w:line="240" w:lineRule="auto"/>
        <w:jc w:val="both"/>
        <w:rPr>
          <w:rFonts w:ascii="Arial Narrow" w:hAnsi="Arial Narrow"/>
          <w:sz w:val="32"/>
          <w:szCs w:val="32"/>
        </w:rPr>
      </w:pPr>
    </w:p>
    <w:p w:rsidR="00AE0DB2" w:rsidRPr="00EE003F" w:rsidRDefault="00AE0DB2" w:rsidP="00AE0DB2">
      <w:pPr>
        <w:spacing w:after="0" w:line="240" w:lineRule="auto"/>
        <w:jc w:val="both"/>
        <w:rPr>
          <w:rFonts w:ascii="Arial Narrow" w:hAnsi="Arial Narrow"/>
          <w:sz w:val="32"/>
          <w:szCs w:val="32"/>
        </w:rPr>
      </w:pPr>
      <w:r w:rsidRPr="00EE003F">
        <w:rPr>
          <w:rFonts w:ascii="Arial Narrow" w:hAnsi="Arial Narrow"/>
          <w:noProof/>
          <w:sz w:val="32"/>
          <w:szCs w:val="32"/>
          <w:lang w:eastAsia="es-PE"/>
        </w:rPr>
        <w:drawing>
          <wp:inline distT="0" distB="0" distL="0" distR="0" wp14:anchorId="54E2B242" wp14:editId="17DD686B">
            <wp:extent cx="4524375" cy="700405"/>
            <wp:effectExtent l="0" t="0" r="9525" b="444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700405"/>
                    </a:xfrm>
                    <a:prstGeom prst="rect">
                      <a:avLst/>
                    </a:prstGeom>
                    <a:noFill/>
                    <a:ln>
                      <a:noFill/>
                    </a:ln>
                  </pic:spPr>
                </pic:pic>
              </a:graphicData>
            </a:graphic>
          </wp:inline>
        </w:drawing>
      </w:r>
    </w:p>
    <w:p w:rsidR="00AE0DB2" w:rsidRPr="00EE003F" w:rsidRDefault="00AE0DB2" w:rsidP="00AE0DB2">
      <w:pPr>
        <w:spacing w:after="0" w:line="240" w:lineRule="auto"/>
        <w:jc w:val="both"/>
        <w:rPr>
          <w:rFonts w:ascii="Arial Narrow" w:hAnsi="Arial Narrow"/>
          <w:sz w:val="32"/>
          <w:szCs w:val="32"/>
        </w:rPr>
      </w:pPr>
    </w:p>
    <w:p w:rsidR="00AE0DB2" w:rsidRPr="00EE003F" w:rsidRDefault="00AE0DB2" w:rsidP="006A18B3">
      <w:pPr>
        <w:pStyle w:val="Ttulo2"/>
        <w:jc w:val="left"/>
        <w:rPr>
          <w:rFonts w:asciiTheme="minorHAnsi" w:hAnsiTheme="minorHAnsi"/>
          <w:b w:val="0"/>
        </w:rPr>
      </w:pPr>
      <w:bookmarkStart w:id="8" w:name="_Toc453004649"/>
      <w:r w:rsidRPr="00EE003F">
        <w:rPr>
          <w:rFonts w:asciiTheme="minorHAnsi" w:hAnsiTheme="minorHAnsi"/>
          <w:lang w:val="es-ES_tradnl"/>
        </w:rPr>
        <w:t>Diseño metodológico</w:t>
      </w:r>
      <w:bookmarkEnd w:id="8"/>
    </w:p>
    <w:p w:rsidR="00AE0DB2" w:rsidRPr="00EE003F" w:rsidRDefault="00AE0DB2" w:rsidP="00221EA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El proceso de actualización del PEDN se inició con el diseño metodológico</w:t>
      </w:r>
      <w:r w:rsidR="00CB2C88" w:rsidRPr="00EE003F">
        <w:rPr>
          <w:rFonts w:ascii="Arial Narrow" w:hAnsi="Arial Narrow" w:cs="Frutiger LT Std 45 Light"/>
          <w:sz w:val="24"/>
          <w:szCs w:val="24"/>
          <w:lang w:val="es-ES_tradnl"/>
        </w:rPr>
        <w:t>, el cual contiene</w:t>
      </w:r>
      <w:r w:rsidRPr="00EE003F">
        <w:rPr>
          <w:rFonts w:ascii="Arial Narrow" w:hAnsi="Arial Narrow" w:cs="Frutiger LT Std 45 Light"/>
          <w:sz w:val="24"/>
          <w:szCs w:val="24"/>
          <w:lang w:val="es-ES_tradnl"/>
        </w:rPr>
        <w:t xml:space="preserve"> los lineamientos, criterios y guías para su actualización.</w:t>
      </w:r>
      <w:r w:rsidR="001300EB" w:rsidRPr="00EE003F">
        <w:rPr>
          <w:rFonts w:ascii="Arial Narrow" w:hAnsi="Arial Narrow" w:cs="Frutiger LT Std 45 Light"/>
          <w:sz w:val="24"/>
          <w:szCs w:val="24"/>
          <w:lang w:val="es-ES_tradnl"/>
        </w:rPr>
        <w:t xml:space="preserve"> Además </w:t>
      </w:r>
      <w:r w:rsidR="0088793A" w:rsidRPr="00EE003F">
        <w:rPr>
          <w:rFonts w:ascii="Arial Narrow" w:hAnsi="Arial Narrow" w:cs="Frutiger LT Std 45 Light"/>
          <w:sz w:val="24"/>
          <w:szCs w:val="24"/>
          <w:lang w:val="es-ES_tradnl"/>
        </w:rPr>
        <w:t>incorpora principalmente dos enfoques</w:t>
      </w:r>
      <w:r w:rsidR="00A54B58" w:rsidRPr="00EE003F">
        <w:rPr>
          <w:rFonts w:ascii="Arial Narrow" w:hAnsi="Arial Narrow" w:cs="Frutiger LT Std 45 Light"/>
          <w:sz w:val="24"/>
          <w:szCs w:val="24"/>
          <w:lang w:val="es-ES_tradnl"/>
        </w:rPr>
        <w:t>:</w:t>
      </w:r>
      <w:r w:rsidRPr="00EE003F">
        <w:rPr>
          <w:rFonts w:ascii="Arial Narrow" w:hAnsi="Arial Narrow" w:cs="Frutiger LT Std 45 Light"/>
          <w:sz w:val="24"/>
          <w:szCs w:val="24"/>
          <w:lang w:val="es-ES_tradnl"/>
        </w:rPr>
        <w:t xml:space="preserve"> </w:t>
      </w:r>
    </w:p>
    <w:p w:rsidR="00003748" w:rsidRPr="00EE003F" w:rsidRDefault="00AE0DB2" w:rsidP="00907C22">
      <w:pPr>
        <w:pStyle w:val="Prrafodelista"/>
        <w:numPr>
          <w:ilvl w:val="0"/>
          <w:numId w:val="7"/>
        </w:numPr>
        <w:suppressAutoHyphens/>
        <w:autoSpaceDE w:val="0"/>
        <w:autoSpaceDN w:val="0"/>
        <w:adjustRightInd w:val="0"/>
        <w:spacing w:before="113" w:after="113"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b/>
          <w:bCs/>
          <w:sz w:val="24"/>
          <w:szCs w:val="24"/>
          <w:lang w:val="es-ES_tradnl"/>
        </w:rPr>
        <w:t>Prospectivo,</w:t>
      </w:r>
      <w:r w:rsidRPr="00EE003F">
        <w:rPr>
          <w:rFonts w:ascii="Arial Narrow" w:hAnsi="Arial Narrow" w:cs="Frutiger LT Std 45 Light"/>
          <w:sz w:val="24"/>
          <w:szCs w:val="24"/>
          <w:lang w:val="es-ES_tradnl"/>
        </w:rPr>
        <w:t xml:space="preserve"> en cuanto a la utilización de técnicas que permiten </w:t>
      </w:r>
      <w:r w:rsidR="001300EB" w:rsidRPr="00EE003F">
        <w:rPr>
          <w:rFonts w:ascii="Arial Narrow" w:hAnsi="Arial Narrow" w:cs="Frutiger LT Std 45 Light"/>
          <w:sz w:val="24"/>
          <w:szCs w:val="24"/>
          <w:lang w:val="es-ES_tradnl"/>
        </w:rPr>
        <w:t>reflexionar sobre</w:t>
      </w:r>
      <w:r w:rsidRPr="00EE003F">
        <w:rPr>
          <w:rFonts w:ascii="Arial Narrow" w:hAnsi="Arial Narrow" w:cs="Frutiger LT Std 45 Light"/>
          <w:sz w:val="24"/>
          <w:szCs w:val="24"/>
          <w:lang w:val="es-ES_tradnl"/>
        </w:rPr>
        <w:t xml:space="preserve"> el curso probable de </w:t>
      </w:r>
      <w:r w:rsidR="001300EB" w:rsidRPr="00EE003F">
        <w:rPr>
          <w:rFonts w:ascii="Arial Narrow" w:hAnsi="Arial Narrow" w:cs="Frutiger LT Std 45 Light"/>
          <w:sz w:val="24"/>
          <w:szCs w:val="24"/>
          <w:lang w:val="es-ES_tradnl"/>
        </w:rPr>
        <w:t>la situación nacional</w:t>
      </w:r>
      <w:r w:rsidRPr="00EE003F">
        <w:rPr>
          <w:rFonts w:ascii="Arial Narrow" w:hAnsi="Arial Narrow" w:cs="Frutiger LT Std 45 Light"/>
          <w:sz w:val="24"/>
          <w:szCs w:val="24"/>
          <w:lang w:val="es-ES_tradnl"/>
        </w:rPr>
        <w:t>, tales como la construcción de escenarios en talleres de expertos y encuestas especializadas tipo Delphi.</w:t>
      </w:r>
      <w:r w:rsidR="00003748" w:rsidRPr="00EE003F">
        <w:rPr>
          <w:rFonts w:ascii="Arial Narrow" w:hAnsi="Arial Narrow" w:cs="Frutiger LT Std 45 Light"/>
          <w:sz w:val="24"/>
          <w:szCs w:val="24"/>
          <w:lang w:val="es-ES_tradnl"/>
        </w:rPr>
        <w:t xml:space="preserve"> </w:t>
      </w:r>
      <w:r w:rsidR="001300EB" w:rsidRPr="00EE003F">
        <w:rPr>
          <w:rFonts w:ascii="Arial Narrow" w:hAnsi="Arial Narrow" w:cs="Frutiger LT Std 45 Light"/>
          <w:sz w:val="24"/>
          <w:szCs w:val="24"/>
          <w:lang w:val="es-ES_tradnl"/>
        </w:rPr>
        <w:t xml:space="preserve">A su vez se </w:t>
      </w:r>
      <w:r w:rsidR="00003748" w:rsidRPr="00EE003F">
        <w:rPr>
          <w:rFonts w:ascii="Arial Narrow" w:hAnsi="Arial Narrow" w:cs="Frutiger LT Std 45 Light"/>
          <w:sz w:val="24"/>
          <w:szCs w:val="24"/>
          <w:lang w:val="es-ES_tradnl"/>
        </w:rPr>
        <w:t xml:space="preserve">utilizaron herramientas </w:t>
      </w:r>
      <w:r w:rsidR="001300EB" w:rsidRPr="00EE003F">
        <w:rPr>
          <w:rFonts w:ascii="Arial Narrow" w:hAnsi="Arial Narrow" w:cs="Frutiger LT Std 45 Light"/>
          <w:b/>
          <w:bCs/>
          <w:sz w:val="24"/>
          <w:szCs w:val="24"/>
          <w:lang w:val="es-ES_tradnl"/>
        </w:rPr>
        <w:t>econométricas y de proyección</w:t>
      </w:r>
      <w:r w:rsidR="0088793A" w:rsidRPr="00EE003F">
        <w:rPr>
          <w:rFonts w:ascii="Arial Narrow" w:hAnsi="Arial Narrow" w:cs="Frutiger LT Std 45 Light"/>
          <w:b/>
          <w:bCs/>
          <w:sz w:val="24"/>
          <w:szCs w:val="24"/>
          <w:lang w:val="es-ES_tradnl"/>
        </w:rPr>
        <w:t xml:space="preserve"> </w:t>
      </w:r>
      <w:r w:rsidR="001300EB" w:rsidRPr="00EE003F">
        <w:rPr>
          <w:rFonts w:ascii="Arial Narrow" w:hAnsi="Arial Narrow" w:cs="Frutiger LT Std 45 Light"/>
          <w:bCs/>
          <w:sz w:val="24"/>
          <w:szCs w:val="24"/>
          <w:lang w:val="es-ES_tradnl"/>
        </w:rPr>
        <w:t xml:space="preserve">para el análisis de tendencias y la selección de los mejores indicadores para las variables. </w:t>
      </w:r>
    </w:p>
    <w:p w:rsidR="00AE0DB2" w:rsidRPr="00EE003F" w:rsidRDefault="00AE0DB2" w:rsidP="00221EA1">
      <w:pPr>
        <w:pStyle w:val="Prrafodelista"/>
        <w:suppressAutoHyphens/>
        <w:autoSpaceDE w:val="0"/>
        <w:autoSpaceDN w:val="0"/>
        <w:adjustRightInd w:val="0"/>
        <w:spacing w:before="113" w:after="113" w:line="240" w:lineRule="auto"/>
        <w:jc w:val="both"/>
        <w:textAlignment w:val="center"/>
        <w:rPr>
          <w:rFonts w:ascii="Arial Narrow" w:hAnsi="Arial Narrow" w:cs="Frutiger LT Std 45 Light"/>
          <w:sz w:val="24"/>
          <w:szCs w:val="24"/>
          <w:lang w:val="es-ES_tradnl"/>
        </w:rPr>
      </w:pPr>
    </w:p>
    <w:p w:rsidR="00AE0DB2" w:rsidRPr="00EE003F" w:rsidRDefault="00AE0DB2" w:rsidP="00907C22">
      <w:pPr>
        <w:pStyle w:val="Prrafodelista"/>
        <w:numPr>
          <w:ilvl w:val="0"/>
          <w:numId w:val="7"/>
        </w:numPr>
        <w:suppressAutoHyphens/>
        <w:autoSpaceDE w:val="0"/>
        <w:autoSpaceDN w:val="0"/>
        <w:adjustRightInd w:val="0"/>
        <w:spacing w:before="113" w:after="113"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b/>
          <w:bCs/>
          <w:sz w:val="24"/>
          <w:szCs w:val="24"/>
          <w:lang w:val="es-ES_tradnl"/>
        </w:rPr>
        <w:t>Participativo,</w:t>
      </w:r>
      <w:r w:rsidRPr="00EE003F">
        <w:rPr>
          <w:rFonts w:ascii="Arial Narrow" w:hAnsi="Arial Narrow" w:cs="Frutiger LT Std 45 Light"/>
          <w:sz w:val="24"/>
          <w:szCs w:val="24"/>
          <w:lang w:val="es-ES_tradnl"/>
        </w:rPr>
        <w:t xml:space="preserve"> en cuanto que el análisis de tendencias, árbol de problemas y esquemas de solución, así como los indicadores han sido trabajados con un número amplio de investigadores, analistas, expertos de los ámbitos público y privado, incluyendo a las universidades. Además, la metodología usada es participativa en el más amplio sentido, por cuanto incluye consultas a la población como la encuesta a 100 mil familias en torno a su visión del Perú al 2021 y al 2050.</w:t>
      </w:r>
    </w:p>
    <w:p w:rsidR="00AE0DB2" w:rsidRPr="00EE003F" w:rsidRDefault="00A54B58" w:rsidP="007F139D">
      <w:pPr>
        <w:autoSpaceDE w:val="0"/>
        <w:autoSpaceDN w:val="0"/>
        <w:adjustRightInd w:val="0"/>
        <w:spacing w:before="397" w:after="0" w:line="240" w:lineRule="auto"/>
        <w:jc w:val="both"/>
        <w:textAlignment w:val="center"/>
        <w:rPr>
          <w:rFonts w:ascii="Arial Narrow" w:hAnsi="Arial Narrow" w:cs="Frutiger LT Std 47 Light Cn"/>
          <w:b/>
          <w:bCs/>
          <w:sz w:val="24"/>
          <w:szCs w:val="24"/>
          <w:lang w:val="es-ES_tradnl"/>
        </w:rPr>
      </w:pPr>
      <w:r w:rsidRPr="00EE003F">
        <w:rPr>
          <w:rFonts w:ascii="Arial Narrow" w:hAnsi="Arial Narrow" w:cs="Frutiger LT Std 45 Light"/>
          <w:sz w:val="24"/>
          <w:szCs w:val="24"/>
          <w:lang w:val="es-ES_tradnl"/>
        </w:rPr>
        <w:t>Dichos enfoques permiten armonizar técnicas y herramientas a fin de conferirle al plan solidez, coherencia y viabilidad social y política.</w:t>
      </w:r>
    </w:p>
    <w:p w:rsidR="00AE0DB2" w:rsidRPr="00EE003F" w:rsidRDefault="007A7B84" w:rsidP="00AE0DB2">
      <w:pPr>
        <w:autoSpaceDE w:val="0"/>
        <w:autoSpaceDN w:val="0"/>
        <w:adjustRightInd w:val="0"/>
        <w:spacing w:before="397" w:after="0" w:line="288" w:lineRule="auto"/>
        <w:ind w:left="283" w:hanging="283"/>
        <w:jc w:val="both"/>
        <w:textAlignment w:val="center"/>
        <w:rPr>
          <w:rFonts w:ascii="Arial Narrow" w:hAnsi="Arial Narrow" w:cs="Frutiger LT Std 45 Light"/>
          <w:sz w:val="20"/>
          <w:szCs w:val="20"/>
          <w:lang w:val="es-ES_tradnl"/>
        </w:rPr>
      </w:pPr>
      <w:r w:rsidRPr="00EE003F">
        <w:rPr>
          <w:rFonts w:ascii="Arial Narrow" w:hAnsi="Arial Narrow" w:cs="Frutiger LT Std 45 Light"/>
          <w:noProof/>
          <w:sz w:val="20"/>
          <w:szCs w:val="20"/>
          <w:lang w:eastAsia="es-PE"/>
        </w:rPr>
        <w:drawing>
          <wp:inline distT="0" distB="0" distL="0" distR="0" wp14:anchorId="23FB8D91" wp14:editId="0472AC1A">
            <wp:extent cx="4866198" cy="3182009"/>
            <wp:effectExtent l="0" t="0" r="0" b="0"/>
            <wp:docPr id="2" name="Imagen 2" descr="C:\Users\visitante\Downloads\CUADRO F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sitante\Downloads\CUADRO FAS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7765" cy="3183034"/>
                    </a:xfrm>
                    <a:prstGeom prst="rect">
                      <a:avLst/>
                    </a:prstGeom>
                    <a:noFill/>
                    <a:ln>
                      <a:noFill/>
                    </a:ln>
                  </pic:spPr>
                </pic:pic>
              </a:graphicData>
            </a:graphic>
          </wp:inline>
        </w:drawing>
      </w:r>
    </w:p>
    <w:p w:rsidR="00AE0DB2" w:rsidRPr="00EE003F" w:rsidRDefault="00AE0DB2" w:rsidP="006A18B3">
      <w:pPr>
        <w:pStyle w:val="Ttulo2"/>
        <w:jc w:val="left"/>
        <w:rPr>
          <w:rFonts w:asciiTheme="minorHAnsi" w:hAnsiTheme="minorHAnsi"/>
          <w:b w:val="0"/>
          <w:lang w:val="es-ES_tradnl"/>
        </w:rPr>
      </w:pPr>
      <w:bookmarkStart w:id="9" w:name="_Toc453004650"/>
      <w:r w:rsidRPr="00EE003F">
        <w:rPr>
          <w:rFonts w:asciiTheme="minorHAnsi" w:hAnsiTheme="minorHAnsi"/>
          <w:lang w:val="es-ES_tradnl"/>
        </w:rPr>
        <w:t>Análisis prospectivo</w:t>
      </w:r>
      <w:bookmarkEnd w:id="9"/>
    </w:p>
    <w:p w:rsidR="00AE0DB2" w:rsidRPr="00EE003F" w:rsidRDefault="00AE0DB2" w:rsidP="007F139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Se continuó con el análisis prospectivo que permitió </w:t>
      </w:r>
      <w:r w:rsidR="0095426B" w:rsidRPr="00EE003F">
        <w:rPr>
          <w:rFonts w:ascii="Arial Narrow" w:hAnsi="Arial Narrow" w:cs="Frutiger LT Std 45 Light"/>
          <w:sz w:val="24"/>
          <w:szCs w:val="20"/>
          <w:lang w:val="es-ES_tradnl"/>
        </w:rPr>
        <w:t xml:space="preserve">reflexionar sobre </w:t>
      </w:r>
      <w:r w:rsidRPr="00EE003F">
        <w:rPr>
          <w:rFonts w:ascii="Arial Narrow" w:hAnsi="Arial Narrow" w:cs="Frutiger LT Std 45 Light"/>
          <w:sz w:val="24"/>
          <w:szCs w:val="20"/>
          <w:lang w:val="es-ES_tradnl"/>
        </w:rPr>
        <w:t xml:space="preserve">el futuro de forma </w:t>
      </w:r>
      <w:r w:rsidR="009A4A77" w:rsidRPr="00EE003F">
        <w:rPr>
          <w:rFonts w:ascii="Arial Narrow" w:hAnsi="Arial Narrow" w:cs="Frutiger LT Std 45 Light"/>
          <w:sz w:val="24"/>
          <w:szCs w:val="20"/>
          <w:lang w:val="es-ES_tradnl"/>
        </w:rPr>
        <w:t>sistémica</w:t>
      </w:r>
      <w:r w:rsidR="0095426B" w:rsidRPr="00EE003F">
        <w:rPr>
          <w:rFonts w:ascii="Arial Narrow" w:hAnsi="Arial Narrow" w:cs="Frutiger LT Std 45 Light"/>
          <w:sz w:val="24"/>
          <w:szCs w:val="20"/>
          <w:lang w:val="es-ES_tradnl"/>
        </w:rPr>
        <w:t>, a fin de planificar el desarrollo</w:t>
      </w:r>
      <w:r w:rsidRPr="00EE003F">
        <w:rPr>
          <w:rFonts w:ascii="Arial Narrow" w:hAnsi="Arial Narrow" w:cs="Frutiger LT Std 45 Light"/>
          <w:sz w:val="24"/>
          <w:szCs w:val="20"/>
          <w:lang w:val="es-ES_tradnl"/>
        </w:rPr>
        <w:t>. En esta etapa se produjeron importantes insumos que aportaron al contenido del PEDN</w:t>
      </w:r>
      <w:r w:rsidR="00CC52E4" w:rsidRPr="00EE003F">
        <w:rPr>
          <w:rFonts w:ascii="Arial Narrow" w:hAnsi="Arial Narrow" w:cs="Frutiger LT Std 45 Light"/>
          <w:sz w:val="24"/>
          <w:szCs w:val="20"/>
          <w:lang w:val="es-ES_tradnl"/>
        </w:rPr>
        <w:t>,</w:t>
      </w:r>
      <w:r w:rsidRPr="00EE003F">
        <w:rPr>
          <w:rFonts w:ascii="Arial Narrow" w:hAnsi="Arial Narrow" w:cs="Frutiger LT Std 45 Light"/>
          <w:sz w:val="24"/>
          <w:szCs w:val="20"/>
          <w:lang w:val="es-ES_tradnl"/>
        </w:rPr>
        <w:t xml:space="preserve"> como los escenarios posibles de desarrollo al 2021</w:t>
      </w:r>
      <w:r w:rsidR="00CC52E4" w:rsidRPr="00EE003F">
        <w:rPr>
          <w:rFonts w:ascii="Arial Narrow" w:hAnsi="Arial Narrow" w:cs="Frutiger LT Std 45 Light"/>
          <w:sz w:val="24"/>
          <w:szCs w:val="20"/>
          <w:lang w:val="es-ES_tradnl"/>
        </w:rPr>
        <w:t>,</w:t>
      </w:r>
      <w:r w:rsidRPr="00EE003F">
        <w:rPr>
          <w:rFonts w:ascii="Arial Narrow" w:hAnsi="Arial Narrow" w:cs="Frutiger LT Std 45 Light"/>
          <w:sz w:val="24"/>
          <w:szCs w:val="20"/>
          <w:lang w:val="es-ES_tradnl"/>
        </w:rPr>
        <w:t xml:space="preserve"> construidos con el aporte de expertos y especialistas </w:t>
      </w:r>
      <w:r w:rsidR="00CC52E4" w:rsidRPr="00EE003F">
        <w:rPr>
          <w:rFonts w:ascii="Arial Narrow" w:hAnsi="Arial Narrow" w:cs="Frutiger LT Std 45 Light"/>
          <w:sz w:val="24"/>
          <w:szCs w:val="20"/>
          <w:lang w:val="es-ES_tradnl"/>
        </w:rPr>
        <w:t xml:space="preserve">a través de </w:t>
      </w:r>
      <w:r w:rsidRPr="00EE003F">
        <w:rPr>
          <w:rFonts w:ascii="Arial Narrow" w:hAnsi="Arial Narrow" w:cs="Frutiger LT Std 45 Light"/>
          <w:sz w:val="24"/>
          <w:szCs w:val="20"/>
          <w:lang w:val="es-ES_tradnl"/>
        </w:rPr>
        <w:t>encuestas</w:t>
      </w:r>
      <w:r w:rsidR="00CC52E4" w:rsidRPr="00EE003F">
        <w:rPr>
          <w:rFonts w:ascii="Arial Narrow" w:hAnsi="Arial Narrow" w:cs="Frutiger LT Std 45 Light"/>
          <w:sz w:val="24"/>
          <w:szCs w:val="20"/>
          <w:lang w:val="es-ES_tradnl"/>
        </w:rPr>
        <w:t xml:space="preserve">, </w:t>
      </w:r>
      <w:r w:rsidRPr="00EE003F">
        <w:rPr>
          <w:rFonts w:ascii="Arial Narrow" w:hAnsi="Arial Narrow" w:cs="Frutiger LT Std 45 Light"/>
          <w:sz w:val="24"/>
          <w:szCs w:val="20"/>
          <w:lang w:val="es-ES_tradnl"/>
        </w:rPr>
        <w:t>panel</w:t>
      </w:r>
      <w:r w:rsidR="00CC52E4" w:rsidRPr="00EE003F">
        <w:rPr>
          <w:rFonts w:ascii="Arial Narrow" w:hAnsi="Arial Narrow" w:cs="Frutiger LT Std 45 Light"/>
          <w:sz w:val="24"/>
          <w:szCs w:val="20"/>
          <w:lang w:val="es-ES_tradnl"/>
        </w:rPr>
        <w:t>es</w:t>
      </w:r>
      <w:r w:rsidRPr="00EE003F">
        <w:rPr>
          <w:rFonts w:ascii="Arial Narrow" w:hAnsi="Arial Narrow" w:cs="Frutiger LT Std 45 Light"/>
          <w:sz w:val="24"/>
          <w:szCs w:val="20"/>
          <w:lang w:val="es-ES_tradnl"/>
        </w:rPr>
        <w:t xml:space="preserve"> de expertos, </w:t>
      </w:r>
      <w:r w:rsidR="00CC52E4" w:rsidRPr="00EE003F">
        <w:rPr>
          <w:rFonts w:ascii="Arial Narrow" w:hAnsi="Arial Narrow" w:cs="Frutiger LT Std 45 Light"/>
          <w:sz w:val="24"/>
          <w:szCs w:val="20"/>
          <w:lang w:val="es-ES_tradnl"/>
        </w:rPr>
        <w:t xml:space="preserve">aplicación del </w:t>
      </w:r>
      <w:r w:rsidRPr="00EE003F">
        <w:rPr>
          <w:rFonts w:ascii="Arial Narrow" w:hAnsi="Arial Narrow" w:cs="Frutiger LT Std 45 Light"/>
          <w:sz w:val="24"/>
          <w:szCs w:val="20"/>
          <w:lang w:val="es-ES_tradnl"/>
        </w:rPr>
        <w:t>análisis estructural</w:t>
      </w:r>
      <w:r w:rsidR="0095426B" w:rsidRPr="00EE003F">
        <w:rPr>
          <w:rFonts w:ascii="Arial Narrow" w:hAnsi="Arial Narrow" w:cs="Frutiger LT Std 45 Light"/>
          <w:sz w:val="24"/>
          <w:szCs w:val="20"/>
          <w:lang w:val="es-ES_tradnl"/>
        </w:rPr>
        <w:t>, entre otros espacios de discusión</w:t>
      </w:r>
      <w:r w:rsidR="00CC52E4" w:rsidRPr="00EE003F">
        <w:rPr>
          <w:rFonts w:ascii="Arial Narrow" w:hAnsi="Arial Narrow" w:cs="Frutiger LT Std 45 Light"/>
          <w:sz w:val="24"/>
          <w:szCs w:val="20"/>
          <w:lang w:val="es-ES_tradnl"/>
        </w:rPr>
        <w:t xml:space="preserve">. Además se analizaron </w:t>
      </w:r>
      <w:r w:rsidRPr="00EE003F">
        <w:rPr>
          <w:rFonts w:ascii="Arial Narrow" w:hAnsi="Arial Narrow" w:cs="Frutiger LT Std 45 Light"/>
          <w:sz w:val="24"/>
          <w:szCs w:val="20"/>
          <w:lang w:val="es-ES_tradnl"/>
        </w:rPr>
        <w:t xml:space="preserve">tendencias y proyecciones al 2021 utilizando el modelo </w:t>
      </w:r>
      <w:proofErr w:type="spellStart"/>
      <w:r w:rsidRPr="00EE003F">
        <w:rPr>
          <w:rFonts w:ascii="Arial Narrow" w:hAnsi="Arial Narrow" w:cs="Frutiger LT Std 45 Light"/>
          <w:sz w:val="24"/>
          <w:szCs w:val="20"/>
          <w:lang w:val="es-ES_tradnl"/>
        </w:rPr>
        <w:t>IFs</w:t>
      </w:r>
      <w:proofErr w:type="spellEnd"/>
      <w:r w:rsidR="0095426B" w:rsidRPr="00EE003F">
        <w:rPr>
          <w:rFonts w:ascii="Arial Narrow" w:hAnsi="Arial Narrow" w:cs="Frutiger LT Std 45 Light"/>
          <w:sz w:val="24"/>
          <w:szCs w:val="20"/>
          <w:lang w:val="es-ES_tradnl"/>
        </w:rPr>
        <w:t>, el</w:t>
      </w:r>
      <w:r w:rsidR="00066661" w:rsidRPr="00EE003F">
        <w:rPr>
          <w:rFonts w:ascii="Arial Narrow" w:hAnsi="Arial Narrow" w:cs="Frutiger LT Std 45 Light"/>
          <w:sz w:val="24"/>
          <w:szCs w:val="20"/>
          <w:lang w:val="es-ES_tradnl"/>
        </w:rPr>
        <w:t xml:space="preserve"> </w:t>
      </w:r>
      <w:r w:rsidR="0095426B" w:rsidRPr="00EE003F">
        <w:rPr>
          <w:rFonts w:ascii="Arial Narrow" w:hAnsi="Arial Narrow" w:cs="Frutiger LT Std 45 Light"/>
          <w:sz w:val="24"/>
          <w:szCs w:val="20"/>
          <w:lang w:val="es-ES_tradnl"/>
        </w:rPr>
        <w:t>Marco Macroeconómico Multianual 201</w:t>
      </w:r>
      <w:r w:rsidR="0029163D" w:rsidRPr="00EE003F">
        <w:rPr>
          <w:rFonts w:ascii="Arial Narrow" w:hAnsi="Arial Narrow" w:cs="Frutiger LT Std 45 Light"/>
          <w:sz w:val="24"/>
          <w:szCs w:val="20"/>
          <w:lang w:val="es-ES_tradnl"/>
        </w:rPr>
        <w:t>7</w:t>
      </w:r>
      <w:r w:rsidR="0095426B" w:rsidRPr="00EE003F">
        <w:rPr>
          <w:rFonts w:ascii="Arial Narrow" w:hAnsi="Arial Narrow" w:cs="Frutiger LT Std 45 Light"/>
          <w:sz w:val="24"/>
          <w:szCs w:val="20"/>
          <w:lang w:val="es-ES_tradnl"/>
        </w:rPr>
        <w:t>-201</w:t>
      </w:r>
      <w:r w:rsidR="0029163D" w:rsidRPr="00EE003F">
        <w:rPr>
          <w:rFonts w:ascii="Arial Narrow" w:hAnsi="Arial Narrow" w:cs="Frutiger LT Std 45 Light"/>
          <w:sz w:val="24"/>
          <w:szCs w:val="20"/>
          <w:lang w:val="es-ES_tradnl"/>
        </w:rPr>
        <w:t>9</w:t>
      </w:r>
      <w:r w:rsidR="0095426B" w:rsidRPr="00EE003F">
        <w:rPr>
          <w:rFonts w:ascii="Arial Narrow" w:hAnsi="Arial Narrow" w:cs="Frutiger LT Std 45 Light"/>
          <w:sz w:val="24"/>
          <w:szCs w:val="20"/>
          <w:lang w:val="es-ES_tradnl"/>
        </w:rPr>
        <w:t>, así como el Informe preelectoral: Administración 2011-2016</w:t>
      </w:r>
      <w:r w:rsidRPr="00EE003F">
        <w:rPr>
          <w:rFonts w:ascii="Arial Narrow" w:hAnsi="Arial Narrow" w:cs="Frutiger LT Std 45 Light"/>
          <w:sz w:val="24"/>
          <w:szCs w:val="20"/>
          <w:lang w:val="es-ES_tradnl"/>
        </w:rPr>
        <w:t xml:space="preserve">. </w:t>
      </w:r>
      <w:r w:rsidR="00CC52E4" w:rsidRPr="00EE003F">
        <w:rPr>
          <w:rFonts w:ascii="Arial Narrow" w:hAnsi="Arial Narrow" w:cs="Frutiger LT Std 45 Light"/>
          <w:sz w:val="24"/>
          <w:szCs w:val="20"/>
          <w:lang w:val="es-ES_tradnl"/>
        </w:rPr>
        <w:t>Posteriormente</w:t>
      </w:r>
      <w:r w:rsidR="0095426B" w:rsidRPr="00EE003F">
        <w:rPr>
          <w:rFonts w:ascii="Arial Narrow" w:hAnsi="Arial Narrow" w:cs="Frutiger LT Std 45 Light"/>
          <w:sz w:val="24"/>
          <w:szCs w:val="20"/>
          <w:lang w:val="es-ES_tradnl"/>
        </w:rPr>
        <w:t>,</w:t>
      </w:r>
      <w:r w:rsidR="00CC52E4" w:rsidRPr="00EE003F">
        <w:rPr>
          <w:rFonts w:ascii="Arial Narrow" w:hAnsi="Arial Narrow" w:cs="Frutiger LT Std 45 Light"/>
          <w:sz w:val="24"/>
          <w:szCs w:val="20"/>
          <w:lang w:val="es-ES_tradnl"/>
        </w:rPr>
        <w:t xml:space="preserve"> </w:t>
      </w:r>
      <w:r w:rsidR="00760405" w:rsidRPr="00EE003F">
        <w:rPr>
          <w:rFonts w:ascii="Arial Narrow" w:hAnsi="Arial Narrow" w:cs="Frutiger LT Std 45 Light"/>
          <w:sz w:val="24"/>
          <w:szCs w:val="20"/>
          <w:lang w:val="es-ES_tradnl"/>
        </w:rPr>
        <w:t xml:space="preserve">se realizaron dos talleres </w:t>
      </w:r>
      <w:r w:rsidRPr="00EE003F">
        <w:rPr>
          <w:rFonts w:ascii="Arial Narrow" w:hAnsi="Arial Narrow" w:cs="Frutiger LT Std 45 Light"/>
          <w:sz w:val="24"/>
          <w:szCs w:val="20"/>
          <w:lang w:val="es-ES_tradnl"/>
        </w:rPr>
        <w:t>con los viceministerios</w:t>
      </w:r>
      <w:r w:rsidR="00760405" w:rsidRPr="00EE003F">
        <w:rPr>
          <w:rStyle w:val="Refdenotaalpie"/>
          <w:rFonts w:ascii="Arial Narrow" w:hAnsi="Arial Narrow" w:cs="Frutiger LT Std 45 Light"/>
          <w:sz w:val="24"/>
          <w:szCs w:val="20"/>
          <w:lang w:val="es-ES_tradnl"/>
        </w:rPr>
        <w:footnoteReference w:id="2"/>
      </w:r>
      <w:r w:rsidRPr="00EE003F">
        <w:rPr>
          <w:rFonts w:ascii="Arial Narrow" w:hAnsi="Arial Narrow" w:cs="Frutiger LT Std 45 Light"/>
          <w:sz w:val="24"/>
          <w:szCs w:val="20"/>
          <w:lang w:val="es-ES_tradnl"/>
        </w:rPr>
        <w:t xml:space="preserve">, </w:t>
      </w:r>
      <w:r w:rsidR="00CC52E4" w:rsidRPr="00EE003F">
        <w:rPr>
          <w:rFonts w:ascii="Arial Narrow" w:hAnsi="Arial Narrow" w:cs="Frutiger LT Std 45 Light"/>
          <w:sz w:val="24"/>
          <w:szCs w:val="20"/>
          <w:lang w:val="es-ES_tradnl"/>
        </w:rPr>
        <w:t xml:space="preserve">a fin de </w:t>
      </w:r>
      <w:r w:rsidRPr="00EE003F">
        <w:rPr>
          <w:rFonts w:ascii="Arial Narrow" w:hAnsi="Arial Narrow" w:cs="Frutiger LT Std 45 Light"/>
          <w:sz w:val="24"/>
          <w:szCs w:val="20"/>
          <w:lang w:val="es-ES_tradnl"/>
        </w:rPr>
        <w:t>priorizar políticas nacionales transversales</w:t>
      </w:r>
      <w:r w:rsidR="00CC52E4" w:rsidRPr="00EE003F">
        <w:rPr>
          <w:rFonts w:ascii="Arial Narrow" w:hAnsi="Arial Narrow" w:cs="Frutiger LT Std 45 Light"/>
          <w:sz w:val="24"/>
          <w:szCs w:val="20"/>
          <w:lang w:val="es-ES_tradnl"/>
        </w:rPr>
        <w:t xml:space="preserve">. Paralelamente </w:t>
      </w:r>
      <w:r w:rsidRPr="00EE003F">
        <w:rPr>
          <w:rFonts w:ascii="Arial Narrow" w:hAnsi="Arial Narrow" w:cs="Frutiger LT Std 45 Light"/>
          <w:sz w:val="24"/>
          <w:szCs w:val="20"/>
          <w:lang w:val="es-ES_tradnl"/>
        </w:rPr>
        <w:t>se desarrollaron “plantillas prospectivas”</w:t>
      </w:r>
      <w:r w:rsidR="0095426B" w:rsidRPr="00EE003F">
        <w:rPr>
          <w:rFonts w:ascii="Arial Narrow" w:hAnsi="Arial Narrow" w:cs="Frutiger LT Std 45 Light"/>
          <w:sz w:val="24"/>
          <w:szCs w:val="20"/>
          <w:lang w:val="es-ES_tradnl"/>
        </w:rPr>
        <w:t xml:space="preserve"> que permitieron realizar </w:t>
      </w:r>
      <w:r w:rsidRPr="00EE003F">
        <w:rPr>
          <w:rFonts w:ascii="Arial Narrow" w:hAnsi="Arial Narrow" w:cs="Frutiger LT Std 45 Light"/>
          <w:sz w:val="24"/>
          <w:szCs w:val="20"/>
          <w:lang w:val="es-ES_tradnl"/>
        </w:rPr>
        <w:t>el análisis sectorial con visión prospectiva desarrolladas por CEPLAN.</w:t>
      </w:r>
    </w:p>
    <w:p w:rsidR="00BB05E6" w:rsidRPr="00EE003F" w:rsidRDefault="00BB05E6" w:rsidP="008D0CB9">
      <w:pPr>
        <w:spacing w:after="0" w:line="240" w:lineRule="auto"/>
        <w:jc w:val="both"/>
        <w:rPr>
          <w:rFonts w:ascii="Arial Narrow" w:hAnsi="Arial Narrow"/>
          <w:noProof/>
          <w:sz w:val="32"/>
          <w:szCs w:val="32"/>
          <w:lang w:eastAsia="es-PE"/>
        </w:rPr>
      </w:pPr>
    </w:p>
    <w:p w:rsidR="008D0CB9" w:rsidRPr="00EE003F" w:rsidRDefault="00AE0DB2" w:rsidP="008D0CB9">
      <w:pPr>
        <w:spacing w:after="0" w:line="240" w:lineRule="auto"/>
        <w:jc w:val="both"/>
        <w:rPr>
          <w:rFonts w:ascii="Arial Narrow" w:hAnsi="Arial Narrow"/>
          <w:sz w:val="32"/>
          <w:szCs w:val="32"/>
        </w:rPr>
      </w:pPr>
      <w:r w:rsidRPr="00EE003F">
        <w:rPr>
          <w:rFonts w:ascii="Arial Narrow" w:hAnsi="Arial Narrow"/>
          <w:noProof/>
          <w:sz w:val="32"/>
          <w:szCs w:val="32"/>
          <w:lang w:eastAsia="es-PE"/>
        </w:rPr>
        <w:drawing>
          <wp:inline distT="0" distB="0" distL="0" distR="0" wp14:anchorId="3E410C4E" wp14:editId="6081E247">
            <wp:extent cx="5518150" cy="2870200"/>
            <wp:effectExtent l="0" t="0" r="6350" b="635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0" cy="2870200"/>
                    </a:xfrm>
                    <a:prstGeom prst="rect">
                      <a:avLst/>
                    </a:prstGeom>
                    <a:noFill/>
                    <a:ln>
                      <a:noFill/>
                    </a:ln>
                  </pic:spPr>
                </pic:pic>
              </a:graphicData>
            </a:graphic>
          </wp:inline>
        </w:drawing>
      </w:r>
    </w:p>
    <w:p w:rsidR="00AE0DB2" w:rsidRPr="00EE003F" w:rsidRDefault="00AE0DB2" w:rsidP="00F6198C">
      <w:pPr>
        <w:suppressAutoHyphens/>
        <w:autoSpaceDE w:val="0"/>
        <w:autoSpaceDN w:val="0"/>
        <w:adjustRightInd w:val="0"/>
        <w:spacing w:before="850" w:after="113" w:line="288" w:lineRule="auto"/>
        <w:jc w:val="both"/>
        <w:textAlignment w:val="center"/>
        <w:rPr>
          <w:rFonts w:ascii="Arial Narrow" w:hAnsi="Arial Narrow" w:cs="Frutiger LT Std 45 Light"/>
          <w:b/>
          <w:sz w:val="20"/>
          <w:szCs w:val="20"/>
          <w:lang w:val="es-ES_tradnl"/>
        </w:rPr>
      </w:pPr>
      <w:r w:rsidRPr="00EE003F">
        <w:rPr>
          <w:rFonts w:ascii="Arial Narrow" w:hAnsi="Arial Narrow" w:cs="RotisSemiSans"/>
          <w:b/>
          <w:sz w:val="32"/>
          <w:szCs w:val="32"/>
          <w:lang w:val="es-ES_tradnl"/>
        </w:rPr>
        <w:t xml:space="preserve">Modelo International </w:t>
      </w:r>
      <w:proofErr w:type="spellStart"/>
      <w:r w:rsidRPr="00EE003F">
        <w:rPr>
          <w:rFonts w:ascii="Arial Narrow" w:hAnsi="Arial Narrow" w:cs="RotisSemiSans"/>
          <w:b/>
          <w:sz w:val="32"/>
          <w:szCs w:val="32"/>
          <w:lang w:val="es-ES_tradnl"/>
        </w:rPr>
        <w:t>Futures</w:t>
      </w:r>
      <w:proofErr w:type="spellEnd"/>
      <w:r w:rsidRPr="00EE003F">
        <w:rPr>
          <w:rFonts w:ascii="Arial Narrow" w:hAnsi="Arial Narrow" w:cs="RotisSemiSans"/>
          <w:b/>
          <w:sz w:val="32"/>
          <w:szCs w:val="32"/>
          <w:lang w:val="es-ES_tradnl"/>
        </w:rPr>
        <w:t xml:space="preserve"> (</w:t>
      </w:r>
      <w:proofErr w:type="spellStart"/>
      <w:r w:rsidRPr="00EE003F">
        <w:rPr>
          <w:rFonts w:ascii="Arial Narrow" w:hAnsi="Arial Narrow" w:cs="RotisSemiSans"/>
          <w:b/>
          <w:sz w:val="32"/>
          <w:szCs w:val="32"/>
          <w:lang w:val="es-ES_tradnl"/>
        </w:rPr>
        <w:t>IFs</w:t>
      </w:r>
      <w:proofErr w:type="spellEnd"/>
      <w:r w:rsidRPr="00EE003F">
        <w:rPr>
          <w:rFonts w:ascii="Arial Narrow" w:hAnsi="Arial Narrow" w:cs="RotisSemiSans"/>
          <w:b/>
          <w:sz w:val="32"/>
          <w:szCs w:val="32"/>
          <w:lang w:val="es-ES_tradnl"/>
        </w:rPr>
        <w:t xml:space="preserve">) </w:t>
      </w:r>
    </w:p>
    <w:p w:rsidR="00AE0DB2" w:rsidRPr="00EE003F" w:rsidRDefault="00AE0DB2"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El modelo International </w:t>
      </w:r>
      <w:proofErr w:type="spellStart"/>
      <w:r w:rsidRPr="00EE003F">
        <w:rPr>
          <w:rFonts w:ascii="Arial Narrow" w:hAnsi="Arial Narrow" w:cs="Frutiger LT Std 45 Light"/>
          <w:sz w:val="24"/>
          <w:szCs w:val="24"/>
          <w:lang w:val="es-ES_tradnl"/>
        </w:rPr>
        <w:t>Futures</w:t>
      </w:r>
      <w:proofErr w:type="spellEnd"/>
      <w:r w:rsidRPr="00EE003F">
        <w:rPr>
          <w:rFonts w:ascii="Arial Narrow" w:hAnsi="Arial Narrow" w:cs="Frutiger LT Std 45 Light"/>
          <w:sz w:val="24"/>
          <w:szCs w:val="24"/>
          <w:lang w:val="es-ES_tradnl"/>
        </w:rPr>
        <w:t xml:space="preserve"> (</w:t>
      </w:r>
      <w:proofErr w:type="spellStart"/>
      <w:r w:rsidRPr="00EE003F">
        <w:rPr>
          <w:rFonts w:ascii="Arial Narrow" w:hAnsi="Arial Narrow" w:cs="Frutiger LT Std 45 Light"/>
          <w:sz w:val="24"/>
          <w:szCs w:val="24"/>
          <w:lang w:val="es-ES_tradnl"/>
        </w:rPr>
        <w:t>IFs</w:t>
      </w:r>
      <w:proofErr w:type="spellEnd"/>
      <w:r w:rsidRPr="00EE003F">
        <w:rPr>
          <w:rFonts w:ascii="Arial Narrow" w:hAnsi="Arial Narrow" w:cs="Frutiger LT Std 45 Light"/>
          <w:sz w:val="24"/>
          <w:szCs w:val="24"/>
          <w:lang w:val="es-ES_tradnl"/>
        </w:rPr>
        <w:t xml:space="preserve">) es un sistema de modelación integrada a gran escala que tiene como propósito servir como herramienta de análisis de las tendencias de largo plazo a nivel de país, región y economía global. El modelo </w:t>
      </w:r>
      <w:proofErr w:type="spellStart"/>
      <w:r w:rsidRPr="00EE003F">
        <w:rPr>
          <w:rFonts w:ascii="Arial Narrow" w:hAnsi="Arial Narrow" w:cs="Frutiger LT Std 45 Light"/>
          <w:sz w:val="24"/>
          <w:szCs w:val="24"/>
          <w:lang w:val="es-ES_tradnl"/>
        </w:rPr>
        <w:t>IFs</w:t>
      </w:r>
      <w:proofErr w:type="spellEnd"/>
      <w:r w:rsidRPr="00EE003F">
        <w:rPr>
          <w:rFonts w:ascii="Arial Narrow" w:hAnsi="Arial Narrow" w:cs="Frutiger LT Std 45 Light"/>
          <w:sz w:val="24"/>
          <w:szCs w:val="24"/>
          <w:lang w:val="es-ES_tradnl"/>
        </w:rPr>
        <w:t xml:space="preserve"> logra este nivel de análisis a través de la formulación, modelación y proyección de las variables que interactúan en la economía, así como sus múltiples interacciones entre ellas. Su objetivo central es facilitar la exploración del futuro global a través de la simulación de escenarios alternativos sobre la base de cambios en variables de control.</w:t>
      </w:r>
    </w:p>
    <w:p w:rsidR="00AE0DB2" w:rsidRPr="00EE003F" w:rsidRDefault="00AE0DB2"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La dinámica económica y de desarrollo humano cambia con cada vez mayor velocidad, lo cual lleva a la necesidad de considerar la inclusión de determinados elementos y dinámicas en la planificación de mediano y, sobre todo, de largo plazo. El modelo </w:t>
      </w:r>
      <w:proofErr w:type="spellStart"/>
      <w:r w:rsidRPr="00EE003F">
        <w:rPr>
          <w:rFonts w:ascii="Arial Narrow" w:hAnsi="Arial Narrow" w:cs="Frutiger LT Std 45 Light"/>
          <w:sz w:val="24"/>
          <w:szCs w:val="24"/>
          <w:lang w:val="es-ES_tradnl"/>
        </w:rPr>
        <w:t>IFs</w:t>
      </w:r>
      <w:proofErr w:type="spellEnd"/>
      <w:r w:rsidRPr="00EE003F">
        <w:rPr>
          <w:rFonts w:ascii="Arial Narrow" w:hAnsi="Arial Narrow" w:cs="Frutiger LT Std 45 Light"/>
          <w:sz w:val="24"/>
          <w:szCs w:val="24"/>
          <w:lang w:val="es-ES_tradnl"/>
        </w:rPr>
        <w:t xml:space="preserve"> se desarrolla a través del manejo de una extensa base de datos y la formulación teórica de las diversas relaciones causales de las principales variables económicas. </w:t>
      </w:r>
    </w:p>
    <w:p w:rsidR="00AE0DB2" w:rsidRPr="00EE003F" w:rsidRDefault="00AE0DB2"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De esta forma, el modelo permite representar el comportamiento de los principales agentes económicos (hogares, gobiernos y empresas) que interactúan en una variedad de estructuras globales (demográficas, económicas, sociales y ambientales). Así, el sistema general incorpora diferentes sub-modelos, incluyendo la dinámica poblacional, el sub-modelo económico, agricultura, educación, energía, la dinámica socio-política, la política internacional, infraestructura, medio ambiente, tecnología y salud. Cada módulo caracteriza la relación de una serie de variables, resumida a continuación: </w:t>
      </w:r>
    </w:p>
    <w:p w:rsidR="00BF507D" w:rsidRPr="00EE003F" w:rsidRDefault="00BF507D"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4"/>
          <w:lang w:val="es-ES_tradnl"/>
        </w:rPr>
      </w:pPr>
    </w:p>
    <w:p w:rsidR="00AE0DB2" w:rsidRPr="00EE003F" w:rsidRDefault="00AE0DB2" w:rsidP="008D0CB9">
      <w:pPr>
        <w:spacing w:after="0" w:line="240" w:lineRule="auto"/>
        <w:jc w:val="both"/>
        <w:rPr>
          <w:rFonts w:ascii="Arial Narrow" w:hAnsi="Arial Narrow"/>
          <w:sz w:val="32"/>
          <w:szCs w:val="32"/>
        </w:rPr>
      </w:pPr>
      <w:r w:rsidRPr="00EE003F">
        <w:rPr>
          <w:rFonts w:ascii="Arial Narrow" w:hAnsi="Arial Narrow"/>
          <w:noProof/>
          <w:sz w:val="32"/>
          <w:szCs w:val="32"/>
          <w:lang w:eastAsia="es-PE"/>
        </w:rPr>
        <w:drawing>
          <wp:inline distT="0" distB="0" distL="0" distR="0" wp14:anchorId="71D2A4BE" wp14:editId="3906FCE4">
            <wp:extent cx="3569970" cy="337947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9970" cy="3379470"/>
                    </a:xfrm>
                    <a:prstGeom prst="rect">
                      <a:avLst/>
                    </a:prstGeom>
                    <a:noFill/>
                    <a:ln>
                      <a:noFill/>
                    </a:ln>
                  </pic:spPr>
                </pic:pic>
              </a:graphicData>
            </a:graphic>
          </wp:inline>
        </w:drawing>
      </w:r>
    </w:p>
    <w:p w:rsidR="00AE0DB2" w:rsidRPr="00EE003F" w:rsidRDefault="00AE0DB2"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Todos los módulos presentan relaciones dominantes y una interrelación dentro de un mismo sistema; asimismo, presentan diagramas, ecuaciones, códigos de programación, bases históricas de datos y otras fuentes de información. El sistema se basa en diversos enfoques estándar para modelar áreas temáticas específicas siempre, que sea posible, extendiendo e integrando las diferentes relaciones en las diversas áreas temáticas. Consta exactamente de 2,724 variables, de las cuales 2,416 contienen data histórica y 308 son creadas mediante </w:t>
      </w:r>
      <w:r w:rsidR="009432DF" w:rsidRPr="00EE003F">
        <w:rPr>
          <w:rFonts w:ascii="Arial Narrow" w:hAnsi="Arial Narrow" w:cs="Frutiger LT Std 45 Light"/>
          <w:sz w:val="24"/>
          <w:szCs w:val="20"/>
          <w:lang w:val="es-ES_tradnl"/>
        </w:rPr>
        <w:t xml:space="preserve">algoritmos. </w:t>
      </w:r>
      <w:r w:rsidRPr="00EE003F">
        <w:rPr>
          <w:rFonts w:ascii="Arial Narrow" w:hAnsi="Arial Narrow" w:cs="Frutiger LT Std 45 Light"/>
          <w:sz w:val="24"/>
          <w:szCs w:val="20"/>
          <w:lang w:val="es-ES_tradnl"/>
        </w:rPr>
        <w:t xml:space="preserve">Asimismo, el sistema facilita el desarrollo de escenarios a través de un árbol de escenarios que determina los efectos en las variables del sistema, ante cambios exógenos. Adicionalmente, brinda acceso a una extensa base de datos para el análisis longitudinal y transversal. Los datos provienen de 183 países desde el año 1960. </w:t>
      </w:r>
    </w:p>
    <w:p w:rsidR="00AE0DB2" w:rsidRPr="00EE003F" w:rsidRDefault="00AE0DB2"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El sistema representa una herramienta para la toma de decisiones de largo plazo, permitiendo identificar y entender el estado y las relaciones causales de las variables de interés en un país, región o a nivel global. Asimismo, se logra la exploración de las tendencias de variables específicas, y las consecuencias en otros aspectos dentro de la misma dinámica económica. </w:t>
      </w:r>
    </w:p>
    <w:p w:rsidR="00AE0DB2" w:rsidRPr="00EE003F" w:rsidRDefault="00AE0DB2"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De esta forma, el modelo asume que la interacción y los asuntos globales son cada vez más importantes. Asimismo, factores como el medio ambiente y el impacto de la interacción humana son recogidos en el sistema, especialmente en el análisis de largo plazo.  Esto permite la reflexión sobre el futuro para una mayor clarificación de los objetivos y prioridades, así como el desarrollo de escenarios alternativos y la simulación de consecuencias y efectos ante el cambio exógeno en alguna de las variables de interés.</w:t>
      </w:r>
    </w:p>
    <w:p w:rsidR="00AE0DB2" w:rsidRPr="00EE003F" w:rsidRDefault="00AE0DB2"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Para la representación geográfica se incluyen bases de datos de 183 países los cuales se pueden visualizar por separado o como parte de grupos determinados por el usuario; es decir, se puede obtener información agregada por países, regiones, continentes u otra selección arbitraria según los objetivos del investigador.</w:t>
      </w:r>
    </w:p>
    <w:p w:rsidR="00AE0DB2" w:rsidRPr="00EE003F" w:rsidRDefault="00AE0DB2" w:rsidP="00AE0DB2">
      <w:pPr>
        <w:suppressAutoHyphens/>
        <w:autoSpaceDE w:val="0"/>
        <w:autoSpaceDN w:val="0"/>
        <w:adjustRightInd w:val="0"/>
        <w:spacing w:before="340" w:after="0" w:line="288" w:lineRule="auto"/>
        <w:jc w:val="both"/>
        <w:textAlignment w:val="center"/>
        <w:rPr>
          <w:rFonts w:ascii="Arial Narrow" w:hAnsi="Arial Narrow" w:cs="Frutiger LT Std 45 Light"/>
          <w:sz w:val="20"/>
          <w:szCs w:val="20"/>
          <w:lang w:val="es-ES_tradnl"/>
        </w:rPr>
      </w:pPr>
      <w:r w:rsidRPr="00EE003F">
        <w:rPr>
          <w:rFonts w:ascii="Arial Narrow" w:hAnsi="Arial Narrow" w:cs="Frutiger LT Std 45 Light"/>
          <w:noProof/>
          <w:sz w:val="20"/>
          <w:szCs w:val="20"/>
          <w:lang w:eastAsia="es-PE"/>
        </w:rPr>
        <w:drawing>
          <wp:inline distT="0" distB="0" distL="0" distR="0" wp14:anchorId="5C209802" wp14:editId="6974751E">
            <wp:extent cx="4524375" cy="2027555"/>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375" cy="2027555"/>
                    </a:xfrm>
                    <a:prstGeom prst="rect">
                      <a:avLst/>
                    </a:prstGeom>
                    <a:noFill/>
                    <a:ln>
                      <a:noFill/>
                    </a:ln>
                  </pic:spPr>
                </pic:pic>
              </a:graphicData>
            </a:graphic>
          </wp:inline>
        </w:drawing>
      </w:r>
    </w:p>
    <w:p w:rsidR="00AE0DB2" w:rsidRPr="00EE003F" w:rsidRDefault="00AE0DB2" w:rsidP="00AE0DB2">
      <w:pPr>
        <w:suppressAutoHyphens/>
        <w:autoSpaceDE w:val="0"/>
        <w:autoSpaceDN w:val="0"/>
        <w:adjustRightInd w:val="0"/>
        <w:spacing w:before="850" w:after="113" w:line="288" w:lineRule="auto"/>
        <w:ind w:left="397" w:hanging="397"/>
        <w:jc w:val="both"/>
        <w:textAlignment w:val="center"/>
        <w:rPr>
          <w:rFonts w:ascii="Arial Narrow" w:hAnsi="Arial Narrow" w:cs="Frutiger LT Std 45 Light"/>
          <w:b/>
          <w:sz w:val="20"/>
          <w:szCs w:val="20"/>
          <w:lang w:val="es-ES_tradnl"/>
        </w:rPr>
      </w:pPr>
      <w:r w:rsidRPr="00EE003F">
        <w:rPr>
          <w:rFonts w:ascii="Arial Narrow" w:hAnsi="Arial Narrow" w:cs="RotisSemiSans"/>
          <w:b/>
          <w:sz w:val="32"/>
          <w:szCs w:val="32"/>
          <w:lang w:val="es-ES_tradnl"/>
        </w:rPr>
        <w:t>Participación de expertos</w:t>
      </w:r>
    </w:p>
    <w:p w:rsidR="00AE0DB2" w:rsidRPr="00EE003F" w:rsidRDefault="00AE0DB2" w:rsidP="00BF507D">
      <w:pPr>
        <w:autoSpaceDE w:val="0"/>
        <w:autoSpaceDN w:val="0"/>
        <w:adjustRightInd w:val="0"/>
        <w:spacing w:before="113" w:after="0" w:line="240" w:lineRule="auto"/>
        <w:jc w:val="both"/>
        <w:textAlignment w:val="center"/>
        <w:rPr>
          <w:rFonts w:ascii="Arial Narrow" w:hAnsi="Arial Narrow" w:cs="Frutiger LT Std 45 Light"/>
          <w:spacing w:val="-2"/>
          <w:sz w:val="24"/>
          <w:szCs w:val="20"/>
          <w:lang w:val="es-ES_tradnl"/>
        </w:rPr>
      </w:pPr>
      <w:r w:rsidRPr="00EE003F">
        <w:rPr>
          <w:rFonts w:ascii="Arial Narrow" w:hAnsi="Arial Narrow" w:cs="Frutiger LT Std 45 Light"/>
          <w:spacing w:val="-2"/>
          <w:sz w:val="24"/>
          <w:szCs w:val="20"/>
          <w:lang w:val="es-ES_tradnl"/>
        </w:rPr>
        <w:t>El proceso de actualización del Plan Estratégico de Desarrollo Nacional Perú hacia el 2021, contempló la participación activa y continua de expertos. El siguiente esquema muestra la participación de los expertos en los diferentes eventos organizados por CEPLAN y su correspondencia con las etapas del proceso metodológico de la actualización del plan.</w:t>
      </w:r>
    </w:p>
    <w:p w:rsidR="00AE0DB2" w:rsidRPr="00EE003F" w:rsidRDefault="00AE0DB2" w:rsidP="00AE0DB2">
      <w:pPr>
        <w:autoSpaceDE w:val="0"/>
        <w:autoSpaceDN w:val="0"/>
        <w:adjustRightInd w:val="0"/>
        <w:spacing w:before="113" w:after="0" w:line="288" w:lineRule="auto"/>
        <w:ind w:left="283"/>
        <w:jc w:val="both"/>
        <w:textAlignment w:val="center"/>
        <w:rPr>
          <w:rFonts w:ascii="Arial Narrow" w:hAnsi="Arial Narrow" w:cs="Frutiger LT Std 45 Light"/>
          <w:spacing w:val="-2"/>
          <w:sz w:val="20"/>
          <w:szCs w:val="20"/>
          <w:lang w:val="es-ES_tradnl"/>
        </w:rPr>
      </w:pPr>
      <w:r w:rsidRPr="00EE003F">
        <w:rPr>
          <w:rFonts w:ascii="Arial Narrow" w:hAnsi="Arial Narrow" w:cs="Frutiger LT Std 45 Light"/>
          <w:noProof/>
          <w:spacing w:val="-2"/>
          <w:sz w:val="20"/>
          <w:szCs w:val="20"/>
          <w:lang w:eastAsia="es-PE"/>
        </w:rPr>
        <w:drawing>
          <wp:inline distT="0" distB="0" distL="0" distR="0" wp14:anchorId="33BDEB6C" wp14:editId="17FD5AD0">
            <wp:extent cx="5849301" cy="53721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3216" cy="5375696"/>
                    </a:xfrm>
                    <a:prstGeom prst="rect">
                      <a:avLst/>
                    </a:prstGeom>
                    <a:noFill/>
                    <a:ln>
                      <a:noFill/>
                    </a:ln>
                  </pic:spPr>
                </pic:pic>
              </a:graphicData>
            </a:graphic>
          </wp:inline>
        </w:drawing>
      </w:r>
    </w:p>
    <w:p w:rsidR="00AE0DB2" w:rsidRPr="00EE003F" w:rsidRDefault="00AE0DB2" w:rsidP="006A18B3">
      <w:pPr>
        <w:pStyle w:val="Ttulo2"/>
        <w:jc w:val="left"/>
        <w:rPr>
          <w:rFonts w:asciiTheme="minorHAnsi" w:hAnsiTheme="minorHAnsi"/>
          <w:b w:val="0"/>
          <w:lang w:val="es-ES_tradnl"/>
        </w:rPr>
      </w:pPr>
      <w:bookmarkStart w:id="10" w:name="_Toc453004651"/>
      <w:r w:rsidRPr="00EE003F">
        <w:rPr>
          <w:rFonts w:asciiTheme="minorHAnsi" w:hAnsiTheme="minorHAnsi"/>
          <w:lang w:val="es-ES_tradnl"/>
        </w:rPr>
        <w:t>Análisis estratégico</w:t>
      </w:r>
      <w:bookmarkEnd w:id="10"/>
    </w:p>
    <w:p w:rsidR="00AE0DB2" w:rsidRPr="00EE003F" w:rsidRDefault="00AE0DB2"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La etapa de análisis estratégico se desarrolló en tres fases: </w:t>
      </w:r>
      <w:r w:rsidR="004D57BB" w:rsidRPr="00EE003F">
        <w:rPr>
          <w:rFonts w:ascii="Arial Narrow" w:hAnsi="Arial Narrow" w:cs="Frutiger LT Std 45 Light"/>
          <w:sz w:val="24"/>
          <w:szCs w:val="20"/>
          <w:lang w:val="es-ES_tradnl"/>
        </w:rPr>
        <w:t>la primera</w:t>
      </w:r>
      <w:r w:rsidR="006F2CE6" w:rsidRPr="00EE003F">
        <w:rPr>
          <w:rFonts w:ascii="Arial Narrow" w:hAnsi="Arial Narrow" w:cs="Frutiger LT Std 45 Light"/>
          <w:sz w:val="24"/>
          <w:szCs w:val="20"/>
          <w:lang w:val="es-ES_tradnl"/>
        </w:rPr>
        <w:t xml:space="preserve"> precisó</w:t>
      </w:r>
      <w:r w:rsidRPr="00EE003F">
        <w:rPr>
          <w:rFonts w:ascii="Arial Narrow" w:hAnsi="Arial Narrow" w:cs="Frutiger LT Std 45 Light"/>
          <w:sz w:val="24"/>
          <w:szCs w:val="20"/>
          <w:lang w:val="es-ES_tradnl"/>
        </w:rPr>
        <w:t xml:space="preserve"> la visión nacional al 2021 con los insumos que se recogieron en los procesos de consulta a diversos actores vinculados al desarrollo (encuestas, foros, talleres, entre otros); </w:t>
      </w:r>
      <w:r w:rsidR="006F2CE6" w:rsidRPr="00EE003F">
        <w:rPr>
          <w:rFonts w:ascii="Arial Narrow" w:hAnsi="Arial Narrow" w:cs="Frutiger LT Std 45 Light"/>
          <w:sz w:val="24"/>
          <w:szCs w:val="20"/>
          <w:lang w:val="es-ES_tradnl"/>
        </w:rPr>
        <w:t>la segunda</w:t>
      </w:r>
      <w:r w:rsidRPr="00EE003F">
        <w:rPr>
          <w:rFonts w:ascii="Arial Narrow" w:hAnsi="Arial Narrow" w:cs="Frutiger LT Std 45 Light"/>
          <w:sz w:val="24"/>
          <w:szCs w:val="20"/>
          <w:lang w:val="es-ES_tradnl"/>
        </w:rPr>
        <w:t xml:space="preserve">, </w:t>
      </w:r>
      <w:r w:rsidR="006F2CE6" w:rsidRPr="00EE003F">
        <w:rPr>
          <w:rFonts w:ascii="Arial Narrow" w:hAnsi="Arial Narrow" w:cs="Frutiger LT Std 45 Light"/>
          <w:sz w:val="24"/>
          <w:szCs w:val="20"/>
          <w:lang w:val="es-ES_tradnl"/>
        </w:rPr>
        <w:t>revisó</w:t>
      </w:r>
      <w:r w:rsidRPr="00EE003F">
        <w:rPr>
          <w:rFonts w:ascii="Arial Narrow" w:hAnsi="Arial Narrow" w:cs="Frutiger LT Std 45 Light"/>
          <w:sz w:val="24"/>
          <w:szCs w:val="20"/>
          <w:lang w:val="es-ES_tradnl"/>
        </w:rPr>
        <w:t xml:space="preserve"> los objetivos de desarrollo nacional y el proceso de actualización a través de una revisión bibliográfica, talleres internos y análisis de coherencia temática por cada eje; </w:t>
      </w:r>
      <w:r w:rsidR="006F2CE6" w:rsidRPr="00EE003F">
        <w:rPr>
          <w:rFonts w:ascii="Arial Narrow" w:hAnsi="Arial Narrow" w:cs="Frutiger LT Std 45 Light"/>
          <w:sz w:val="24"/>
          <w:szCs w:val="20"/>
          <w:lang w:val="es-ES_tradnl"/>
        </w:rPr>
        <w:t>y finalmente la tercera</w:t>
      </w:r>
      <w:r w:rsidRPr="00EE003F">
        <w:rPr>
          <w:rFonts w:ascii="Arial Narrow" w:hAnsi="Arial Narrow" w:cs="Frutiger LT Std 45 Light"/>
          <w:sz w:val="24"/>
          <w:szCs w:val="20"/>
          <w:lang w:val="es-ES_tradnl"/>
        </w:rPr>
        <w:t xml:space="preserve">, </w:t>
      </w:r>
      <w:r w:rsidR="006F2CE6" w:rsidRPr="00EE003F">
        <w:rPr>
          <w:rFonts w:ascii="Arial Narrow" w:hAnsi="Arial Narrow" w:cs="Frutiger LT Std 45 Light"/>
          <w:sz w:val="24"/>
          <w:szCs w:val="20"/>
          <w:lang w:val="es-ES_tradnl"/>
        </w:rPr>
        <w:t>redefinió</w:t>
      </w:r>
      <w:r w:rsidRPr="00EE003F">
        <w:rPr>
          <w:rFonts w:ascii="Arial Narrow" w:hAnsi="Arial Narrow" w:cs="Frutiger LT Std 45 Light"/>
          <w:sz w:val="24"/>
          <w:szCs w:val="20"/>
          <w:lang w:val="es-ES_tradnl"/>
        </w:rPr>
        <w:t xml:space="preserve"> los indicadores y metas al 2016 y 2021 a través de análisis econométrico</w:t>
      </w:r>
      <w:r w:rsidR="006F2CE6" w:rsidRPr="00EE003F">
        <w:rPr>
          <w:rFonts w:ascii="Arial Narrow" w:hAnsi="Arial Narrow" w:cs="Frutiger LT Std 45 Light"/>
          <w:sz w:val="24"/>
          <w:szCs w:val="20"/>
          <w:lang w:val="es-ES_tradnl"/>
        </w:rPr>
        <w:t xml:space="preserve">, consulta a expertos y consulta a los sectores, así como </w:t>
      </w:r>
      <w:r w:rsidRPr="00EE003F">
        <w:rPr>
          <w:rFonts w:ascii="Arial Narrow" w:hAnsi="Arial Narrow" w:cs="Frutiger LT Std 45 Light"/>
          <w:sz w:val="24"/>
          <w:szCs w:val="20"/>
          <w:lang w:val="es-ES_tradnl"/>
        </w:rPr>
        <w:t xml:space="preserve">a </w:t>
      </w:r>
      <w:r w:rsidR="006F2CE6" w:rsidRPr="00EE003F">
        <w:rPr>
          <w:rFonts w:ascii="Arial Narrow" w:hAnsi="Arial Narrow" w:cs="Frutiger LT Std 45 Light"/>
          <w:sz w:val="24"/>
          <w:szCs w:val="20"/>
          <w:lang w:val="es-ES_tradnl"/>
        </w:rPr>
        <w:t xml:space="preserve">las </w:t>
      </w:r>
      <w:r w:rsidRPr="00EE003F">
        <w:rPr>
          <w:rFonts w:ascii="Arial Narrow" w:hAnsi="Arial Narrow" w:cs="Frutiger LT Std 45 Light"/>
          <w:sz w:val="24"/>
          <w:szCs w:val="20"/>
          <w:lang w:val="es-ES_tradnl"/>
        </w:rPr>
        <w:t xml:space="preserve">proyecciones del modelo </w:t>
      </w:r>
      <w:proofErr w:type="spellStart"/>
      <w:r w:rsidRPr="00EE003F">
        <w:rPr>
          <w:rFonts w:ascii="Arial Narrow" w:hAnsi="Arial Narrow" w:cs="Frutiger LT Std 45 Light"/>
          <w:sz w:val="24"/>
          <w:szCs w:val="20"/>
          <w:lang w:val="es-ES_tradnl"/>
        </w:rPr>
        <w:t>IFs</w:t>
      </w:r>
      <w:proofErr w:type="spellEnd"/>
      <w:r w:rsidR="006F2CE6" w:rsidRPr="00EE003F">
        <w:rPr>
          <w:rFonts w:ascii="Arial Narrow" w:hAnsi="Arial Narrow" w:cs="Frutiger LT Std 45 Light"/>
          <w:sz w:val="24"/>
          <w:szCs w:val="20"/>
          <w:lang w:val="es-ES_tradnl"/>
        </w:rPr>
        <w:t xml:space="preserve">, el </w:t>
      </w:r>
      <w:r w:rsidR="006F2CE6" w:rsidRPr="00EE003F">
        <w:rPr>
          <w:rFonts w:ascii="Arial Narrow" w:hAnsi="Arial Narrow"/>
          <w:sz w:val="24"/>
          <w:szCs w:val="24"/>
        </w:rPr>
        <w:t>Marco Macroeconómico Multianual 201</w:t>
      </w:r>
      <w:r w:rsidR="005D3A9A" w:rsidRPr="00EE003F">
        <w:rPr>
          <w:rFonts w:ascii="Arial Narrow" w:hAnsi="Arial Narrow"/>
          <w:sz w:val="24"/>
          <w:szCs w:val="24"/>
        </w:rPr>
        <w:t>7</w:t>
      </w:r>
      <w:r w:rsidR="006F2CE6" w:rsidRPr="00EE003F">
        <w:rPr>
          <w:rFonts w:ascii="Arial Narrow" w:hAnsi="Arial Narrow"/>
          <w:sz w:val="24"/>
          <w:szCs w:val="24"/>
        </w:rPr>
        <w:t>-201</w:t>
      </w:r>
      <w:r w:rsidR="005D3A9A" w:rsidRPr="00EE003F">
        <w:rPr>
          <w:rFonts w:ascii="Arial Narrow" w:hAnsi="Arial Narrow"/>
          <w:sz w:val="24"/>
          <w:szCs w:val="24"/>
        </w:rPr>
        <w:t>9</w:t>
      </w:r>
      <w:r w:rsidR="006F2CE6" w:rsidRPr="00EE003F">
        <w:rPr>
          <w:rFonts w:ascii="Arial Narrow" w:hAnsi="Arial Narrow"/>
          <w:sz w:val="24"/>
          <w:szCs w:val="24"/>
        </w:rPr>
        <w:t xml:space="preserve"> y </w:t>
      </w:r>
      <w:r w:rsidR="006F2CE6" w:rsidRPr="00EE003F">
        <w:rPr>
          <w:rFonts w:ascii="Arial Narrow" w:hAnsi="Arial Narrow" w:cs="Frutiger LT Std 45 Light"/>
          <w:sz w:val="24"/>
          <w:szCs w:val="20"/>
          <w:lang w:val="es-ES_tradnl"/>
        </w:rPr>
        <w:t>el</w:t>
      </w:r>
      <w:r w:rsidR="00BF507D" w:rsidRPr="00EE003F">
        <w:rPr>
          <w:rFonts w:ascii="Arial Narrow" w:hAnsi="Arial Narrow"/>
          <w:sz w:val="24"/>
          <w:szCs w:val="24"/>
        </w:rPr>
        <w:t xml:space="preserve"> Informe P</w:t>
      </w:r>
      <w:r w:rsidR="006F2CE6" w:rsidRPr="00EE003F">
        <w:rPr>
          <w:rFonts w:ascii="Arial Narrow" w:hAnsi="Arial Narrow"/>
          <w:sz w:val="24"/>
          <w:szCs w:val="24"/>
        </w:rPr>
        <w:t>reelectoral Administración 2011-2016.</w:t>
      </w:r>
    </w:p>
    <w:p w:rsidR="00AE0DB2" w:rsidRPr="00EE003F" w:rsidRDefault="00AE0DB2" w:rsidP="00AE0DB2">
      <w:pPr>
        <w:suppressAutoHyphens/>
        <w:autoSpaceDE w:val="0"/>
        <w:autoSpaceDN w:val="0"/>
        <w:adjustRightInd w:val="0"/>
        <w:spacing w:before="113" w:after="113" w:line="288" w:lineRule="auto"/>
        <w:jc w:val="both"/>
        <w:textAlignment w:val="center"/>
        <w:rPr>
          <w:rFonts w:ascii="Arial Narrow" w:hAnsi="Arial Narrow" w:cs="Frutiger LT Std 45 Light"/>
          <w:sz w:val="20"/>
          <w:szCs w:val="20"/>
          <w:lang w:val="es-ES_tradnl"/>
        </w:rPr>
      </w:pPr>
      <w:r w:rsidRPr="00EE003F">
        <w:rPr>
          <w:rFonts w:ascii="Arial Narrow" w:hAnsi="Arial Narrow" w:cs="Frutiger LT Std 45 Light"/>
          <w:noProof/>
          <w:sz w:val="20"/>
          <w:szCs w:val="20"/>
          <w:lang w:eastAsia="es-PE"/>
        </w:rPr>
        <w:drawing>
          <wp:inline distT="0" distB="0" distL="0" distR="0" wp14:anchorId="6D91A976" wp14:editId="081F1426">
            <wp:extent cx="6362700" cy="4699856"/>
            <wp:effectExtent l="0" t="0" r="0" b="571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9365" cy="4704779"/>
                    </a:xfrm>
                    <a:prstGeom prst="rect">
                      <a:avLst/>
                    </a:prstGeom>
                    <a:noFill/>
                    <a:ln>
                      <a:noFill/>
                    </a:ln>
                  </pic:spPr>
                </pic:pic>
              </a:graphicData>
            </a:graphic>
          </wp:inline>
        </w:drawing>
      </w:r>
    </w:p>
    <w:p w:rsidR="00AE0DB2" w:rsidRPr="00EE003F" w:rsidRDefault="00AE0DB2" w:rsidP="006A18B3">
      <w:pPr>
        <w:pStyle w:val="Ttulo2"/>
        <w:jc w:val="left"/>
        <w:rPr>
          <w:rFonts w:asciiTheme="minorHAnsi" w:hAnsiTheme="minorHAnsi"/>
          <w:b w:val="0"/>
          <w:lang w:val="es-ES_tradnl"/>
        </w:rPr>
      </w:pPr>
      <w:bookmarkStart w:id="11" w:name="_Toc453004652"/>
      <w:r w:rsidRPr="00EE003F">
        <w:rPr>
          <w:rFonts w:asciiTheme="minorHAnsi" w:hAnsiTheme="minorHAnsi"/>
          <w:lang w:val="es-ES_tradnl"/>
        </w:rPr>
        <w:t>Articulación</w:t>
      </w:r>
      <w:bookmarkEnd w:id="11"/>
    </w:p>
    <w:p w:rsidR="00AE0DB2" w:rsidRPr="00EE003F" w:rsidRDefault="00AE0DB2"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El Plan Estratégico de Desarrollo Nacional Perú hacia el 2021 busca lograr la apropiación del documento por parte de todos los actores y sectores del país. Para ello </w:t>
      </w:r>
      <w:r w:rsidR="006F2CE6" w:rsidRPr="00EE003F">
        <w:rPr>
          <w:rFonts w:ascii="Arial Narrow" w:hAnsi="Arial Narrow" w:cs="Frutiger LT Std 45 Light"/>
          <w:sz w:val="24"/>
          <w:szCs w:val="20"/>
          <w:lang w:val="es-ES_tradnl"/>
        </w:rPr>
        <w:t xml:space="preserve">se desarrollará </w:t>
      </w:r>
      <w:r w:rsidRPr="00EE003F">
        <w:rPr>
          <w:rFonts w:ascii="Arial Narrow" w:hAnsi="Arial Narrow" w:cs="Frutiger LT Std 45 Light"/>
          <w:sz w:val="24"/>
          <w:szCs w:val="20"/>
          <w:lang w:val="es-ES_tradnl"/>
        </w:rPr>
        <w:t xml:space="preserve"> un amplio proceso de comunicación y difusión, a través de todas las estrategias de comunicación disponibles</w:t>
      </w:r>
      <w:r w:rsidR="003355B7" w:rsidRPr="00EE003F">
        <w:rPr>
          <w:rFonts w:ascii="Arial Narrow" w:hAnsi="Arial Narrow" w:cs="Frutiger LT Std 45 Light"/>
          <w:sz w:val="24"/>
          <w:szCs w:val="20"/>
          <w:lang w:val="es-ES_tradnl"/>
        </w:rPr>
        <w:t xml:space="preserve"> a fin de lograr la apropiación por parte de la sociedad civil</w:t>
      </w:r>
      <w:r w:rsidRPr="00EE003F">
        <w:rPr>
          <w:rFonts w:ascii="Arial Narrow" w:hAnsi="Arial Narrow" w:cs="Frutiger LT Std 45 Light"/>
          <w:sz w:val="24"/>
          <w:szCs w:val="20"/>
          <w:lang w:val="es-ES_tradnl"/>
        </w:rPr>
        <w:t xml:space="preserve">. Adicionalmente, </w:t>
      </w:r>
      <w:r w:rsidR="003355B7" w:rsidRPr="00EE003F">
        <w:rPr>
          <w:rFonts w:ascii="Arial Narrow" w:hAnsi="Arial Narrow" w:cs="Frutiger LT Std 45 Light"/>
          <w:sz w:val="24"/>
          <w:szCs w:val="20"/>
          <w:lang w:val="es-ES_tradnl"/>
        </w:rPr>
        <w:t>la apropiación sectorial, territorial e institucional se realizará a través del Sistema Nacional de Planeamiento y su relación con otros sistemas administrativos.</w:t>
      </w:r>
    </w:p>
    <w:p w:rsidR="00AE0DB2" w:rsidRPr="00EE003F" w:rsidRDefault="00AE0DB2" w:rsidP="00AE0DB2">
      <w:pPr>
        <w:suppressAutoHyphens/>
        <w:autoSpaceDE w:val="0"/>
        <w:autoSpaceDN w:val="0"/>
        <w:adjustRightInd w:val="0"/>
        <w:spacing w:before="113" w:after="113" w:line="288" w:lineRule="auto"/>
        <w:jc w:val="both"/>
        <w:textAlignment w:val="center"/>
        <w:rPr>
          <w:rFonts w:ascii="Arial Narrow" w:hAnsi="Arial Narrow" w:cs="Frutiger LT Std 45 Light"/>
          <w:sz w:val="20"/>
          <w:szCs w:val="20"/>
          <w:lang w:val="es-ES_tradnl"/>
        </w:rPr>
      </w:pPr>
      <w:r w:rsidRPr="00EE003F">
        <w:rPr>
          <w:rFonts w:ascii="Arial Narrow" w:hAnsi="Arial Narrow" w:cs="Frutiger LT Std 45 Light"/>
          <w:noProof/>
          <w:sz w:val="20"/>
          <w:szCs w:val="20"/>
          <w:lang w:eastAsia="es-PE"/>
        </w:rPr>
        <w:drawing>
          <wp:inline distT="0" distB="0" distL="0" distR="0" wp14:anchorId="2B54A815" wp14:editId="69C102E5">
            <wp:extent cx="4635500" cy="3061335"/>
            <wp:effectExtent l="0" t="0" r="0" b="571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5500" cy="3061335"/>
                    </a:xfrm>
                    <a:prstGeom prst="rect">
                      <a:avLst/>
                    </a:prstGeom>
                    <a:noFill/>
                    <a:ln>
                      <a:noFill/>
                    </a:ln>
                  </pic:spPr>
                </pic:pic>
              </a:graphicData>
            </a:graphic>
          </wp:inline>
        </w:drawing>
      </w:r>
    </w:p>
    <w:p w:rsidR="00AE0DB2" w:rsidRPr="00EE003F" w:rsidRDefault="00AE0DB2"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Para lograr la implementación del Plan Estratégico de Desarrollo Nacional Perú hacia el 2021 como herramienta orientadora del desarrollo nacional</w:t>
      </w:r>
      <w:r w:rsidR="00943874" w:rsidRPr="00EE003F">
        <w:rPr>
          <w:rFonts w:ascii="Arial Narrow" w:hAnsi="Arial Narrow" w:cs="Frutiger LT Std 45 Light"/>
          <w:sz w:val="24"/>
          <w:szCs w:val="20"/>
          <w:lang w:val="es-ES_tradnl"/>
        </w:rPr>
        <w:t>,</w:t>
      </w:r>
      <w:r w:rsidRPr="00EE003F">
        <w:rPr>
          <w:rFonts w:ascii="Arial Narrow" w:hAnsi="Arial Narrow" w:cs="Frutiger LT Std 45 Light"/>
          <w:sz w:val="24"/>
          <w:szCs w:val="20"/>
          <w:lang w:val="es-ES_tradnl"/>
        </w:rPr>
        <w:t xml:space="preserve"> se establece una vinculación funcional entre los objetivos nacionales, sectoriales y territoriales. P</w:t>
      </w:r>
      <w:r w:rsidR="003607AF" w:rsidRPr="00EE003F">
        <w:rPr>
          <w:rFonts w:ascii="Arial Narrow" w:hAnsi="Arial Narrow" w:cs="Frutiger LT Std 45 Light"/>
          <w:sz w:val="24"/>
          <w:szCs w:val="20"/>
          <w:lang w:val="es-ES_tradnl"/>
        </w:rPr>
        <w:t xml:space="preserve">ara este fin, </w:t>
      </w:r>
      <w:proofErr w:type="spellStart"/>
      <w:r w:rsidR="003607AF" w:rsidRPr="00EE003F">
        <w:rPr>
          <w:rFonts w:ascii="Arial Narrow" w:hAnsi="Arial Narrow" w:cs="Frutiger LT Std 45 Light"/>
          <w:sz w:val="24"/>
          <w:szCs w:val="20"/>
          <w:lang w:val="es-ES_tradnl"/>
        </w:rPr>
        <w:t>C</w:t>
      </w:r>
      <w:r w:rsidR="00943874" w:rsidRPr="00EE003F">
        <w:rPr>
          <w:rFonts w:ascii="Arial Narrow" w:hAnsi="Arial Narrow" w:cs="Frutiger LT Std 45 Light"/>
          <w:sz w:val="24"/>
          <w:szCs w:val="20"/>
          <w:lang w:val="es-ES_tradnl"/>
        </w:rPr>
        <w:t>eplan</w:t>
      </w:r>
      <w:proofErr w:type="spellEnd"/>
      <w:r w:rsidR="003607AF" w:rsidRPr="00EE003F">
        <w:rPr>
          <w:rFonts w:ascii="Arial Narrow" w:hAnsi="Arial Narrow" w:cs="Frutiger LT Std 45 Light"/>
          <w:sz w:val="24"/>
          <w:szCs w:val="20"/>
          <w:lang w:val="es-ES_tradnl"/>
        </w:rPr>
        <w:t xml:space="preserve"> ha formula</w:t>
      </w:r>
      <w:r w:rsidRPr="00EE003F">
        <w:rPr>
          <w:rFonts w:ascii="Arial Narrow" w:hAnsi="Arial Narrow" w:cs="Frutiger LT Std 45 Light"/>
          <w:sz w:val="24"/>
          <w:szCs w:val="20"/>
          <w:lang w:val="es-ES_tradnl"/>
        </w:rPr>
        <w:t>do la Directiva General del Proceso de Planeamiento Estratégico</w:t>
      </w:r>
      <w:r w:rsidR="003355B7" w:rsidRPr="00EE003F">
        <w:rPr>
          <w:rFonts w:ascii="Arial Narrow" w:hAnsi="Arial Narrow" w:cs="Frutiger LT Std 45 Light"/>
          <w:sz w:val="24"/>
          <w:szCs w:val="20"/>
          <w:lang w:val="es-ES_tradnl"/>
        </w:rPr>
        <w:t xml:space="preserve"> y sus guías metodológicas</w:t>
      </w:r>
      <w:r w:rsidRPr="00EE003F">
        <w:rPr>
          <w:rFonts w:ascii="Arial Narrow" w:hAnsi="Arial Narrow" w:cs="Frutiger LT Std 45 Light"/>
          <w:sz w:val="24"/>
          <w:szCs w:val="20"/>
          <w:lang w:val="es-ES_tradnl"/>
        </w:rPr>
        <w:t>, la</w:t>
      </w:r>
      <w:r w:rsidR="003355B7" w:rsidRPr="00EE003F">
        <w:rPr>
          <w:rFonts w:ascii="Arial Narrow" w:hAnsi="Arial Narrow" w:cs="Frutiger LT Std 45 Light"/>
          <w:sz w:val="24"/>
          <w:szCs w:val="20"/>
          <w:lang w:val="es-ES_tradnl"/>
        </w:rPr>
        <w:t>s</w:t>
      </w:r>
      <w:r w:rsidRPr="00EE003F">
        <w:rPr>
          <w:rFonts w:ascii="Arial Narrow" w:hAnsi="Arial Narrow" w:cs="Frutiger LT Std 45 Light"/>
          <w:sz w:val="24"/>
          <w:szCs w:val="20"/>
          <w:lang w:val="es-ES_tradnl"/>
        </w:rPr>
        <w:t xml:space="preserve"> cual</w:t>
      </w:r>
      <w:r w:rsidR="003355B7" w:rsidRPr="00EE003F">
        <w:rPr>
          <w:rFonts w:ascii="Arial Narrow" w:hAnsi="Arial Narrow" w:cs="Frutiger LT Std 45 Light"/>
          <w:sz w:val="24"/>
          <w:szCs w:val="20"/>
          <w:lang w:val="es-ES_tradnl"/>
        </w:rPr>
        <w:t>es</w:t>
      </w:r>
      <w:r w:rsidRPr="00EE003F">
        <w:rPr>
          <w:rFonts w:ascii="Arial Narrow" w:hAnsi="Arial Narrow" w:cs="Frutiger LT Std 45 Light"/>
          <w:sz w:val="24"/>
          <w:szCs w:val="20"/>
          <w:lang w:val="es-ES_tradnl"/>
        </w:rPr>
        <w:t xml:space="preserve"> desarrolla</w:t>
      </w:r>
      <w:r w:rsidR="003355B7" w:rsidRPr="00EE003F">
        <w:rPr>
          <w:rFonts w:ascii="Arial Narrow" w:hAnsi="Arial Narrow" w:cs="Frutiger LT Std 45 Light"/>
          <w:sz w:val="24"/>
          <w:szCs w:val="20"/>
          <w:lang w:val="es-ES_tradnl"/>
        </w:rPr>
        <w:t>n</w:t>
      </w:r>
      <w:r w:rsidRPr="00EE003F">
        <w:rPr>
          <w:rFonts w:ascii="Arial Narrow" w:hAnsi="Arial Narrow" w:cs="Frutiger LT Std 45 Light"/>
          <w:sz w:val="24"/>
          <w:szCs w:val="20"/>
          <w:lang w:val="es-ES_tradnl"/>
        </w:rPr>
        <w:t xml:space="preserve"> metodología</w:t>
      </w:r>
      <w:r w:rsidR="003355B7" w:rsidRPr="00EE003F">
        <w:rPr>
          <w:rFonts w:ascii="Arial Narrow" w:hAnsi="Arial Narrow" w:cs="Frutiger LT Std 45 Light"/>
          <w:sz w:val="24"/>
          <w:szCs w:val="20"/>
          <w:lang w:val="es-ES_tradnl"/>
        </w:rPr>
        <w:t>s</w:t>
      </w:r>
      <w:r w:rsidRPr="00EE003F">
        <w:rPr>
          <w:rFonts w:ascii="Arial Narrow" w:hAnsi="Arial Narrow" w:cs="Frutiger LT Std 45 Light"/>
          <w:sz w:val="24"/>
          <w:szCs w:val="20"/>
          <w:lang w:val="es-ES_tradnl"/>
        </w:rPr>
        <w:t xml:space="preserve"> aplicable</w:t>
      </w:r>
      <w:r w:rsidR="003355B7" w:rsidRPr="00EE003F">
        <w:rPr>
          <w:rFonts w:ascii="Arial Narrow" w:hAnsi="Arial Narrow" w:cs="Frutiger LT Std 45 Light"/>
          <w:sz w:val="24"/>
          <w:szCs w:val="20"/>
          <w:lang w:val="es-ES_tradnl"/>
        </w:rPr>
        <w:t>s</w:t>
      </w:r>
      <w:r w:rsidRPr="00EE003F">
        <w:rPr>
          <w:rFonts w:ascii="Arial Narrow" w:hAnsi="Arial Narrow" w:cs="Frutiger LT Std 45 Light"/>
          <w:sz w:val="24"/>
          <w:szCs w:val="20"/>
          <w:lang w:val="es-ES_tradnl"/>
        </w:rPr>
        <w:t xml:space="preserve"> al sector público, conteniendo principios, normas, procedimientos, técnicas e instrumentos que orientan y regulan el proceso de planeamiento estratégico. </w:t>
      </w:r>
    </w:p>
    <w:p w:rsidR="00AE0DB2" w:rsidRPr="00EE003F" w:rsidRDefault="00AE0DB2"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La directiva tiene por finalidad que la gestión de las entidades de la administración pública sea coherente</w:t>
      </w:r>
      <w:r w:rsidR="003355B7" w:rsidRPr="00EE003F">
        <w:rPr>
          <w:rFonts w:ascii="Arial Narrow" w:hAnsi="Arial Narrow" w:cs="Frutiger LT Std 45 Light"/>
          <w:sz w:val="24"/>
          <w:szCs w:val="20"/>
          <w:lang w:val="es-ES_tradnl"/>
        </w:rPr>
        <w:t xml:space="preserve"> </w:t>
      </w:r>
      <w:r w:rsidR="00943874" w:rsidRPr="00EE003F">
        <w:rPr>
          <w:rFonts w:ascii="Arial Narrow" w:hAnsi="Arial Narrow" w:cs="Frutiger LT Std 45 Light"/>
          <w:sz w:val="24"/>
          <w:szCs w:val="20"/>
          <w:lang w:val="es-ES_tradnl"/>
        </w:rPr>
        <w:t xml:space="preserve">y se encuentre </w:t>
      </w:r>
      <w:r w:rsidRPr="00EE003F">
        <w:rPr>
          <w:rFonts w:ascii="Arial Narrow" w:hAnsi="Arial Narrow" w:cs="Frutiger LT Std 45 Light"/>
          <w:sz w:val="24"/>
          <w:szCs w:val="20"/>
          <w:lang w:val="es-ES_tradnl"/>
        </w:rPr>
        <w:t>alineada al Plan Estratégico de Desarrollo Nacional</w:t>
      </w:r>
      <w:r w:rsidR="00943874" w:rsidRPr="00EE003F">
        <w:rPr>
          <w:rFonts w:ascii="Arial Narrow" w:hAnsi="Arial Narrow" w:cs="Frutiger LT Std 45 Light"/>
          <w:sz w:val="24"/>
          <w:szCs w:val="20"/>
          <w:lang w:val="es-ES_tradnl"/>
        </w:rPr>
        <w:t xml:space="preserve">  así como que el SINAPLAN esté vinculado al Sistema Nacional de Presupuesto Público.</w:t>
      </w:r>
    </w:p>
    <w:p w:rsidR="00AE0DB2" w:rsidRPr="00EE003F" w:rsidRDefault="00943874"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La directiva</w:t>
      </w:r>
      <w:r w:rsidR="00AE0DB2" w:rsidRPr="00EE003F">
        <w:rPr>
          <w:rFonts w:ascii="Arial Narrow" w:hAnsi="Arial Narrow" w:cs="Frutiger LT Std 45 Light"/>
          <w:sz w:val="24"/>
          <w:szCs w:val="20"/>
          <w:lang w:val="es-ES_tradnl"/>
        </w:rPr>
        <w:t xml:space="preserve"> reconoce al planeamiento estratégico como un proceso que permite tomar decisiones sobre la base de objetivos y rutas estratégicas a través del pensamiento orientado al futuro y la anticipación estratégica, para lo cual, establece las siguientes fases del proceso de planeamiento estratégico:</w:t>
      </w:r>
    </w:p>
    <w:p w:rsidR="00876481" w:rsidRPr="00EE003F" w:rsidRDefault="005E582A" w:rsidP="00AE0DB2">
      <w:pPr>
        <w:suppressAutoHyphens/>
        <w:autoSpaceDE w:val="0"/>
        <w:autoSpaceDN w:val="0"/>
        <w:adjustRightInd w:val="0"/>
        <w:spacing w:before="113" w:after="113" w:line="288"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noProof/>
          <w:sz w:val="20"/>
          <w:szCs w:val="20"/>
          <w:lang w:eastAsia="es-PE"/>
        </w:rPr>
        <w:drawing>
          <wp:inline distT="0" distB="0" distL="0" distR="0" wp14:anchorId="2C990028" wp14:editId="04A7C6C4">
            <wp:extent cx="4373245" cy="3975735"/>
            <wp:effectExtent l="0" t="0" r="8255" b="571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245" cy="3975735"/>
                    </a:xfrm>
                    <a:prstGeom prst="rect">
                      <a:avLst/>
                    </a:prstGeom>
                    <a:noFill/>
                    <a:ln>
                      <a:noFill/>
                    </a:ln>
                  </pic:spPr>
                </pic:pic>
              </a:graphicData>
            </a:graphic>
          </wp:inline>
        </w:drawing>
      </w:r>
    </w:p>
    <w:p w:rsidR="005D7526" w:rsidRPr="00EE003F" w:rsidRDefault="005D7526"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El PEDN guía de manera central el proceso de planeamiento estratégico, que busca lograr los objetivos estratégicos establecidos, mediante un proceso sistémico construido sobre el análisis continuo de la situación actual y del pensamiento orientado al futuro, generando información para la toma de decisiones acertadas.</w:t>
      </w:r>
    </w:p>
    <w:p w:rsidR="005D7526" w:rsidRPr="00EE003F" w:rsidRDefault="005D7526"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Las políticas nacionales y sectoriales contenidas en el PEDN, deben tener una aplicación en el territorio, debiendo estar las políticas territoriales alineadas a estas.</w:t>
      </w:r>
    </w:p>
    <w:p w:rsidR="005627AB" w:rsidRPr="00EE003F" w:rsidRDefault="00F420DD"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Se debe tener en cuenta la articulación del proceso de planeamiento estratégico con el proceso presupuestario, el cual involucra el Presupuesto por Resultados (</w:t>
      </w:r>
      <w:proofErr w:type="spellStart"/>
      <w:r w:rsidRPr="00EE003F">
        <w:rPr>
          <w:rFonts w:ascii="Arial Narrow" w:hAnsi="Arial Narrow" w:cs="Frutiger LT Std 45 Light"/>
          <w:sz w:val="24"/>
          <w:szCs w:val="24"/>
          <w:lang w:val="es-ES_tradnl"/>
        </w:rPr>
        <w:t>PpR</w:t>
      </w:r>
      <w:proofErr w:type="spellEnd"/>
      <w:r w:rsidRPr="00EE003F">
        <w:rPr>
          <w:rFonts w:ascii="Arial Narrow" w:hAnsi="Arial Narrow" w:cs="Frutiger LT Std 45 Light"/>
          <w:sz w:val="24"/>
          <w:szCs w:val="24"/>
          <w:lang w:val="es-ES_tradnl"/>
        </w:rPr>
        <w:t>) y sus instrumentos, especialmente con los programas presupuestales cuyos resultados específicos contribuyen a los resultados finales vinculados a los objetivos estratégicos contenidos en el PEDN. En ese sentido, el CEPLAN actualizará, en coordinación con el Ministerio de Economía y Finanzas (MEF), el marco metodológico y la Directiva General del Proceso de Planeamiento Estratégico de tal forma que se optimice la articulación entre el planeamiento estratégico y el marco metodológico que regula los programas presupuestales.</w:t>
      </w:r>
    </w:p>
    <w:p w:rsidR="005E582A" w:rsidRPr="00EE003F" w:rsidRDefault="005E582A"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El proceso de planeamiento estratégico es participativo</w:t>
      </w:r>
      <w:r w:rsidR="004B3E83" w:rsidRPr="00EE003F">
        <w:rPr>
          <w:rFonts w:ascii="Arial Narrow" w:hAnsi="Arial Narrow" w:cs="Frutiger LT Std 45 Light"/>
          <w:sz w:val="24"/>
          <w:szCs w:val="24"/>
          <w:lang w:val="es-ES_tradnl"/>
        </w:rPr>
        <w:t>, p</w:t>
      </w:r>
      <w:r w:rsidRPr="00EE003F">
        <w:rPr>
          <w:rFonts w:ascii="Arial Narrow" w:hAnsi="Arial Narrow" w:cs="Frutiger LT Std 45 Light"/>
          <w:sz w:val="24"/>
          <w:szCs w:val="24"/>
          <w:lang w:val="es-ES_tradnl"/>
        </w:rPr>
        <w:t>or cuanto se reconoce que para construir un futuro común se requiere la participación de diversos actores y la suma de sus esfuerzos, que permitan alcanzar los objetivos planteados.</w:t>
      </w:r>
    </w:p>
    <w:p w:rsidR="005E582A" w:rsidRPr="00EE003F" w:rsidRDefault="004B3E83"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La arquitectura de </w:t>
      </w:r>
      <w:r w:rsidR="004965A4" w:rsidRPr="00EE003F">
        <w:rPr>
          <w:rFonts w:ascii="Arial Narrow" w:hAnsi="Arial Narrow" w:cs="Frutiger LT Std 45 Light"/>
          <w:sz w:val="24"/>
          <w:szCs w:val="24"/>
          <w:lang w:val="es-ES_tradnl"/>
        </w:rPr>
        <w:t>articulación</w:t>
      </w:r>
      <w:r w:rsidRPr="00EE003F">
        <w:rPr>
          <w:rFonts w:ascii="Arial Narrow" w:hAnsi="Arial Narrow" w:cs="Frutiger LT Std 45 Light"/>
          <w:sz w:val="24"/>
          <w:szCs w:val="24"/>
          <w:lang w:val="es-ES_tradnl"/>
        </w:rPr>
        <w:t xml:space="preserve"> de los objetivos nacionales identificados en el PEDN con el resto del SINAPLAN se encuentra desarrollada en la Directiva General de Planeamiento Estratégico</w:t>
      </w:r>
      <w:r w:rsidR="004965A4" w:rsidRPr="00EE003F">
        <w:rPr>
          <w:rFonts w:ascii="Arial Narrow" w:hAnsi="Arial Narrow" w:cs="Frutiger LT Std 45 Light"/>
          <w:sz w:val="24"/>
          <w:szCs w:val="24"/>
          <w:lang w:val="es-ES_tradnl"/>
        </w:rPr>
        <w:t xml:space="preserve">. En dicha </w:t>
      </w:r>
      <w:r w:rsidR="005E582A" w:rsidRPr="00EE003F">
        <w:rPr>
          <w:rFonts w:ascii="Arial Narrow" w:hAnsi="Arial Narrow" w:cs="Frutiger LT Std 45 Light"/>
          <w:sz w:val="24"/>
          <w:szCs w:val="24"/>
          <w:lang w:val="es-ES_tradnl"/>
        </w:rPr>
        <w:t>directiva se establecen los ámbitos en los cuales se va</w:t>
      </w:r>
      <w:r w:rsidR="004965A4" w:rsidRPr="00EE003F">
        <w:rPr>
          <w:rFonts w:ascii="Arial Narrow" w:hAnsi="Arial Narrow" w:cs="Frutiger LT Std 45 Light"/>
          <w:sz w:val="24"/>
          <w:szCs w:val="24"/>
          <w:lang w:val="es-ES_tradnl"/>
        </w:rPr>
        <w:t>n</w:t>
      </w:r>
      <w:r w:rsidR="005E582A" w:rsidRPr="00EE003F">
        <w:rPr>
          <w:rFonts w:ascii="Arial Narrow" w:hAnsi="Arial Narrow" w:cs="Frutiger LT Std 45 Light"/>
          <w:sz w:val="24"/>
          <w:szCs w:val="24"/>
          <w:lang w:val="es-ES_tradnl"/>
        </w:rPr>
        <w:t xml:space="preserve"> a realizar </w:t>
      </w:r>
      <w:r w:rsidR="004965A4" w:rsidRPr="00EE003F">
        <w:rPr>
          <w:rFonts w:ascii="Arial Narrow" w:hAnsi="Arial Narrow" w:cs="Frutiger LT Std 45 Light"/>
          <w:sz w:val="24"/>
          <w:szCs w:val="24"/>
          <w:lang w:val="es-ES_tradnl"/>
        </w:rPr>
        <w:t xml:space="preserve">las </w:t>
      </w:r>
      <w:r w:rsidR="005E582A" w:rsidRPr="00EE003F">
        <w:rPr>
          <w:rFonts w:ascii="Arial Narrow" w:hAnsi="Arial Narrow" w:cs="Frutiger LT Std 45 Light"/>
          <w:sz w:val="24"/>
          <w:szCs w:val="24"/>
          <w:lang w:val="es-ES_tradnl"/>
        </w:rPr>
        <w:t>fases del proceso de planeamiento estratégico</w:t>
      </w:r>
      <w:r w:rsidR="004965A4" w:rsidRPr="00EE003F">
        <w:rPr>
          <w:rFonts w:ascii="Arial Narrow" w:hAnsi="Arial Narrow" w:cs="Frutiger LT Std 45 Light"/>
          <w:sz w:val="24"/>
          <w:szCs w:val="24"/>
          <w:lang w:val="es-ES_tradnl"/>
        </w:rPr>
        <w:t>, c</w:t>
      </w:r>
      <w:r w:rsidR="005E582A" w:rsidRPr="00EE003F">
        <w:rPr>
          <w:rFonts w:ascii="Arial Narrow" w:hAnsi="Arial Narrow" w:cs="Frutiger LT Std 45 Light"/>
          <w:sz w:val="24"/>
          <w:szCs w:val="24"/>
          <w:lang w:val="es-ES_tradnl"/>
        </w:rPr>
        <w:t>onforme se muestra en el siguiente cuadro:</w:t>
      </w:r>
    </w:p>
    <w:p w:rsidR="005E582A" w:rsidRPr="00EE003F" w:rsidRDefault="005E582A" w:rsidP="005E582A">
      <w:pPr>
        <w:suppressAutoHyphens/>
        <w:autoSpaceDE w:val="0"/>
        <w:autoSpaceDN w:val="0"/>
        <w:adjustRightInd w:val="0"/>
        <w:spacing w:before="113" w:after="113" w:line="288" w:lineRule="auto"/>
        <w:jc w:val="both"/>
        <w:textAlignment w:val="center"/>
        <w:rPr>
          <w:rFonts w:ascii="Arial Narrow" w:hAnsi="Arial Narrow" w:cs="Frutiger LT Std 45 Light"/>
          <w:sz w:val="20"/>
          <w:szCs w:val="20"/>
          <w:lang w:val="es-ES_tradnl"/>
        </w:rPr>
      </w:pPr>
      <w:r w:rsidRPr="00EE003F">
        <w:rPr>
          <w:rFonts w:ascii="Arial Narrow" w:hAnsi="Arial Narrow" w:cs="Frutiger LT Std 45 Light"/>
          <w:noProof/>
          <w:sz w:val="20"/>
          <w:szCs w:val="20"/>
          <w:lang w:eastAsia="es-PE"/>
        </w:rPr>
        <w:drawing>
          <wp:inline distT="0" distB="0" distL="0" distR="0" wp14:anchorId="33810494" wp14:editId="77995E28">
            <wp:extent cx="4445000" cy="27432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5000" cy="2743200"/>
                    </a:xfrm>
                    <a:prstGeom prst="rect">
                      <a:avLst/>
                    </a:prstGeom>
                    <a:noFill/>
                    <a:ln>
                      <a:noFill/>
                    </a:ln>
                  </pic:spPr>
                </pic:pic>
              </a:graphicData>
            </a:graphic>
          </wp:inline>
        </w:drawing>
      </w:r>
    </w:p>
    <w:p w:rsidR="005E582A" w:rsidRPr="00EE003F" w:rsidRDefault="005E582A"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Por otro lado, se busca que todas las entidades de la administración pública, orienten sus esfuerzos a alcanzar los objetivos formulados de manera armónica, consolidando los objetivos nacionales contenidos en el Plan Estratégico de Desarrollo Nacional Perú hacia el 2021. </w:t>
      </w:r>
    </w:p>
    <w:p w:rsidR="005E582A" w:rsidRPr="00EE003F" w:rsidRDefault="005E582A" w:rsidP="00963BCA">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En este sentido, se establece un mecanismo de articulación a través de los objetivos, indicadores y metas, entendido como el aporte que brinda el objetivo planteado por la institución, gobierno local, gobierno regional o sectores, al logro del objetivo nacional. </w:t>
      </w:r>
    </w:p>
    <w:p w:rsidR="005E582A" w:rsidRPr="00EE003F" w:rsidRDefault="005E582A"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Este mecanismo de articulación, se desarrolla en el siguiente diagrama: </w:t>
      </w:r>
    </w:p>
    <w:p w:rsidR="00BF507D" w:rsidRPr="00EE003F" w:rsidRDefault="00BF507D"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p>
    <w:p w:rsidR="00AE0DB2" w:rsidRPr="00EE003F" w:rsidRDefault="005E582A" w:rsidP="008D0CB9">
      <w:pPr>
        <w:spacing w:after="0" w:line="240" w:lineRule="auto"/>
        <w:jc w:val="both"/>
        <w:rPr>
          <w:rFonts w:ascii="Arial Narrow" w:hAnsi="Arial Narrow"/>
          <w:sz w:val="32"/>
          <w:szCs w:val="32"/>
        </w:rPr>
      </w:pPr>
      <w:r w:rsidRPr="00EE003F">
        <w:rPr>
          <w:rFonts w:ascii="Arial Narrow" w:hAnsi="Arial Narrow"/>
          <w:noProof/>
          <w:sz w:val="32"/>
          <w:szCs w:val="32"/>
          <w:lang w:eastAsia="es-PE"/>
        </w:rPr>
        <w:drawing>
          <wp:inline distT="0" distB="0" distL="0" distR="0" wp14:anchorId="51BE0DCE" wp14:editId="0324799F">
            <wp:extent cx="4253865" cy="2456815"/>
            <wp:effectExtent l="0" t="0" r="0" b="63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3865" cy="2456815"/>
                    </a:xfrm>
                    <a:prstGeom prst="rect">
                      <a:avLst/>
                    </a:prstGeom>
                    <a:noFill/>
                    <a:ln>
                      <a:noFill/>
                    </a:ln>
                  </pic:spPr>
                </pic:pic>
              </a:graphicData>
            </a:graphic>
          </wp:inline>
        </w:drawing>
      </w:r>
    </w:p>
    <w:p w:rsidR="005E582A" w:rsidRPr="00EE003F" w:rsidRDefault="005E582A" w:rsidP="008D0CB9">
      <w:pPr>
        <w:spacing w:after="0" w:line="240" w:lineRule="auto"/>
        <w:jc w:val="both"/>
        <w:rPr>
          <w:rFonts w:ascii="Arial Narrow" w:hAnsi="Arial Narrow"/>
          <w:sz w:val="32"/>
          <w:szCs w:val="32"/>
        </w:rPr>
      </w:pPr>
    </w:p>
    <w:p w:rsidR="005E582A" w:rsidRPr="00EE003F" w:rsidRDefault="005E582A"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El proceso de implementación de la propuesta metodológica y normativa planteada en la Directiva ha de ser progresivo, enfatizado por el rol orientador del CEPLAN</w:t>
      </w:r>
      <w:r w:rsidR="004965A4" w:rsidRPr="00EE003F">
        <w:rPr>
          <w:rFonts w:ascii="Arial Narrow" w:hAnsi="Arial Narrow" w:cs="Frutiger LT Std 45 Light"/>
          <w:sz w:val="24"/>
          <w:szCs w:val="20"/>
          <w:lang w:val="es-ES_tradnl"/>
        </w:rPr>
        <w:t>,</w:t>
      </w:r>
      <w:r w:rsidRPr="00EE003F">
        <w:rPr>
          <w:rFonts w:ascii="Arial Narrow" w:hAnsi="Arial Narrow" w:cs="Frutiger LT Std 45 Light"/>
          <w:sz w:val="24"/>
          <w:szCs w:val="20"/>
          <w:lang w:val="es-ES_tradnl"/>
        </w:rPr>
        <w:t xml:space="preserve"> asegurando el alineamiento, coherencia e integración  de los  planes elaborados en los tres niveles del gobierno (nacional, regional y local). </w:t>
      </w:r>
    </w:p>
    <w:p w:rsidR="005E582A" w:rsidRPr="00EE003F" w:rsidRDefault="004965A4"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E</w:t>
      </w:r>
      <w:r w:rsidR="005E582A" w:rsidRPr="00EE003F">
        <w:rPr>
          <w:rFonts w:ascii="Arial Narrow" w:hAnsi="Arial Narrow" w:cs="Frutiger LT Std 45 Light"/>
          <w:sz w:val="24"/>
          <w:szCs w:val="20"/>
          <w:lang w:val="es-ES_tradnl"/>
        </w:rPr>
        <w:t>l proceso de planeamiento estratégico planteado, incluye una revisión continua del plan estratégico formulado, utilizando para ello</w:t>
      </w:r>
      <w:r w:rsidRPr="00EE003F">
        <w:rPr>
          <w:rFonts w:ascii="Arial Narrow" w:hAnsi="Arial Narrow" w:cs="Frutiger LT Std 45 Light"/>
          <w:sz w:val="24"/>
          <w:szCs w:val="20"/>
          <w:lang w:val="es-ES_tradnl"/>
        </w:rPr>
        <w:t xml:space="preserve"> el </w:t>
      </w:r>
      <w:r w:rsidR="005E582A" w:rsidRPr="00EE003F">
        <w:rPr>
          <w:rFonts w:ascii="Arial Narrow" w:hAnsi="Arial Narrow" w:cs="Frutiger LT Std 45 Light"/>
          <w:sz w:val="24"/>
          <w:szCs w:val="20"/>
          <w:lang w:val="es-ES_tradnl"/>
        </w:rPr>
        <w:t>Informe de Análisis Estratégico, el que se elabora con la finalidad de presentar información sobre el avance en el logro de los objetivos estratégicos establecidos, así como el comportamiento de los riesgos y oportunidades.</w:t>
      </w:r>
    </w:p>
    <w:p w:rsidR="008F2112" w:rsidRPr="00EE003F" w:rsidRDefault="004965A4" w:rsidP="00BF507D">
      <w:pPr>
        <w:spacing w:before="120" w:after="0" w:line="240" w:lineRule="auto"/>
        <w:rPr>
          <w:rFonts w:ascii="Arial Narrow" w:hAnsi="Arial Narrow" w:cs="Frutiger LT Std 45 Light"/>
          <w:sz w:val="20"/>
          <w:szCs w:val="20"/>
        </w:rPr>
      </w:pPr>
      <w:r w:rsidRPr="00EE003F">
        <w:rPr>
          <w:rFonts w:ascii="Arial Narrow" w:hAnsi="Arial Narrow" w:cs="Frutiger LT Std 45 Light"/>
          <w:sz w:val="24"/>
          <w:szCs w:val="20"/>
          <w:lang w:val="es-ES_tradnl"/>
        </w:rPr>
        <w:t xml:space="preserve">Las herramientas del proceso de planeamiento estratégico, permiten anticiparse a los </w:t>
      </w:r>
      <w:r w:rsidR="005E582A" w:rsidRPr="00EE003F">
        <w:rPr>
          <w:rFonts w:ascii="Arial Narrow" w:hAnsi="Arial Narrow" w:cs="Frutiger LT Std 45 Light"/>
          <w:sz w:val="24"/>
          <w:szCs w:val="20"/>
          <w:lang w:val="es-ES_tradnl"/>
        </w:rPr>
        <w:t xml:space="preserve">acontecimientos futuros y brinda a los documentos de gestión generados, la flexibilidad necesaria para alcanzar los objetivos propuestos. </w:t>
      </w:r>
      <w:r w:rsidR="008F2112" w:rsidRPr="00EE003F">
        <w:rPr>
          <w:rFonts w:ascii="Arial Narrow" w:hAnsi="Arial Narrow" w:cs="Frutiger LT Std 45 Light"/>
          <w:sz w:val="20"/>
          <w:szCs w:val="20"/>
        </w:rPr>
        <w:br w:type="page"/>
      </w:r>
    </w:p>
    <w:p w:rsidR="005E582A" w:rsidRPr="00EE003F" w:rsidRDefault="00DD4530" w:rsidP="009054AC">
      <w:pPr>
        <w:pStyle w:val="Ttulo1"/>
        <w:jc w:val="center"/>
        <w:rPr>
          <w:rStyle w:val="Ttulo2Car"/>
        </w:rPr>
      </w:pPr>
      <w:bookmarkStart w:id="12" w:name="_Toc453004653"/>
      <w:r w:rsidRPr="00EE003F">
        <w:rPr>
          <w:rFonts w:ascii="Arial Narrow" w:hAnsi="Arial Narrow"/>
          <w:b/>
          <w:sz w:val="32"/>
          <w:szCs w:val="32"/>
        </w:rPr>
        <w:t xml:space="preserve">CAPITULO </w:t>
      </w:r>
      <w:r w:rsidR="001E0D19" w:rsidRPr="00EE003F">
        <w:rPr>
          <w:rFonts w:ascii="Arial Narrow" w:hAnsi="Arial Narrow"/>
          <w:b/>
          <w:sz w:val="32"/>
          <w:szCs w:val="32"/>
        </w:rPr>
        <w:t>[3]</w:t>
      </w:r>
      <w:r w:rsidR="001E0D19" w:rsidRPr="00EE003F">
        <w:rPr>
          <w:rFonts w:ascii="Arial Narrow" w:hAnsi="Arial Narrow"/>
          <w:b/>
          <w:sz w:val="32"/>
          <w:szCs w:val="32"/>
        </w:rPr>
        <w:br/>
      </w:r>
      <w:r w:rsidR="005E582A" w:rsidRPr="00EE003F">
        <w:rPr>
          <w:rStyle w:val="Ttulo2Car"/>
        </w:rPr>
        <w:t xml:space="preserve">La </w:t>
      </w:r>
      <w:r w:rsidR="000E421A" w:rsidRPr="00EE003F">
        <w:rPr>
          <w:rStyle w:val="Ttulo2Car"/>
        </w:rPr>
        <w:t xml:space="preserve">Competitividad y </w:t>
      </w:r>
      <w:r w:rsidR="005E582A" w:rsidRPr="00EE003F">
        <w:rPr>
          <w:rStyle w:val="Ttulo2Car"/>
        </w:rPr>
        <w:t xml:space="preserve">Diversificación </w:t>
      </w:r>
      <w:r w:rsidR="000E421A" w:rsidRPr="00EE003F">
        <w:rPr>
          <w:rStyle w:val="Ttulo2Car"/>
        </w:rPr>
        <w:t>de la Economía</w:t>
      </w:r>
      <w:r w:rsidR="002F5F1D" w:rsidRPr="00EE003F">
        <w:rPr>
          <w:rStyle w:val="Ttulo2Car"/>
        </w:rPr>
        <w:t>.</w:t>
      </w:r>
      <w:bookmarkEnd w:id="12"/>
    </w:p>
    <w:p w:rsidR="00DD4530" w:rsidRPr="00EE003F" w:rsidRDefault="00DD4530" w:rsidP="001E0D19">
      <w:pPr>
        <w:spacing w:after="0" w:line="240" w:lineRule="auto"/>
        <w:jc w:val="center"/>
        <w:rPr>
          <w:rFonts w:ascii="Arial Narrow" w:hAnsi="Arial Narrow"/>
          <w:b/>
          <w:sz w:val="32"/>
          <w:szCs w:val="32"/>
        </w:rPr>
      </w:pPr>
    </w:p>
    <w:p w:rsidR="005E582A" w:rsidRPr="00EE003F" w:rsidRDefault="005E582A" w:rsidP="004843F2">
      <w:pPr>
        <w:pStyle w:val="Ttulo2"/>
        <w:jc w:val="left"/>
        <w:rPr>
          <w:rFonts w:asciiTheme="minorHAnsi" w:hAnsiTheme="minorHAnsi"/>
          <w:lang w:val="es-ES_tradnl"/>
        </w:rPr>
      </w:pPr>
      <w:bookmarkStart w:id="13" w:name="_Toc453004654"/>
      <w:r w:rsidRPr="00EE003F">
        <w:rPr>
          <w:rFonts w:asciiTheme="minorHAnsi" w:hAnsiTheme="minorHAnsi"/>
          <w:lang w:val="es-ES_tradnl"/>
        </w:rPr>
        <w:t>Diagnóstico de la economía peruana</w:t>
      </w:r>
      <w:bookmarkEnd w:id="13"/>
    </w:p>
    <w:p w:rsidR="005E582A" w:rsidRPr="00EE003F" w:rsidRDefault="00593A17"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Desde el</w:t>
      </w:r>
      <w:r w:rsidR="005E582A" w:rsidRPr="00EE003F">
        <w:rPr>
          <w:rFonts w:ascii="Arial Narrow" w:hAnsi="Arial Narrow" w:cs="Frutiger LT Std 45 Light"/>
          <w:sz w:val="24"/>
          <w:szCs w:val="24"/>
          <w:lang w:val="es-ES_tradnl"/>
        </w:rPr>
        <w:t xml:space="preserve"> año 2003 el Perú ha sido un ejemplo en la región debido a su buen desempeño </w:t>
      </w:r>
      <w:r w:rsidR="0047318E" w:rsidRPr="00EE003F">
        <w:rPr>
          <w:rFonts w:ascii="Arial Narrow" w:hAnsi="Arial Narrow" w:cs="Frutiger LT Std 45 Light"/>
          <w:sz w:val="24"/>
          <w:szCs w:val="24"/>
          <w:lang w:val="es-ES_tradnl"/>
        </w:rPr>
        <w:t>m</w:t>
      </w:r>
      <w:r w:rsidR="005E582A" w:rsidRPr="00EE003F">
        <w:rPr>
          <w:rFonts w:ascii="Arial Narrow" w:hAnsi="Arial Narrow" w:cs="Frutiger LT Std 45 Light"/>
          <w:sz w:val="24"/>
          <w:szCs w:val="24"/>
          <w:lang w:val="es-ES_tradnl"/>
        </w:rPr>
        <w:t xml:space="preserve">acroeconómico, que le ha valido un crecimiento promedio de </w:t>
      </w:r>
      <w:r w:rsidR="008A7CA1" w:rsidRPr="00EE003F">
        <w:rPr>
          <w:rFonts w:ascii="Arial Narrow" w:hAnsi="Arial Narrow" w:cs="Frutiger LT Std 45 Light"/>
          <w:sz w:val="24"/>
          <w:szCs w:val="24"/>
          <w:lang w:val="es-ES_tradnl"/>
        </w:rPr>
        <w:t>5.8</w:t>
      </w:r>
      <w:r w:rsidR="005E582A" w:rsidRPr="00EE003F">
        <w:rPr>
          <w:rFonts w:ascii="Arial Narrow" w:hAnsi="Arial Narrow" w:cs="Frutiger LT Std 45 Light"/>
          <w:sz w:val="24"/>
          <w:szCs w:val="24"/>
          <w:lang w:val="es-ES_tradnl"/>
        </w:rPr>
        <w:t>% en la última década</w:t>
      </w:r>
      <w:r w:rsidRPr="00EE003F">
        <w:rPr>
          <w:rFonts w:ascii="Arial Narrow" w:hAnsi="Arial Narrow" w:cs="Frutiger LT Std 45 Light"/>
          <w:sz w:val="24"/>
          <w:szCs w:val="24"/>
          <w:lang w:val="es-ES_tradnl"/>
        </w:rPr>
        <w:t>. S</w:t>
      </w:r>
      <w:r w:rsidR="005E582A" w:rsidRPr="00EE003F">
        <w:rPr>
          <w:rFonts w:ascii="Arial Narrow" w:hAnsi="Arial Narrow" w:cs="Frutiger LT Std 45 Light"/>
          <w:sz w:val="24"/>
          <w:szCs w:val="24"/>
          <w:lang w:val="es-ES_tradnl"/>
        </w:rPr>
        <w:t xml:space="preserve">in embargo no hemos dejado de ser una economía fuertemente influenciada por los efectos globales, un ejemplo de ello son los impactos que sufrió nuestra economía en las últimas décadas producto de la crisis financieras </w:t>
      </w:r>
      <w:r w:rsidR="00017AC5" w:rsidRPr="00EE003F">
        <w:rPr>
          <w:rFonts w:ascii="Arial Narrow" w:hAnsi="Arial Narrow" w:cs="Frutiger LT Std 45 Light"/>
          <w:sz w:val="24"/>
          <w:szCs w:val="24"/>
          <w:lang w:val="es-ES_tradnl"/>
        </w:rPr>
        <w:t xml:space="preserve">de </w:t>
      </w:r>
      <w:r w:rsidR="005E582A" w:rsidRPr="00EE003F">
        <w:rPr>
          <w:rFonts w:ascii="Arial Narrow" w:hAnsi="Arial Narrow" w:cs="Frutiger LT Std 45 Light"/>
          <w:sz w:val="24"/>
          <w:szCs w:val="24"/>
          <w:lang w:val="es-ES_tradnl"/>
        </w:rPr>
        <w:t xml:space="preserve">1997 y de </w:t>
      </w:r>
      <w:r w:rsidR="00F241F4" w:rsidRPr="00EE003F">
        <w:rPr>
          <w:rFonts w:ascii="Arial Narrow" w:hAnsi="Arial Narrow" w:cs="Frutiger LT Std 45 Light"/>
          <w:sz w:val="24"/>
          <w:szCs w:val="24"/>
          <w:lang w:val="es-ES_tradnl"/>
        </w:rPr>
        <w:t>2008</w:t>
      </w:r>
      <w:r w:rsidR="005E582A" w:rsidRPr="00EE003F">
        <w:rPr>
          <w:rFonts w:ascii="Arial Narrow" w:hAnsi="Arial Narrow" w:cs="Frutiger LT Std 45 Light"/>
          <w:sz w:val="24"/>
          <w:szCs w:val="24"/>
          <w:lang w:val="es-ES_tradnl"/>
        </w:rPr>
        <w:t>.</w:t>
      </w:r>
    </w:p>
    <w:p w:rsidR="002D02CF" w:rsidRPr="00EE003F" w:rsidRDefault="000B655D" w:rsidP="009E7D5C">
      <w:pPr>
        <w:suppressAutoHyphens/>
        <w:autoSpaceDE w:val="0"/>
        <w:autoSpaceDN w:val="0"/>
        <w:adjustRightInd w:val="0"/>
        <w:spacing w:before="113" w:after="113"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noProof/>
          <w:spacing w:val="2"/>
          <w:sz w:val="24"/>
          <w:szCs w:val="20"/>
          <w:lang w:eastAsia="es-PE"/>
        </w:rPr>
        <w:drawing>
          <wp:inline distT="0" distB="0" distL="0" distR="0" wp14:anchorId="295A7DD0" wp14:editId="0F995F1F">
            <wp:extent cx="5428098" cy="281940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8098" cy="2819400"/>
                    </a:xfrm>
                    <a:prstGeom prst="rect">
                      <a:avLst/>
                    </a:prstGeom>
                    <a:noFill/>
                    <a:ln>
                      <a:noFill/>
                    </a:ln>
                  </pic:spPr>
                </pic:pic>
              </a:graphicData>
            </a:graphic>
          </wp:inline>
        </w:drawing>
      </w:r>
    </w:p>
    <w:p w:rsidR="005E582A" w:rsidRPr="00EE003F" w:rsidRDefault="002D02CF"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A pesar de la desaceleración mundial, la productividad total de factores y la productividad laboral  en el Perú han mostrado importantes tasas de crecimiento</w:t>
      </w:r>
      <w:r w:rsidR="00A8797E" w:rsidRPr="00EE003F">
        <w:rPr>
          <w:rStyle w:val="Refdenotaalpie"/>
          <w:rFonts w:ascii="Arial Narrow" w:hAnsi="Arial Narrow" w:cs="Frutiger LT Std 45 Light"/>
          <w:sz w:val="24"/>
          <w:szCs w:val="24"/>
          <w:lang w:val="es-ES_tradnl"/>
        </w:rPr>
        <w:footnoteReference w:id="3"/>
      </w:r>
      <w:r w:rsidRPr="00EE003F">
        <w:rPr>
          <w:rFonts w:ascii="Arial Narrow" w:hAnsi="Arial Narrow" w:cs="Frutiger LT Std 45 Light"/>
          <w:sz w:val="24"/>
          <w:szCs w:val="24"/>
          <w:lang w:val="es-ES_tradnl"/>
        </w:rPr>
        <w:t xml:space="preserve">; sin embargo, </w:t>
      </w:r>
      <w:r w:rsidR="00504B1C" w:rsidRPr="00EE003F">
        <w:rPr>
          <w:rFonts w:ascii="Arial Narrow" w:hAnsi="Arial Narrow" w:cs="Frutiger LT Std 45 Light"/>
          <w:sz w:val="24"/>
          <w:szCs w:val="24"/>
          <w:lang w:val="es-ES_tradnl"/>
        </w:rPr>
        <w:t>persiste</w:t>
      </w:r>
      <w:r w:rsidRPr="00EE003F">
        <w:rPr>
          <w:rFonts w:ascii="Arial Narrow" w:hAnsi="Arial Narrow" w:cs="Frutiger LT Std 45 Light"/>
          <w:sz w:val="24"/>
          <w:szCs w:val="24"/>
          <w:lang w:val="es-ES_tradnl"/>
        </w:rPr>
        <w:t xml:space="preserve"> el </w:t>
      </w:r>
      <w:r w:rsidR="005E582A" w:rsidRPr="00EE003F">
        <w:rPr>
          <w:rFonts w:ascii="Arial Narrow" w:hAnsi="Arial Narrow" w:cs="Frutiger LT Std 45 Light"/>
          <w:sz w:val="24"/>
          <w:szCs w:val="24"/>
          <w:lang w:val="es-ES_tradnl"/>
        </w:rPr>
        <w:t xml:space="preserve">reto de </w:t>
      </w:r>
      <w:r w:rsidRPr="00EE003F">
        <w:rPr>
          <w:rFonts w:ascii="Arial Narrow" w:hAnsi="Arial Narrow" w:cs="Frutiger LT Std 45 Light"/>
          <w:sz w:val="24"/>
          <w:szCs w:val="24"/>
          <w:lang w:val="es-ES_tradnl"/>
        </w:rPr>
        <w:t xml:space="preserve">mantener y </w:t>
      </w:r>
      <w:r w:rsidR="005E582A" w:rsidRPr="00EE003F">
        <w:rPr>
          <w:rFonts w:ascii="Arial Narrow" w:hAnsi="Arial Narrow" w:cs="Frutiger LT Std 45 Light"/>
          <w:sz w:val="24"/>
          <w:szCs w:val="24"/>
          <w:lang w:val="es-ES_tradnl"/>
        </w:rPr>
        <w:t>elevar la productividad agregada</w:t>
      </w:r>
      <w:r w:rsidRPr="00EE003F">
        <w:rPr>
          <w:rFonts w:ascii="Arial Narrow" w:hAnsi="Arial Narrow" w:cs="Frutiger LT Std 45 Light"/>
          <w:sz w:val="24"/>
          <w:szCs w:val="24"/>
          <w:lang w:val="es-ES_tradnl"/>
        </w:rPr>
        <w:t xml:space="preserve"> y</w:t>
      </w:r>
      <w:r w:rsidR="005E582A" w:rsidRPr="00EE003F">
        <w:rPr>
          <w:rFonts w:ascii="Arial Narrow" w:hAnsi="Arial Narrow" w:cs="Frutiger LT Std 45 Light"/>
          <w:sz w:val="24"/>
          <w:szCs w:val="24"/>
          <w:lang w:val="es-ES_tradnl"/>
        </w:rPr>
        <w:t xml:space="preserve"> </w:t>
      </w:r>
      <w:r w:rsidRPr="00EE003F">
        <w:rPr>
          <w:rFonts w:ascii="Arial Narrow" w:hAnsi="Arial Narrow" w:cs="Frutiger LT Std 45 Light"/>
          <w:sz w:val="24"/>
          <w:szCs w:val="24"/>
          <w:lang w:val="es-ES_tradnl"/>
        </w:rPr>
        <w:t xml:space="preserve">de </w:t>
      </w:r>
      <w:r w:rsidR="005E582A" w:rsidRPr="00EE003F">
        <w:rPr>
          <w:rFonts w:ascii="Arial Narrow" w:hAnsi="Arial Narrow" w:cs="Frutiger LT Std 45 Light"/>
          <w:sz w:val="24"/>
          <w:szCs w:val="24"/>
          <w:lang w:val="es-ES_tradnl"/>
        </w:rPr>
        <w:t>reducir las amplias brechas de productividad existentes entre regiones, entre sectores económicos y entre empresas de una misma industria</w:t>
      </w:r>
      <w:r w:rsidRPr="00EE003F">
        <w:rPr>
          <w:rFonts w:ascii="Arial Narrow" w:hAnsi="Arial Narrow" w:cs="Frutiger LT Std 45 Light"/>
          <w:sz w:val="24"/>
          <w:szCs w:val="24"/>
          <w:lang w:val="es-ES_tradnl"/>
        </w:rPr>
        <w:t>, a pesar del nuevo entorno internacional desfavorable</w:t>
      </w:r>
      <w:r w:rsidR="005E582A" w:rsidRPr="00EE003F">
        <w:rPr>
          <w:rFonts w:ascii="Arial Narrow" w:hAnsi="Arial Narrow" w:cs="Frutiger LT Std 45 Light"/>
          <w:sz w:val="24"/>
          <w:szCs w:val="24"/>
          <w:lang w:val="es-ES_tradnl"/>
        </w:rPr>
        <w:t>.</w:t>
      </w:r>
    </w:p>
    <w:p w:rsidR="005E582A" w:rsidRPr="00EE003F" w:rsidRDefault="005E582A"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El Perú ha experimentado un incremento de la población económicamente activa (PEA). Este incremento se acompañó también con altos niveles de empleabilidad en la última década. Sin embargo, una característica persistente del mercado laboral son las altas tasas de empleo informal, concentrado en actividades de baja productividad. </w:t>
      </w:r>
    </w:p>
    <w:p w:rsidR="007C78E7" w:rsidRPr="00EE003F" w:rsidRDefault="007C78E7"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Por el lado de la oferta laboral, el </w:t>
      </w:r>
      <w:r w:rsidR="00274A10" w:rsidRPr="00EE003F">
        <w:rPr>
          <w:rFonts w:ascii="Arial Narrow" w:hAnsi="Arial Narrow" w:cs="Frutiger LT Std 45 Light"/>
          <w:sz w:val="24"/>
          <w:szCs w:val="24"/>
          <w:lang w:val="es-ES_tradnl"/>
        </w:rPr>
        <w:t>69</w:t>
      </w:r>
      <w:r w:rsidRPr="00EE003F">
        <w:rPr>
          <w:rFonts w:ascii="Arial Narrow" w:hAnsi="Arial Narrow" w:cs="Frutiger LT Std 45 Light"/>
          <w:sz w:val="24"/>
          <w:szCs w:val="24"/>
          <w:lang w:val="es-ES_tradnl"/>
        </w:rPr>
        <w:t>,</w:t>
      </w:r>
      <w:r w:rsidR="00274A10" w:rsidRPr="00EE003F">
        <w:rPr>
          <w:rFonts w:ascii="Arial Narrow" w:hAnsi="Arial Narrow" w:cs="Frutiger LT Std 45 Light"/>
          <w:sz w:val="24"/>
          <w:szCs w:val="24"/>
          <w:lang w:val="es-ES_tradnl"/>
        </w:rPr>
        <w:t>5</w:t>
      </w:r>
      <w:r w:rsidRPr="00EE003F">
        <w:rPr>
          <w:rFonts w:ascii="Arial Narrow" w:hAnsi="Arial Narrow" w:cs="Frutiger LT Std 45 Light"/>
          <w:sz w:val="24"/>
          <w:szCs w:val="24"/>
          <w:lang w:val="es-ES_tradnl"/>
        </w:rPr>
        <w:t>% de la PEA total concentra personas que no tienen estudios superiores</w:t>
      </w:r>
      <w:r w:rsidRPr="00EE003F">
        <w:rPr>
          <w:rStyle w:val="Refdenotaalpie"/>
          <w:rFonts w:ascii="Arial Narrow" w:hAnsi="Arial Narrow" w:cs="Frutiger LT Std 45 Light"/>
          <w:sz w:val="24"/>
          <w:szCs w:val="24"/>
          <w:lang w:val="es-ES_tradnl"/>
        </w:rPr>
        <w:footnoteReference w:id="4"/>
      </w:r>
      <w:r w:rsidRPr="00EE003F">
        <w:rPr>
          <w:rFonts w:ascii="Arial Narrow" w:hAnsi="Arial Narrow" w:cs="Frutiger LT Std 45 Light"/>
          <w:sz w:val="24"/>
          <w:szCs w:val="24"/>
          <w:lang w:val="es-ES_tradnl"/>
        </w:rPr>
        <w:t>. De esta manera el bajo nivel educativo se define como uno de los limitantes de la productividad y de la capacidad de diversificación económica.</w:t>
      </w:r>
    </w:p>
    <w:p w:rsidR="005E582A" w:rsidRPr="00EE003F" w:rsidRDefault="000813CD"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rPr>
      </w:pPr>
      <w:r w:rsidRPr="00EE003F">
        <w:rPr>
          <w:rFonts w:ascii="Arial Narrow" w:hAnsi="Arial Narrow" w:cs="Frutiger LT Std 45 Light"/>
          <w:sz w:val="24"/>
          <w:szCs w:val="24"/>
          <w:lang w:val="es-ES_tradnl"/>
        </w:rPr>
        <w:t>A pesar de</w:t>
      </w:r>
      <w:r w:rsidR="004F28FF" w:rsidRPr="00EE003F">
        <w:rPr>
          <w:rFonts w:ascii="Arial Narrow" w:hAnsi="Arial Narrow" w:cs="Frutiger LT Std 45 Light"/>
          <w:sz w:val="24"/>
          <w:szCs w:val="24"/>
          <w:lang w:val="es-ES_tradnl"/>
        </w:rPr>
        <w:t xml:space="preserve"> </w:t>
      </w:r>
      <w:r w:rsidRPr="00EE003F">
        <w:rPr>
          <w:rFonts w:ascii="Arial Narrow" w:hAnsi="Arial Narrow" w:cs="Frutiger LT Std 45 Light"/>
          <w:sz w:val="24"/>
          <w:szCs w:val="24"/>
          <w:lang w:val="es-ES_tradnl"/>
        </w:rPr>
        <w:t>los avances en la mejor</w:t>
      </w:r>
      <w:r w:rsidR="00963BCA" w:rsidRPr="00EE003F">
        <w:rPr>
          <w:rFonts w:ascii="Arial Narrow" w:hAnsi="Arial Narrow" w:cs="Frutiger LT Std 45 Light"/>
          <w:sz w:val="24"/>
          <w:szCs w:val="24"/>
          <w:lang w:val="es-ES_tradnl"/>
        </w:rPr>
        <w:t>a de las políticas de inclusión</w:t>
      </w:r>
      <w:r w:rsidRPr="00EE003F">
        <w:rPr>
          <w:rFonts w:ascii="Arial Narrow" w:hAnsi="Arial Narrow" w:cs="Frutiger LT Std 45 Light"/>
          <w:sz w:val="24"/>
          <w:szCs w:val="24"/>
          <w:lang w:val="es-ES_tradnl"/>
        </w:rPr>
        <w:t xml:space="preserve"> social implementadas en los últimos años, aun se requiere </w:t>
      </w:r>
      <w:r w:rsidR="00B73787" w:rsidRPr="00EE003F">
        <w:rPr>
          <w:rFonts w:ascii="Arial Narrow" w:hAnsi="Arial Narrow" w:cs="Frutiger LT Std 45 Light"/>
          <w:sz w:val="24"/>
          <w:szCs w:val="24"/>
          <w:lang w:val="es-ES_tradnl"/>
        </w:rPr>
        <w:t>perfeccionar el marco institucional</w:t>
      </w:r>
      <w:r w:rsidR="00B73787" w:rsidRPr="00EE003F" w:rsidDel="00B73787">
        <w:rPr>
          <w:rFonts w:ascii="Arial Narrow" w:hAnsi="Arial Narrow" w:cs="Frutiger LT Std 45 Light"/>
          <w:sz w:val="24"/>
          <w:szCs w:val="24"/>
          <w:lang w:val="es-ES_tradnl"/>
        </w:rPr>
        <w:t xml:space="preserve"> </w:t>
      </w:r>
      <w:r w:rsidRPr="00EE003F">
        <w:rPr>
          <w:rFonts w:ascii="Arial Narrow" w:hAnsi="Arial Narrow" w:cs="Frutiger LT Std 45 Light"/>
          <w:sz w:val="24"/>
          <w:szCs w:val="24"/>
          <w:lang w:val="es-ES_tradnl"/>
        </w:rPr>
        <w:t>a fin de terminar de integrar en el crecimiento económico a un mayor porcentaje de la población</w:t>
      </w:r>
      <w:r w:rsidR="004F28FF" w:rsidRPr="00EE003F">
        <w:rPr>
          <w:rFonts w:ascii="Arial Narrow" w:hAnsi="Arial Narrow" w:cs="Frutiger LT Std 45 Light"/>
          <w:sz w:val="24"/>
          <w:szCs w:val="24"/>
          <w:lang w:val="es-ES_tradnl"/>
        </w:rPr>
        <w:t xml:space="preserve"> a fin que </w:t>
      </w:r>
      <w:r w:rsidR="005E582A" w:rsidRPr="00EE003F">
        <w:rPr>
          <w:rFonts w:ascii="Arial Narrow" w:hAnsi="Arial Narrow" w:cs="Frutiger LT Std 45 Light"/>
          <w:sz w:val="24"/>
          <w:szCs w:val="24"/>
          <w:lang w:val="es-ES_tradnl"/>
        </w:rPr>
        <w:t xml:space="preserve">alcancen niveles similares en materia de ingresos, oportunidades y calidad de vida. </w:t>
      </w:r>
    </w:p>
    <w:p w:rsidR="005E582A" w:rsidRPr="00EE003F" w:rsidRDefault="005E582A"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En su diagnóstico de crecimiento para el Perú, </w:t>
      </w:r>
      <w:proofErr w:type="spellStart"/>
      <w:r w:rsidRPr="00EE003F">
        <w:rPr>
          <w:rFonts w:ascii="Arial Narrow" w:hAnsi="Arial Narrow" w:cs="Frutiger LT Std 45 Light"/>
          <w:sz w:val="24"/>
          <w:szCs w:val="24"/>
          <w:lang w:val="es-ES_tradnl"/>
        </w:rPr>
        <w:t>Hausmann</w:t>
      </w:r>
      <w:proofErr w:type="spellEnd"/>
      <w:r w:rsidRPr="00EE003F">
        <w:rPr>
          <w:rFonts w:ascii="Arial Narrow" w:hAnsi="Arial Narrow" w:cs="Frutiger LT Std 45 Light"/>
          <w:sz w:val="24"/>
          <w:szCs w:val="24"/>
          <w:lang w:val="es-ES_tradnl"/>
        </w:rPr>
        <w:t xml:space="preserve"> y </w:t>
      </w:r>
      <w:proofErr w:type="spellStart"/>
      <w:r w:rsidRPr="00EE003F">
        <w:rPr>
          <w:rFonts w:ascii="Arial Narrow" w:hAnsi="Arial Narrow" w:cs="Frutiger LT Std 45 Light"/>
          <w:sz w:val="24"/>
          <w:szCs w:val="24"/>
          <w:lang w:val="es-ES_tradnl"/>
        </w:rPr>
        <w:t>Klinger</w:t>
      </w:r>
      <w:proofErr w:type="spellEnd"/>
      <w:r w:rsidRPr="00EE003F">
        <w:rPr>
          <w:rFonts w:ascii="Arial Narrow" w:hAnsi="Arial Narrow" w:cs="Frutiger LT Std 45 Light"/>
          <w:sz w:val="24"/>
          <w:szCs w:val="24"/>
          <w:lang w:val="es-ES_tradnl"/>
        </w:rPr>
        <w:t xml:space="preserve"> (2008) indican que la evolución de la economía peruana en las últimas décadas ha estado determinada por la recuperación de la inversión en el sector minero-energético.</w:t>
      </w:r>
      <w:r w:rsidR="002D1004" w:rsidRPr="00EE003F">
        <w:rPr>
          <w:rFonts w:ascii="Arial Narrow" w:hAnsi="Arial Narrow" w:cs="Frutiger LT Std 45 Light"/>
          <w:sz w:val="24"/>
          <w:szCs w:val="24"/>
          <w:lang w:val="es-ES_tradnl"/>
        </w:rPr>
        <w:t xml:space="preserve"> </w:t>
      </w:r>
      <w:r w:rsidRPr="00EE003F">
        <w:rPr>
          <w:rFonts w:ascii="Arial Narrow" w:hAnsi="Arial Narrow" w:cs="Frutiger LT Std 45 Light"/>
          <w:sz w:val="24"/>
          <w:szCs w:val="24"/>
          <w:lang w:val="es-ES_tradnl"/>
        </w:rPr>
        <w:t>En consecuencia, al tener una canasta exportadora bastante concentrada en productos tradicionales, la caída y recuperación económicas han estado muy correlacionadas con la caída y recuperación de los términos de intercambio. El avance de productos tecnificados ha sido bajo. En 2010, las exportaciones peruanas continuaban teniendo, en promedio, el bajo nivel de sofisticación que tenían en 1972</w:t>
      </w:r>
      <w:r w:rsidR="00D14A43" w:rsidRPr="00EE003F">
        <w:rPr>
          <w:rFonts w:ascii="Arial Narrow" w:hAnsi="Arial Narrow" w:cs="Frutiger LT Std 45 Light"/>
          <w:sz w:val="24"/>
          <w:szCs w:val="24"/>
          <w:lang w:val="es-ES_tradnl"/>
        </w:rPr>
        <w:t xml:space="preserve">, de acuerdo a la metodología de complejidad económica de </w:t>
      </w:r>
      <w:proofErr w:type="spellStart"/>
      <w:r w:rsidR="00D14A43" w:rsidRPr="00EE003F">
        <w:rPr>
          <w:rFonts w:ascii="Arial Narrow" w:hAnsi="Arial Narrow" w:cs="Frutiger LT Std 45 Light"/>
          <w:sz w:val="24"/>
          <w:szCs w:val="24"/>
          <w:lang w:val="es-ES_tradnl"/>
        </w:rPr>
        <w:t>Haussman</w:t>
      </w:r>
      <w:proofErr w:type="spellEnd"/>
      <w:r w:rsidRPr="00EE003F">
        <w:rPr>
          <w:rFonts w:ascii="Arial Narrow" w:hAnsi="Arial Narrow" w:cs="Frutiger LT Std 45 Light"/>
          <w:sz w:val="24"/>
          <w:szCs w:val="24"/>
          <w:lang w:val="es-ES_tradnl"/>
        </w:rPr>
        <w:t>.</w:t>
      </w:r>
    </w:p>
    <w:p w:rsidR="00331D25" w:rsidRPr="00EE003F" w:rsidRDefault="002D1004" w:rsidP="00BF507D">
      <w:pPr>
        <w:pStyle w:val="BasicParagraph"/>
        <w:suppressAutoHyphens/>
        <w:spacing w:before="113" w:line="240" w:lineRule="auto"/>
        <w:jc w:val="both"/>
        <w:rPr>
          <w:rFonts w:ascii="Arial Narrow" w:hAnsi="Arial Narrow" w:cs="Frutiger LT Std 45 Light"/>
          <w:color w:val="auto"/>
          <w:spacing w:val="2"/>
        </w:rPr>
      </w:pPr>
      <w:r w:rsidRPr="00EE003F">
        <w:rPr>
          <w:rFonts w:ascii="Arial Narrow" w:hAnsi="Arial Narrow" w:cs="Frutiger LT Std 45 Light"/>
          <w:color w:val="auto"/>
          <w:spacing w:val="2"/>
        </w:rPr>
        <w:t>U</w:t>
      </w:r>
      <w:r w:rsidR="00331D25" w:rsidRPr="00EE003F">
        <w:rPr>
          <w:rFonts w:ascii="Arial Narrow" w:hAnsi="Arial Narrow" w:cs="Frutiger LT Std 45 Light"/>
          <w:color w:val="auto"/>
          <w:spacing w:val="2"/>
        </w:rPr>
        <w:t>n aspecto importante a destacar, es la alta correlación del crecimiento peruano con el acelerado crecimiento de los precios de los metales de las últimas dos décadas, periodo que ha sido denominado como el súper ciclo de los m</w:t>
      </w:r>
      <w:r w:rsidR="00D14A43" w:rsidRPr="00EE003F">
        <w:rPr>
          <w:rFonts w:ascii="Arial Narrow" w:hAnsi="Arial Narrow" w:cs="Frutiger LT Std 45 Light"/>
          <w:color w:val="auto"/>
          <w:spacing w:val="2"/>
        </w:rPr>
        <w:t>e</w:t>
      </w:r>
      <w:r w:rsidR="00331D25" w:rsidRPr="00EE003F">
        <w:rPr>
          <w:rFonts w:ascii="Arial Narrow" w:hAnsi="Arial Narrow" w:cs="Frutiger LT Std 45 Light"/>
          <w:color w:val="auto"/>
          <w:spacing w:val="2"/>
        </w:rPr>
        <w:t>tales</w:t>
      </w:r>
      <w:r w:rsidR="007A6C61" w:rsidRPr="00EE003F">
        <w:rPr>
          <w:rStyle w:val="Refdenotaalpie"/>
          <w:rFonts w:ascii="Arial Narrow" w:hAnsi="Arial Narrow" w:cs="Frutiger LT Std 45 Light"/>
          <w:color w:val="auto"/>
          <w:spacing w:val="2"/>
        </w:rPr>
        <w:footnoteReference w:id="5"/>
      </w:r>
      <w:r w:rsidR="00331D25" w:rsidRPr="00EE003F">
        <w:rPr>
          <w:rFonts w:ascii="Arial Narrow" w:hAnsi="Arial Narrow" w:cs="Frutiger LT Std 45 Light"/>
          <w:color w:val="auto"/>
          <w:spacing w:val="2"/>
        </w:rPr>
        <w:t xml:space="preserve">. Este ciclo favorable de altos precios de los minerales (que se inició entre finales de los noventa e inicios de la década del 2000), favoreció de manera importante al Perú por la elevación del volumen exportado, así como por el valor de los mismos. A modo de ejemplo, los precios del cobre y del oro crecieron entre los años 2000 y 2011, </w:t>
      </w:r>
      <w:r w:rsidRPr="00EE003F">
        <w:rPr>
          <w:rFonts w:ascii="Arial Narrow" w:hAnsi="Arial Narrow" w:cs="Frutiger LT Std 45 Light"/>
          <w:color w:val="auto"/>
          <w:spacing w:val="2"/>
        </w:rPr>
        <w:t xml:space="preserve">alrededor de </w:t>
      </w:r>
      <w:r w:rsidR="00331D25" w:rsidRPr="00EE003F">
        <w:rPr>
          <w:rFonts w:ascii="Arial Narrow" w:hAnsi="Arial Narrow" w:cs="Frutiger LT Std 45 Light"/>
          <w:color w:val="auto"/>
          <w:spacing w:val="2"/>
        </w:rPr>
        <w:t>46</w:t>
      </w:r>
      <w:r w:rsidRPr="00EE003F">
        <w:rPr>
          <w:rFonts w:ascii="Arial Narrow" w:hAnsi="Arial Narrow" w:cs="Frutiger LT Std 45 Light"/>
          <w:color w:val="auto"/>
          <w:spacing w:val="2"/>
        </w:rPr>
        <w:t>0</w:t>
      </w:r>
      <w:r w:rsidR="00331D25" w:rsidRPr="00EE003F">
        <w:rPr>
          <w:rFonts w:ascii="Arial Narrow" w:hAnsi="Arial Narrow" w:cs="Frutiger LT Std 45 Light"/>
          <w:color w:val="auto"/>
          <w:spacing w:val="2"/>
        </w:rPr>
        <w:t>% y 38</w:t>
      </w:r>
      <w:r w:rsidRPr="00EE003F">
        <w:rPr>
          <w:rFonts w:ascii="Arial Narrow" w:hAnsi="Arial Narrow" w:cs="Frutiger LT Std 45 Light"/>
          <w:color w:val="auto"/>
          <w:spacing w:val="2"/>
        </w:rPr>
        <w:t>0</w:t>
      </w:r>
      <w:r w:rsidR="00331D25" w:rsidRPr="00EE003F">
        <w:rPr>
          <w:rFonts w:ascii="Arial Narrow" w:hAnsi="Arial Narrow" w:cs="Frutiger LT Std 45 Light"/>
          <w:color w:val="auto"/>
          <w:spacing w:val="2"/>
        </w:rPr>
        <w:t>% respectivamente.</w:t>
      </w:r>
    </w:p>
    <w:p w:rsidR="00E41F0E" w:rsidRPr="00EE003F" w:rsidRDefault="00E24220" w:rsidP="00E24220">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 xml:space="preserve">El crecimiento de la economía peruana se produjo en gran medida por el extraordinario dinamismo de la inversión privada, ante las mejores condiciones internacionales, entre ellas el mayor crecimiento mundial, los mayores precios de las materias primas, los cuales han tenido efecto en los sectores productivos de la economía. </w:t>
      </w:r>
      <w:r w:rsidRPr="00EE003F">
        <w:rPr>
          <w:rFonts w:ascii="Arial Narrow" w:hAnsi="Arial Narrow"/>
          <w:noProof/>
          <w:lang w:eastAsia="es-PE"/>
        </w:rPr>
        <w:t>Asimismo, el MEF a través del  MMM 2017-2019</w:t>
      </w:r>
      <w:r w:rsidRPr="00EE003F">
        <w:rPr>
          <w:rFonts w:ascii="Arial Narrow" w:hAnsi="Arial Narrow" w:cs="Frutiger LT Std 45 Light"/>
          <w:spacing w:val="2"/>
          <w:sz w:val="24"/>
          <w:szCs w:val="24"/>
          <w:lang w:val="es-ES_tradnl"/>
        </w:rPr>
        <w:t xml:space="preserve"> afirma (</w:t>
      </w:r>
      <w:proofErr w:type="spellStart"/>
      <w:r w:rsidRPr="00EE003F">
        <w:rPr>
          <w:rFonts w:ascii="Arial Narrow" w:hAnsi="Arial Narrow" w:cs="Frutiger LT Std 45 Light"/>
          <w:spacing w:val="2"/>
          <w:sz w:val="24"/>
          <w:szCs w:val="24"/>
          <w:lang w:val="es-ES_tradnl"/>
        </w:rPr>
        <w:t>pg</w:t>
      </w:r>
      <w:proofErr w:type="spellEnd"/>
      <w:r w:rsidRPr="00EE003F">
        <w:rPr>
          <w:rFonts w:ascii="Arial Narrow" w:hAnsi="Arial Narrow" w:cs="Frutiger LT Std 45 Light"/>
          <w:spacing w:val="2"/>
          <w:sz w:val="24"/>
          <w:szCs w:val="24"/>
          <w:lang w:val="es-ES_tradnl"/>
        </w:rPr>
        <w:t xml:space="preserve"> 79): </w:t>
      </w:r>
      <w:r w:rsidRPr="00EE003F">
        <w:rPr>
          <w:rFonts w:ascii="Arial Narrow" w:hAnsi="Arial Narrow" w:cs="Frutiger LT Std 45 Light"/>
          <w:i/>
          <w:spacing w:val="2"/>
          <w:sz w:val="24"/>
          <w:szCs w:val="24"/>
          <w:lang w:val="es-ES_tradnl"/>
        </w:rPr>
        <w:t>“En este contexto, es importante mencionar que Perú es una economía pequeña, abierta y exportadora de materias primas y, por ende, se encuentra expuesta a cambios en el entorno internacional. De hecho, el 55% de la variabilidad del crecimiento en los últimos 20 años ha estado vinculado a la demanda mundial (10%), a los cambios en los precios de exportación (25%), a los costos de financiamiento externos (15%) y las primas por riesgo (5%).”</w:t>
      </w:r>
    </w:p>
    <w:p w:rsidR="00331D25" w:rsidRPr="00EE003F" w:rsidRDefault="00331D25" w:rsidP="00814C3E">
      <w:pPr>
        <w:suppressAutoHyphens/>
        <w:autoSpaceDE w:val="0"/>
        <w:autoSpaceDN w:val="0"/>
        <w:adjustRightInd w:val="0"/>
        <w:spacing w:before="113" w:after="113" w:line="240" w:lineRule="auto"/>
        <w:jc w:val="both"/>
        <w:textAlignment w:val="center"/>
        <w:rPr>
          <w:rFonts w:ascii="Arial Narrow" w:hAnsi="Arial Narrow" w:cs="Frutiger LT Std 45 Light"/>
          <w:spacing w:val="2"/>
          <w:sz w:val="20"/>
          <w:szCs w:val="20"/>
          <w:lang w:val="es-ES_tradnl"/>
        </w:rPr>
      </w:pPr>
    </w:p>
    <w:p w:rsidR="00B76555" w:rsidRPr="00EE003F" w:rsidRDefault="00A20359"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A pesar de lo antes señalado, la economía peruana puede verse como un caso exitoso de crecimiento económico y estabilidad macroeconómica pero al mismo tiempo, es una economía con una agenda pendiente en las variables que son más relevantes para un ciudadano con el importante reto de lograr una mayor sofisticación de su aparato productivo, para lo cual debe lograr una transformación de sus capacidades productivas que sea consistente con tasas de crecimiento altas en el largo plazo.</w:t>
      </w:r>
    </w:p>
    <w:p w:rsidR="001D011A" w:rsidRPr="00EE003F" w:rsidRDefault="00B76555"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Durante esta administración se han aprobado e iniciado la implementación de estrategias con enfoque multisectorial y sectorial, en respuesta a la necesidad de impulsar el crecimiento económico de mediano y largo plazo. Las principales estrategias son: la Agenda de Competitividad 2014-2018 y el Plan Nacional de Diversificación Productiva (PNDP), ambos bajo un enfoque multisectorial; en cuanto a las iniciativas sectoriales se encuentran el Plan Estratégico Nacional Exportador (PENX 2025) y el Plan Estratégico Nacional de Turismo PENTUR 2021), que promueven la promoción del sector exportador y turístico,  respectivamente.</w:t>
      </w:r>
    </w:p>
    <w:p w:rsidR="005822CE" w:rsidRPr="00EE003F" w:rsidRDefault="005822CE">
      <w:pPr>
        <w:rPr>
          <w:b/>
          <w:sz w:val="28"/>
          <w:lang w:val="es-ES_tradnl"/>
        </w:rPr>
      </w:pPr>
      <w:r w:rsidRPr="00EE003F">
        <w:rPr>
          <w:b/>
          <w:sz w:val="28"/>
          <w:lang w:val="es-ES_tradnl"/>
        </w:rPr>
        <w:br w:type="page"/>
      </w:r>
    </w:p>
    <w:p w:rsidR="00B76555" w:rsidRPr="00EE003F" w:rsidRDefault="001D011A" w:rsidP="005E582A">
      <w:pPr>
        <w:suppressAutoHyphens/>
        <w:autoSpaceDE w:val="0"/>
        <w:autoSpaceDN w:val="0"/>
        <w:adjustRightInd w:val="0"/>
        <w:spacing w:before="850" w:after="113" w:line="288" w:lineRule="auto"/>
        <w:ind w:left="283" w:hanging="283"/>
        <w:jc w:val="both"/>
        <w:textAlignment w:val="center"/>
        <w:rPr>
          <w:rFonts w:ascii="Arial Narrow" w:hAnsi="Arial Narrow" w:cs="RotisSemiSans"/>
          <w:sz w:val="40"/>
          <w:szCs w:val="40"/>
          <w:lang w:val="es-ES_tradnl"/>
        </w:rPr>
      </w:pPr>
      <w:r w:rsidRPr="00EE003F">
        <w:rPr>
          <w:b/>
          <w:sz w:val="28"/>
          <w:lang w:val="es-ES_tradnl"/>
        </w:rPr>
        <w:t xml:space="preserve">La Agenda de Competitividad </w:t>
      </w:r>
    </w:p>
    <w:p w:rsidR="004C7B33" w:rsidRPr="00EE003F" w:rsidRDefault="004C7B33"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La consecución de una población con mayores niveles de bienestar y el acceso equitativo a las oportunidades de empleo es el fin último de la competitividad. </w:t>
      </w:r>
    </w:p>
    <w:p w:rsidR="004C7B33" w:rsidRPr="00EE003F" w:rsidRDefault="004C7B33"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Las ganancias en la competitividad de un país se obtienen cuando el incremento de la productividad, basado en un capital humano adecuado y en tecnologías y conocimiento aprovechados, está acompañado por otros factores básicos como la fortaleza de sus instituciones o el acceso y calidad de su infraestructura pero, sobre todo, por la voluntad y confianza entre los actores para implementar una estrategia integral común. </w:t>
      </w:r>
    </w:p>
    <w:p w:rsidR="003500D9" w:rsidRPr="00EE003F" w:rsidRDefault="004C7B33"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Bajo este enfoque se diseñó la Agenda de Competitividad 2014-2018, la cual constituye </w:t>
      </w:r>
      <w:r w:rsidR="003500D9" w:rsidRPr="00EE003F">
        <w:rPr>
          <w:rFonts w:ascii="Arial Narrow" w:hAnsi="Arial Narrow" w:cs="Frutiger LT Std 45 Light"/>
          <w:sz w:val="24"/>
          <w:szCs w:val="20"/>
          <w:lang w:val="es-ES_tradnl"/>
        </w:rPr>
        <w:t>en l</w:t>
      </w:r>
      <w:r w:rsidR="00963BCA" w:rsidRPr="00EE003F">
        <w:rPr>
          <w:rFonts w:ascii="Arial Narrow" w:hAnsi="Arial Narrow" w:cs="Frutiger LT Std 45 Light"/>
          <w:sz w:val="24"/>
          <w:szCs w:val="20"/>
          <w:lang w:val="es-ES_tradnl"/>
        </w:rPr>
        <w:t>a</w:t>
      </w:r>
      <w:r w:rsidR="003500D9" w:rsidRPr="00EE003F">
        <w:rPr>
          <w:rFonts w:ascii="Arial Narrow" w:hAnsi="Arial Narrow" w:cs="Frutiger LT Std 45 Light"/>
          <w:sz w:val="24"/>
          <w:szCs w:val="20"/>
          <w:lang w:val="es-ES_tradnl"/>
        </w:rPr>
        <w:t xml:space="preserve"> actualidad </w:t>
      </w:r>
      <w:r w:rsidRPr="00EE003F">
        <w:rPr>
          <w:rFonts w:ascii="Arial Narrow" w:hAnsi="Arial Narrow" w:cs="Frutiger LT Std 45 Light"/>
          <w:sz w:val="24"/>
          <w:szCs w:val="20"/>
          <w:lang w:val="es-ES_tradnl"/>
        </w:rPr>
        <w:t>como una herramienta viva que sirve de guía al Estado peruano en el accionar articulado del conjunto de factores determinantes de la competitividad, rumbo hacia n</w:t>
      </w:r>
      <w:r w:rsidR="003500D9" w:rsidRPr="00EE003F">
        <w:rPr>
          <w:rFonts w:ascii="Arial Narrow" w:hAnsi="Arial Narrow" w:cs="Frutiger LT Std 45 Light"/>
          <w:sz w:val="24"/>
          <w:szCs w:val="20"/>
          <w:lang w:val="es-ES_tradnl"/>
        </w:rPr>
        <w:t>uestro bicentenario en el 2021.</w:t>
      </w:r>
    </w:p>
    <w:p w:rsidR="003500D9" w:rsidRPr="00EE003F" w:rsidRDefault="003500D9"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La Agenda de Competitividad 2014-2018 contiene 65 metas priorizadas en 8 líneas estratégicas</w:t>
      </w:r>
      <w:r w:rsidR="003847B6" w:rsidRPr="00EE003F">
        <w:rPr>
          <w:rFonts w:ascii="Arial Narrow" w:hAnsi="Arial Narrow" w:cs="Frutiger LT Std 45 Light"/>
          <w:sz w:val="24"/>
          <w:szCs w:val="20"/>
          <w:lang w:val="es-ES_tradnl"/>
        </w:rPr>
        <w:t xml:space="preserve">, las cuales se fueron definidas en conjunto con el sector público, sector privado, y la academia: </w:t>
      </w:r>
      <w:r w:rsidRPr="00EE003F">
        <w:rPr>
          <w:rFonts w:ascii="Arial Narrow" w:hAnsi="Arial Narrow" w:cs="Frutiger LT Std 45 Light"/>
          <w:sz w:val="24"/>
          <w:szCs w:val="20"/>
          <w:lang w:val="es-ES_tradnl"/>
        </w:rPr>
        <w:t xml:space="preserve">(i) Desarrollo productivo y empresarial, (ii) Ciencia, tecnología e innovación, (iii) internacionalización de las empresas, (iv) infraestructura, (v) tecnologías de información de comunicaciones (TIC), (vi) facilitación de negocios, (vii) capital humano y (viii) recursos naturales y ambiente, las cuales se precisan a continuación: </w:t>
      </w:r>
    </w:p>
    <w:p w:rsidR="00EB1A8B" w:rsidRPr="00EE003F" w:rsidRDefault="003500D9" w:rsidP="00BF507D">
      <w:pPr>
        <w:pStyle w:val="Prrafodelista"/>
        <w:numPr>
          <w:ilvl w:val="0"/>
          <w:numId w:val="74"/>
        </w:numPr>
        <w:suppressAutoHyphens/>
        <w:autoSpaceDE w:val="0"/>
        <w:autoSpaceDN w:val="0"/>
        <w:adjustRightInd w:val="0"/>
        <w:spacing w:before="113" w:after="113" w:line="240" w:lineRule="auto"/>
        <w:ind w:left="567" w:hanging="567"/>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Estratégica 1 -</w:t>
      </w:r>
      <w:r w:rsidRPr="00EE003F">
        <w:rPr>
          <w:rFonts w:ascii="Arial Narrow" w:hAnsi="Arial Narrow" w:cs="Frutiger LT Std 45 Light"/>
          <w:sz w:val="24"/>
          <w:szCs w:val="20"/>
          <w:lang w:val="es-ES_tradnl"/>
        </w:rPr>
        <w:t xml:space="preserve"> </w:t>
      </w:r>
      <w:r w:rsidR="00EB1A8B" w:rsidRPr="00EE003F">
        <w:rPr>
          <w:rFonts w:ascii="Arial Narrow" w:hAnsi="Arial Narrow" w:cs="Frutiger LT Std 45 Light"/>
          <w:sz w:val="24"/>
          <w:szCs w:val="20"/>
          <w:lang w:val="es-ES_tradnl"/>
        </w:rPr>
        <w:t>Eficiencia del gobierno e institucionalidad</w:t>
      </w:r>
      <w:r w:rsidR="007C2110" w:rsidRPr="00EE003F">
        <w:rPr>
          <w:rFonts w:ascii="Arial Narrow" w:hAnsi="Arial Narrow" w:cs="Frutiger LT Std 45 Light"/>
          <w:sz w:val="24"/>
          <w:szCs w:val="20"/>
          <w:lang w:val="es-ES_tradnl"/>
        </w:rPr>
        <w:t>, con</w:t>
      </w:r>
      <w:r w:rsidR="002441D5" w:rsidRPr="00EE003F">
        <w:rPr>
          <w:rFonts w:ascii="Arial Narrow" w:hAnsi="Arial Narrow" w:cs="Frutiger LT Std 45 Light"/>
          <w:sz w:val="24"/>
          <w:szCs w:val="20"/>
          <w:lang w:val="es-ES_tradnl"/>
        </w:rPr>
        <w:t xml:space="preserve"> e</w:t>
      </w:r>
      <w:r w:rsidR="007C2110" w:rsidRPr="00EE003F">
        <w:rPr>
          <w:rFonts w:ascii="Arial Narrow" w:hAnsi="Arial Narrow" w:cs="Frutiger LT Std 45 Light"/>
          <w:sz w:val="24"/>
          <w:szCs w:val="20"/>
          <w:lang w:val="es-ES_tradnl"/>
        </w:rPr>
        <w:t xml:space="preserve">l objetivo </w:t>
      </w:r>
      <w:r w:rsidR="002441D5" w:rsidRPr="00EE003F">
        <w:rPr>
          <w:rFonts w:ascii="Arial Narrow" w:hAnsi="Arial Narrow" w:cs="Frutiger LT Std 45 Light"/>
          <w:sz w:val="24"/>
          <w:szCs w:val="20"/>
          <w:lang w:val="es-ES_tradnl"/>
        </w:rPr>
        <w:t>de asegurar</w:t>
      </w:r>
      <w:r w:rsidR="00EB1A8B" w:rsidRPr="00EE003F">
        <w:rPr>
          <w:rFonts w:ascii="Arial Narrow" w:hAnsi="Arial Narrow" w:cs="Frutiger LT Std 45 Light"/>
          <w:sz w:val="24"/>
          <w:szCs w:val="20"/>
          <w:lang w:val="es-ES_tradnl"/>
        </w:rPr>
        <w:t xml:space="preserve"> predictibilidad, transparencia y eficiencia, a través de regulaciones de calidad, mayor coordinación intergubernamental y mejora de capacidades de planificación y gestión. </w:t>
      </w:r>
    </w:p>
    <w:p w:rsidR="00EB1A8B" w:rsidRPr="00EE003F" w:rsidRDefault="003500D9" w:rsidP="00BF507D">
      <w:pPr>
        <w:pStyle w:val="Prrafodelista"/>
        <w:numPr>
          <w:ilvl w:val="0"/>
          <w:numId w:val="74"/>
        </w:numPr>
        <w:suppressAutoHyphens/>
        <w:autoSpaceDE w:val="0"/>
        <w:autoSpaceDN w:val="0"/>
        <w:adjustRightInd w:val="0"/>
        <w:spacing w:before="113" w:after="113" w:line="240" w:lineRule="auto"/>
        <w:ind w:left="567" w:hanging="567"/>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 xml:space="preserve">Línea Estratégica 2 </w:t>
      </w:r>
      <w:r w:rsidR="007C2110" w:rsidRPr="00EE003F">
        <w:rPr>
          <w:rFonts w:ascii="Arial Narrow" w:hAnsi="Arial Narrow" w:cs="Frutiger LT Std 45 Light"/>
          <w:b/>
          <w:sz w:val="24"/>
          <w:szCs w:val="20"/>
          <w:lang w:val="es-ES_tradnl"/>
        </w:rPr>
        <w:t>–</w:t>
      </w:r>
      <w:r w:rsidRPr="00EE003F">
        <w:rPr>
          <w:rFonts w:ascii="Arial Narrow" w:hAnsi="Arial Narrow" w:cs="Frutiger LT Std 45 Light"/>
          <w:sz w:val="24"/>
          <w:szCs w:val="20"/>
          <w:lang w:val="es-ES_tradnl"/>
        </w:rPr>
        <w:t xml:space="preserve"> </w:t>
      </w:r>
      <w:r w:rsidR="00EB1A8B" w:rsidRPr="00EE003F">
        <w:rPr>
          <w:rFonts w:ascii="Arial Narrow" w:hAnsi="Arial Narrow" w:cs="Frutiger LT Std 45 Light"/>
          <w:sz w:val="24"/>
          <w:szCs w:val="20"/>
          <w:lang w:val="es-ES_tradnl"/>
        </w:rPr>
        <w:t>Infraestructura</w:t>
      </w:r>
      <w:r w:rsidR="007C2110" w:rsidRPr="00EE003F">
        <w:rPr>
          <w:rFonts w:ascii="Arial Narrow" w:hAnsi="Arial Narrow" w:cs="Frutiger LT Std 45 Light"/>
          <w:sz w:val="24"/>
          <w:szCs w:val="20"/>
          <w:lang w:val="es-ES_tradnl"/>
        </w:rPr>
        <w:t>; con la finalidad de c</w:t>
      </w:r>
      <w:r w:rsidR="00EB1A8B" w:rsidRPr="00EE003F">
        <w:rPr>
          <w:rFonts w:ascii="Arial Narrow" w:hAnsi="Arial Narrow" w:cs="Frutiger LT Std 45 Light"/>
          <w:sz w:val="24"/>
          <w:szCs w:val="20"/>
          <w:lang w:val="es-ES_tradnl"/>
        </w:rPr>
        <w:t xml:space="preserve">ubrir el déficit de infraestructura en logística y transporte, basado en la generación de polos de servicio logístico articulados que acompañen el crecimiento económico de las regiones. </w:t>
      </w:r>
    </w:p>
    <w:p w:rsidR="00EB1A8B" w:rsidRPr="00EE003F" w:rsidRDefault="003500D9" w:rsidP="00BF507D">
      <w:pPr>
        <w:pStyle w:val="Prrafodelista"/>
        <w:numPr>
          <w:ilvl w:val="0"/>
          <w:numId w:val="74"/>
        </w:numPr>
        <w:suppressAutoHyphens/>
        <w:autoSpaceDE w:val="0"/>
        <w:autoSpaceDN w:val="0"/>
        <w:adjustRightInd w:val="0"/>
        <w:spacing w:before="113" w:after="113" w:line="240" w:lineRule="auto"/>
        <w:ind w:left="567" w:hanging="567"/>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Estratégica 3 -</w:t>
      </w:r>
      <w:r w:rsidRPr="00EE003F">
        <w:rPr>
          <w:rFonts w:ascii="Arial Narrow" w:hAnsi="Arial Narrow" w:cs="Frutiger LT Std 45 Light"/>
          <w:sz w:val="24"/>
          <w:szCs w:val="20"/>
          <w:lang w:val="es-ES_tradnl"/>
        </w:rPr>
        <w:t xml:space="preserve"> </w:t>
      </w:r>
      <w:r w:rsidR="00EB1A8B" w:rsidRPr="00EE003F">
        <w:rPr>
          <w:rFonts w:ascii="Arial Narrow" w:hAnsi="Arial Narrow" w:cs="Frutiger LT Std 45 Light"/>
          <w:sz w:val="24"/>
          <w:szCs w:val="20"/>
          <w:lang w:val="es-ES_tradnl"/>
        </w:rPr>
        <w:t>Tecnologías de la Información y las comunicaciones</w:t>
      </w:r>
      <w:r w:rsidR="007C2110" w:rsidRPr="00EE003F">
        <w:rPr>
          <w:rFonts w:ascii="Arial Narrow" w:hAnsi="Arial Narrow" w:cs="Frutiger LT Std 45 Light"/>
          <w:sz w:val="24"/>
          <w:szCs w:val="20"/>
          <w:lang w:val="es-ES_tradnl"/>
        </w:rPr>
        <w:t>; para i</w:t>
      </w:r>
      <w:r w:rsidR="00EB1A8B" w:rsidRPr="00EE003F">
        <w:rPr>
          <w:rFonts w:ascii="Arial Narrow" w:hAnsi="Arial Narrow" w:cs="Frutiger LT Std 45 Light"/>
          <w:sz w:val="24"/>
          <w:szCs w:val="20"/>
          <w:lang w:val="es-ES_tradnl"/>
        </w:rPr>
        <w:t xml:space="preserve">ncorporar las TIC en la estructura económica, a través de mayores servicios electrónicos en el Estado y empresas, y mayor cobertura y capacidad de las redes nacionales. </w:t>
      </w:r>
    </w:p>
    <w:p w:rsidR="00EB1A8B" w:rsidRPr="00EE003F" w:rsidRDefault="003500D9" w:rsidP="00BF507D">
      <w:pPr>
        <w:pStyle w:val="Prrafodelista"/>
        <w:numPr>
          <w:ilvl w:val="0"/>
          <w:numId w:val="74"/>
        </w:numPr>
        <w:suppressAutoHyphens/>
        <w:autoSpaceDE w:val="0"/>
        <w:autoSpaceDN w:val="0"/>
        <w:adjustRightInd w:val="0"/>
        <w:spacing w:before="113" w:after="113" w:line="240" w:lineRule="auto"/>
        <w:ind w:left="567" w:hanging="567"/>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Estratégica 4 -</w:t>
      </w:r>
      <w:r w:rsidRPr="00EE003F">
        <w:rPr>
          <w:rFonts w:ascii="Arial Narrow" w:hAnsi="Arial Narrow" w:cs="Frutiger LT Std 45 Light"/>
          <w:sz w:val="24"/>
          <w:szCs w:val="20"/>
          <w:lang w:val="es-ES_tradnl"/>
        </w:rPr>
        <w:t xml:space="preserve"> </w:t>
      </w:r>
      <w:r w:rsidR="00EB1A8B" w:rsidRPr="00EE003F">
        <w:rPr>
          <w:rFonts w:ascii="Arial Narrow" w:hAnsi="Arial Narrow" w:cs="Frutiger LT Std 45 Light"/>
          <w:sz w:val="24"/>
          <w:szCs w:val="20"/>
          <w:lang w:val="es-ES_tradnl"/>
        </w:rPr>
        <w:t>Capital humano</w:t>
      </w:r>
      <w:r w:rsidR="007C2110" w:rsidRPr="00EE003F">
        <w:rPr>
          <w:rFonts w:ascii="Arial Narrow" w:hAnsi="Arial Narrow" w:cs="Frutiger LT Std 45 Light"/>
          <w:sz w:val="24"/>
          <w:szCs w:val="20"/>
          <w:lang w:val="es-ES_tradnl"/>
        </w:rPr>
        <w:t>; con la finalidad de a</w:t>
      </w:r>
      <w:r w:rsidR="00EB1A8B" w:rsidRPr="00EE003F">
        <w:rPr>
          <w:rFonts w:ascii="Arial Narrow" w:hAnsi="Arial Narrow" w:cs="Frutiger LT Std 45 Light"/>
          <w:sz w:val="24"/>
          <w:szCs w:val="20"/>
          <w:lang w:val="es-ES_tradnl"/>
        </w:rPr>
        <w:t>umentar la calificación de la mano de obra, como base para aumentar la productividad del trabajo, los salarios y el consumo. Los esfuerzos se centrarán en la formación técnica y universitaria de calidad, adecuada a las necesidades de la empresa. Se abordará también la calidad de la oferta de servicios de salud y la promoción del aseguramiento del trabajador y su familia con un enfoque en la prevención.</w:t>
      </w:r>
    </w:p>
    <w:p w:rsidR="00EB1A8B" w:rsidRPr="00EE003F" w:rsidRDefault="003500D9" w:rsidP="00BF507D">
      <w:pPr>
        <w:pStyle w:val="Prrafodelista"/>
        <w:numPr>
          <w:ilvl w:val="0"/>
          <w:numId w:val="74"/>
        </w:numPr>
        <w:suppressAutoHyphens/>
        <w:autoSpaceDE w:val="0"/>
        <w:autoSpaceDN w:val="0"/>
        <w:adjustRightInd w:val="0"/>
        <w:spacing w:before="113" w:after="113" w:line="240" w:lineRule="auto"/>
        <w:ind w:left="567" w:hanging="567"/>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Estratégica 5 -</w:t>
      </w:r>
      <w:r w:rsidRPr="00EE003F">
        <w:rPr>
          <w:rFonts w:ascii="Arial Narrow" w:hAnsi="Arial Narrow" w:cs="Frutiger LT Std 45 Light"/>
          <w:sz w:val="24"/>
          <w:szCs w:val="20"/>
          <w:lang w:val="es-ES_tradnl"/>
        </w:rPr>
        <w:t xml:space="preserve"> </w:t>
      </w:r>
      <w:r w:rsidR="00EB1A8B" w:rsidRPr="00EE003F">
        <w:rPr>
          <w:rFonts w:ascii="Arial Narrow" w:hAnsi="Arial Narrow" w:cs="Frutiger LT Std 45 Light"/>
          <w:sz w:val="24"/>
          <w:szCs w:val="20"/>
          <w:lang w:val="es-ES_tradnl"/>
        </w:rPr>
        <w:t>Ciencia, tecnología e innovación</w:t>
      </w:r>
      <w:r w:rsidR="007C2110" w:rsidRPr="00EE003F">
        <w:rPr>
          <w:rFonts w:ascii="Arial Narrow" w:hAnsi="Arial Narrow" w:cs="Frutiger LT Std 45 Light"/>
          <w:sz w:val="24"/>
          <w:szCs w:val="20"/>
          <w:lang w:val="es-ES_tradnl"/>
        </w:rPr>
        <w:t>; para a</w:t>
      </w:r>
      <w:r w:rsidR="00EB1A8B" w:rsidRPr="00EE003F">
        <w:rPr>
          <w:rFonts w:ascii="Arial Narrow" w:hAnsi="Arial Narrow" w:cs="Frutiger LT Std 45 Light"/>
          <w:sz w:val="24"/>
          <w:szCs w:val="20"/>
          <w:lang w:val="es-ES_tradnl"/>
        </w:rPr>
        <w:t xml:space="preserve">umentar las capacidades de innovación y de generación de conocimiento, promoviendo alianzas entre los actores y atrayendo y reteniendo talento. </w:t>
      </w:r>
    </w:p>
    <w:p w:rsidR="00EB1A8B" w:rsidRPr="00EE003F" w:rsidRDefault="003500D9" w:rsidP="00BF507D">
      <w:pPr>
        <w:pStyle w:val="Prrafodelista"/>
        <w:numPr>
          <w:ilvl w:val="0"/>
          <w:numId w:val="74"/>
        </w:numPr>
        <w:suppressAutoHyphens/>
        <w:autoSpaceDE w:val="0"/>
        <w:autoSpaceDN w:val="0"/>
        <w:adjustRightInd w:val="0"/>
        <w:spacing w:before="113" w:after="113" w:line="240" w:lineRule="auto"/>
        <w:ind w:left="567" w:hanging="567"/>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Estratégica 6 -</w:t>
      </w:r>
      <w:r w:rsidRPr="00EE003F">
        <w:rPr>
          <w:rFonts w:ascii="Arial Narrow" w:hAnsi="Arial Narrow" w:cs="Frutiger LT Std 45 Light"/>
          <w:sz w:val="24"/>
          <w:szCs w:val="20"/>
          <w:lang w:val="es-ES_tradnl"/>
        </w:rPr>
        <w:t xml:space="preserve"> </w:t>
      </w:r>
      <w:r w:rsidR="00EB1A8B" w:rsidRPr="00EE003F">
        <w:rPr>
          <w:rFonts w:ascii="Arial Narrow" w:hAnsi="Arial Narrow" w:cs="Frutiger LT Std 45 Light"/>
          <w:sz w:val="24"/>
          <w:szCs w:val="20"/>
          <w:lang w:val="es-ES_tradnl"/>
        </w:rPr>
        <w:t>Desarrollo productivo y empresarial</w:t>
      </w:r>
      <w:r w:rsidR="007C2110" w:rsidRPr="00EE003F">
        <w:rPr>
          <w:rFonts w:ascii="Arial Narrow" w:hAnsi="Arial Narrow" w:cs="Frutiger LT Std 45 Light"/>
          <w:sz w:val="24"/>
          <w:szCs w:val="20"/>
          <w:lang w:val="es-ES_tradnl"/>
        </w:rPr>
        <w:t>; con el objetivo de a</w:t>
      </w:r>
      <w:r w:rsidR="00EB1A8B" w:rsidRPr="00EE003F">
        <w:rPr>
          <w:rFonts w:ascii="Arial Narrow" w:hAnsi="Arial Narrow" w:cs="Frutiger LT Std 45 Light"/>
          <w:sz w:val="24"/>
          <w:szCs w:val="20"/>
          <w:lang w:val="es-ES_tradnl"/>
        </w:rPr>
        <w:t xml:space="preserve">umentar las capacidades para la gestión, promover la colaboración entre empresa y la articulación en cadenas de valor, y el fortalecimiento del sistema nacional de calidad. </w:t>
      </w:r>
    </w:p>
    <w:p w:rsidR="00A31A57" w:rsidRPr="00EE003F" w:rsidRDefault="003500D9" w:rsidP="00BF507D">
      <w:pPr>
        <w:pStyle w:val="Prrafodelista"/>
        <w:numPr>
          <w:ilvl w:val="0"/>
          <w:numId w:val="74"/>
        </w:numPr>
        <w:suppressAutoHyphens/>
        <w:autoSpaceDE w:val="0"/>
        <w:autoSpaceDN w:val="0"/>
        <w:adjustRightInd w:val="0"/>
        <w:spacing w:before="113" w:after="113" w:line="240" w:lineRule="auto"/>
        <w:ind w:left="567" w:hanging="567"/>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 xml:space="preserve">Línea Estratégica 7 </w:t>
      </w:r>
      <w:r w:rsidR="007C2110" w:rsidRPr="00EE003F">
        <w:rPr>
          <w:rFonts w:ascii="Arial Narrow" w:hAnsi="Arial Narrow" w:cs="Frutiger LT Std 45 Light"/>
          <w:b/>
          <w:sz w:val="24"/>
          <w:szCs w:val="20"/>
          <w:lang w:val="es-ES_tradnl"/>
        </w:rPr>
        <w:t>–</w:t>
      </w:r>
      <w:r w:rsidRPr="00EE003F">
        <w:rPr>
          <w:rFonts w:ascii="Arial Narrow" w:hAnsi="Arial Narrow" w:cs="Frutiger LT Std 45 Light"/>
          <w:sz w:val="24"/>
          <w:szCs w:val="20"/>
          <w:lang w:val="es-ES_tradnl"/>
        </w:rPr>
        <w:t xml:space="preserve"> </w:t>
      </w:r>
      <w:r w:rsidR="00EB1A8B" w:rsidRPr="00EE003F">
        <w:rPr>
          <w:rFonts w:ascii="Arial Narrow" w:hAnsi="Arial Narrow" w:cs="Frutiger LT Std 45 Light"/>
          <w:sz w:val="24"/>
          <w:szCs w:val="20"/>
          <w:lang w:val="es-ES_tradnl"/>
        </w:rPr>
        <w:t>Internacionalización</w:t>
      </w:r>
      <w:r w:rsidR="007C2110" w:rsidRPr="00EE003F">
        <w:rPr>
          <w:rFonts w:ascii="Arial Narrow" w:hAnsi="Arial Narrow" w:cs="Frutiger LT Std 45 Light"/>
          <w:sz w:val="24"/>
          <w:szCs w:val="20"/>
          <w:lang w:val="es-ES_tradnl"/>
        </w:rPr>
        <w:t>; para i</w:t>
      </w:r>
      <w:r w:rsidR="00EB1A8B" w:rsidRPr="00EE003F">
        <w:rPr>
          <w:rFonts w:ascii="Arial Narrow" w:hAnsi="Arial Narrow" w:cs="Frutiger LT Std 45 Light"/>
          <w:sz w:val="24"/>
          <w:szCs w:val="20"/>
          <w:lang w:val="es-ES_tradnl"/>
        </w:rPr>
        <w:t xml:space="preserve">ncrementar el acceso a los mercados internacionales, a través de la articulación a cadenas globales de valor, la facilitación del comercio y el desarrollo de mercados sostenibles. </w:t>
      </w:r>
    </w:p>
    <w:p w:rsidR="00EB1A8B" w:rsidRPr="00EE003F" w:rsidRDefault="003500D9" w:rsidP="00BF507D">
      <w:pPr>
        <w:pStyle w:val="Prrafodelista"/>
        <w:numPr>
          <w:ilvl w:val="0"/>
          <w:numId w:val="74"/>
        </w:numPr>
        <w:suppressAutoHyphens/>
        <w:autoSpaceDE w:val="0"/>
        <w:autoSpaceDN w:val="0"/>
        <w:adjustRightInd w:val="0"/>
        <w:spacing w:before="113" w:after="113" w:line="240" w:lineRule="auto"/>
        <w:ind w:left="567" w:hanging="567"/>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Estratégica 8 -</w:t>
      </w:r>
      <w:r w:rsidRPr="00EE003F">
        <w:rPr>
          <w:rFonts w:ascii="Arial Narrow" w:hAnsi="Arial Narrow" w:cs="Frutiger LT Std 45 Light"/>
          <w:sz w:val="24"/>
          <w:szCs w:val="20"/>
          <w:lang w:val="es-ES_tradnl"/>
        </w:rPr>
        <w:t xml:space="preserve"> </w:t>
      </w:r>
      <w:r w:rsidR="00EB1A8B" w:rsidRPr="00EE003F">
        <w:rPr>
          <w:rFonts w:ascii="Arial Narrow" w:hAnsi="Arial Narrow" w:cs="Frutiger LT Std 45 Light"/>
          <w:sz w:val="24"/>
          <w:szCs w:val="20"/>
          <w:lang w:val="es-ES_tradnl"/>
        </w:rPr>
        <w:t>Recursos naturales y energía</w:t>
      </w:r>
      <w:r w:rsidR="007C2110" w:rsidRPr="00EE003F">
        <w:rPr>
          <w:rFonts w:ascii="Arial Narrow" w:hAnsi="Arial Narrow" w:cs="Frutiger LT Std 45 Light"/>
          <w:sz w:val="24"/>
          <w:szCs w:val="20"/>
          <w:lang w:val="es-ES_tradnl"/>
        </w:rPr>
        <w:t>; con la finalidad de a</w:t>
      </w:r>
      <w:r w:rsidR="00EB1A8B" w:rsidRPr="00EE003F">
        <w:rPr>
          <w:rFonts w:ascii="Arial Narrow" w:hAnsi="Arial Narrow" w:cs="Frutiger LT Std 45 Light"/>
          <w:sz w:val="24"/>
          <w:szCs w:val="20"/>
          <w:lang w:val="es-ES_tradnl"/>
        </w:rPr>
        <w:t xml:space="preserve">segurar el crecimiento sostenible, mediante una eficiente gestión de calidad en el acceso y aprovechamiento de los recursos naturales y energía. </w:t>
      </w:r>
    </w:p>
    <w:p w:rsidR="00BF507D" w:rsidRPr="00EE003F" w:rsidRDefault="00BF507D"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p>
    <w:p w:rsidR="008B45FE" w:rsidRPr="00EE003F" w:rsidRDefault="00997E39"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Bajo el enfoque sistémico de la competitividad, s</w:t>
      </w:r>
      <w:r w:rsidR="002A27EA" w:rsidRPr="00EE003F">
        <w:rPr>
          <w:rFonts w:ascii="Arial Narrow" w:hAnsi="Arial Narrow" w:cs="Frutiger LT Std 45 Light"/>
          <w:sz w:val="24"/>
          <w:szCs w:val="20"/>
          <w:lang w:val="es-ES_tradnl"/>
        </w:rPr>
        <w:t xml:space="preserve">on precisamente este conjunto de </w:t>
      </w:r>
      <w:r w:rsidR="008F3C0A" w:rsidRPr="00EE003F">
        <w:rPr>
          <w:rFonts w:ascii="Arial Narrow" w:hAnsi="Arial Narrow" w:cs="Frutiger LT Std 45 Light"/>
          <w:sz w:val="24"/>
          <w:szCs w:val="20"/>
          <w:lang w:val="es-ES_tradnl"/>
        </w:rPr>
        <w:t>reformas</w:t>
      </w:r>
      <w:r w:rsidR="002A27EA" w:rsidRPr="00EE003F">
        <w:rPr>
          <w:rFonts w:ascii="Arial Narrow" w:hAnsi="Arial Narrow" w:cs="Frutiger LT Std 45 Light"/>
          <w:sz w:val="24"/>
          <w:szCs w:val="20"/>
          <w:lang w:val="es-ES_tradnl"/>
        </w:rPr>
        <w:t xml:space="preserve"> de índole vertical y horizontal las que componen los tres </w:t>
      </w:r>
      <w:r w:rsidR="00CC492E" w:rsidRPr="00EE003F">
        <w:rPr>
          <w:rFonts w:ascii="Arial Narrow" w:hAnsi="Arial Narrow" w:cs="Frutiger LT Std 45 Light"/>
          <w:sz w:val="24"/>
          <w:szCs w:val="20"/>
          <w:lang w:val="es-ES_tradnl"/>
        </w:rPr>
        <w:t xml:space="preserve">ejes </w:t>
      </w:r>
      <w:r w:rsidR="008B45FE" w:rsidRPr="00EE003F">
        <w:rPr>
          <w:rFonts w:ascii="Arial Narrow" w:hAnsi="Arial Narrow" w:cs="Frutiger LT Std 45 Light"/>
          <w:sz w:val="24"/>
          <w:szCs w:val="20"/>
          <w:lang w:val="es-ES_tradnl"/>
        </w:rPr>
        <w:t xml:space="preserve">estratégicos </w:t>
      </w:r>
      <w:r w:rsidR="002A27EA" w:rsidRPr="00EE003F">
        <w:rPr>
          <w:rFonts w:ascii="Arial Narrow" w:hAnsi="Arial Narrow" w:cs="Frutiger LT Std 45 Light"/>
          <w:sz w:val="24"/>
          <w:szCs w:val="20"/>
          <w:lang w:val="es-ES_tradnl"/>
        </w:rPr>
        <w:t>de intervención</w:t>
      </w:r>
      <w:r w:rsidR="00DF04EA" w:rsidRPr="00EE003F">
        <w:rPr>
          <w:rFonts w:ascii="Arial Narrow" w:hAnsi="Arial Narrow" w:cs="Frutiger LT Std 45 Light"/>
          <w:sz w:val="24"/>
          <w:szCs w:val="20"/>
          <w:lang w:val="es-ES_tradnl"/>
        </w:rPr>
        <w:t xml:space="preserve"> </w:t>
      </w:r>
      <w:r w:rsidR="008B45FE" w:rsidRPr="00EE003F">
        <w:rPr>
          <w:rFonts w:ascii="Arial Narrow" w:hAnsi="Arial Narrow" w:cs="Frutiger LT Std 45 Light"/>
          <w:sz w:val="24"/>
          <w:szCs w:val="20"/>
          <w:lang w:val="es-ES_tradnl"/>
        </w:rPr>
        <w:t xml:space="preserve">para la mejora de </w:t>
      </w:r>
      <w:r w:rsidR="00DF04EA" w:rsidRPr="00EE003F">
        <w:rPr>
          <w:rFonts w:ascii="Arial Narrow" w:hAnsi="Arial Narrow" w:cs="Frutiger LT Std 45 Light"/>
          <w:sz w:val="24"/>
          <w:szCs w:val="20"/>
          <w:lang w:val="es-ES_tradnl"/>
        </w:rPr>
        <w:t>la competitividad en el Perú</w:t>
      </w:r>
      <w:r w:rsidR="002A27EA" w:rsidRPr="00EE003F">
        <w:rPr>
          <w:rFonts w:ascii="Arial Narrow" w:hAnsi="Arial Narrow" w:cs="Frutiger LT Std 45 Light"/>
          <w:sz w:val="24"/>
          <w:szCs w:val="20"/>
          <w:lang w:val="es-ES_tradnl"/>
        </w:rPr>
        <w:t xml:space="preserve">: </w:t>
      </w:r>
      <w:r w:rsidR="008F2409" w:rsidRPr="00EE003F">
        <w:rPr>
          <w:rFonts w:ascii="Arial Narrow" w:hAnsi="Arial Narrow" w:cs="Frutiger LT Std 45 Light"/>
          <w:sz w:val="24"/>
          <w:szCs w:val="20"/>
          <w:lang w:val="es-ES_tradnl"/>
        </w:rPr>
        <w:t xml:space="preserve">(i) la conectividad del país; (ii) la eficiencia del Estado, y </w:t>
      </w:r>
      <w:r w:rsidR="002A27EA" w:rsidRPr="00EE003F">
        <w:rPr>
          <w:rFonts w:ascii="Arial Narrow" w:hAnsi="Arial Narrow" w:cs="Frutiger LT Std 45 Light"/>
          <w:sz w:val="24"/>
          <w:szCs w:val="20"/>
          <w:lang w:val="es-ES_tradnl"/>
        </w:rPr>
        <w:t>(</w:t>
      </w:r>
      <w:r w:rsidR="008F2409" w:rsidRPr="00EE003F">
        <w:rPr>
          <w:rFonts w:ascii="Arial Narrow" w:hAnsi="Arial Narrow" w:cs="Frutiger LT Std 45 Light"/>
          <w:sz w:val="24"/>
          <w:szCs w:val="20"/>
          <w:lang w:val="es-ES_tradnl"/>
        </w:rPr>
        <w:t>ii</w:t>
      </w:r>
      <w:r w:rsidR="002A27EA" w:rsidRPr="00EE003F">
        <w:rPr>
          <w:rFonts w:ascii="Arial Narrow" w:hAnsi="Arial Narrow" w:cs="Frutiger LT Std 45 Light"/>
          <w:sz w:val="24"/>
          <w:szCs w:val="20"/>
          <w:lang w:val="es-ES_tradnl"/>
        </w:rPr>
        <w:t xml:space="preserve">i) la mejora de </w:t>
      </w:r>
      <w:r w:rsidR="008F2409" w:rsidRPr="00EE003F">
        <w:rPr>
          <w:rFonts w:ascii="Arial Narrow" w:hAnsi="Arial Narrow" w:cs="Frutiger LT Std 45 Light"/>
          <w:sz w:val="24"/>
          <w:szCs w:val="20"/>
          <w:lang w:val="es-ES_tradnl"/>
        </w:rPr>
        <w:t xml:space="preserve">la productividad de la empresa. </w:t>
      </w:r>
    </w:p>
    <w:p w:rsidR="00997E39" w:rsidRPr="00EE003F" w:rsidRDefault="00997E39" w:rsidP="004A5F67">
      <w:pPr>
        <w:suppressAutoHyphens/>
        <w:autoSpaceDE w:val="0"/>
        <w:autoSpaceDN w:val="0"/>
        <w:adjustRightInd w:val="0"/>
        <w:spacing w:before="113" w:after="113" w:line="240" w:lineRule="auto"/>
        <w:jc w:val="center"/>
        <w:textAlignment w:val="center"/>
        <w:rPr>
          <w:rFonts w:ascii="Arial Narrow" w:hAnsi="Arial Narrow" w:cs="Frutiger LT Std 45 Light"/>
          <w:b/>
          <w:sz w:val="24"/>
          <w:szCs w:val="20"/>
          <w:lang w:val="es-ES_tradnl"/>
        </w:rPr>
      </w:pPr>
    </w:p>
    <w:p w:rsidR="00CC492E" w:rsidRPr="00EE003F" w:rsidRDefault="00CC492E" w:rsidP="004A5F67">
      <w:pPr>
        <w:suppressAutoHyphens/>
        <w:autoSpaceDE w:val="0"/>
        <w:autoSpaceDN w:val="0"/>
        <w:adjustRightInd w:val="0"/>
        <w:spacing w:before="113" w:after="113" w:line="240" w:lineRule="auto"/>
        <w:jc w:val="center"/>
        <w:textAlignment w:val="center"/>
        <w:rPr>
          <w:rFonts w:ascii="Arial Narrow" w:hAnsi="Arial Narrow" w:cs="Frutiger LT Std 45 Light"/>
          <w:b/>
          <w:sz w:val="24"/>
          <w:szCs w:val="20"/>
          <w:lang w:val="es-ES_tradnl"/>
        </w:rPr>
      </w:pPr>
      <w:r w:rsidRPr="00EE003F">
        <w:rPr>
          <w:rFonts w:ascii="Arial Narrow" w:hAnsi="Arial Narrow" w:cs="Frutiger LT Std 45 Light"/>
          <w:b/>
          <w:sz w:val="24"/>
          <w:szCs w:val="20"/>
          <w:lang w:val="es-ES_tradnl"/>
        </w:rPr>
        <w:t>Ejes Estratégicos para la competitividad de la Agenda de Competitividad 2014-2018</w:t>
      </w:r>
    </w:p>
    <w:p w:rsidR="00CC492E" w:rsidRPr="00EE003F" w:rsidRDefault="00CC492E" w:rsidP="00CC492E">
      <w:pPr>
        <w:contextualSpacing/>
        <w:jc w:val="center"/>
        <w:rPr>
          <w:rFonts w:ascii="Arial" w:hAnsi="Arial" w:cs="Arial"/>
          <w:b/>
          <w:i/>
          <w:iCs/>
          <w:sz w:val="24"/>
          <w:szCs w:val="24"/>
          <w:lang w:val="es-ES"/>
        </w:rPr>
      </w:pPr>
      <w:r w:rsidRPr="00EE003F">
        <w:rPr>
          <w:noProof/>
          <w:lang w:eastAsia="es-PE"/>
        </w:rPr>
        <w:drawing>
          <wp:inline distT="0" distB="0" distL="0" distR="0" wp14:anchorId="09E2E87B" wp14:editId="60FD5D58">
            <wp:extent cx="4901609" cy="27437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6712" cy="2746566"/>
                    </a:xfrm>
                    <a:prstGeom prst="rect">
                      <a:avLst/>
                    </a:prstGeom>
                    <a:noFill/>
                    <a:ln>
                      <a:noFill/>
                    </a:ln>
                  </pic:spPr>
                </pic:pic>
              </a:graphicData>
            </a:graphic>
          </wp:inline>
        </w:drawing>
      </w:r>
    </w:p>
    <w:p w:rsidR="00CC492E" w:rsidRPr="00EE003F" w:rsidRDefault="00CC492E" w:rsidP="00CC492E">
      <w:pPr>
        <w:spacing w:after="0" w:line="240" w:lineRule="auto"/>
        <w:contextualSpacing/>
        <w:rPr>
          <w:noProof/>
          <w:sz w:val="20"/>
          <w:szCs w:val="20"/>
          <w:lang w:val="es-ES" w:eastAsia="es-ES"/>
        </w:rPr>
      </w:pPr>
      <w:r w:rsidRPr="00EE003F">
        <w:rPr>
          <w:noProof/>
          <w:sz w:val="20"/>
          <w:szCs w:val="20"/>
          <w:lang w:val="es-ES" w:eastAsia="es-ES"/>
        </w:rPr>
        <w:t xml:space="preserve">          Elaboración: CNC. </w:t>
      </w:r>
    </w:p>
    <w:p w:rsidR="00621ED0" w:rsidRPr="00EE003F" w:rsidRDefault="00621ED0" w:rsidP="00621ED0">
      <w:pPr>
        <w:spacing w:after="0" w:line="240" w:lineRule="auto"/>
        <w:contextualSpacing/>
        <w:jc w:val="both"/>
        <w:rPr>
          <w:rFonts w:ascii="Arial" w:hAnsi="Arial" w:cs="Arial"/>
          <w:b/>
          <w:i/>
          <w:iCs/>
          <w:sz w:val="24"/>
          <w:szCs w:val="24"/>
          <w:lang w:val="es-ES"/>
        </w:rPr>
      </w:pPr>
    </w:p>
    <w:p w:rsidR="00621ED0" w:rsidRPr="00EE003F" w:rsidRDefault="00621ED0" w:rsidP="004A5F67">
      <w:pPr>
        <w:suppressAutoHyphens/>
        <w:autoSpaceDE w:val="0"/>
        <w:autoSpaceDN w:val="0"/>
        <w:adjustRightInd w:val="0"/>
        <w:spacing w:before="113" w:after="113" w:line="240" w:lineRule="auto"/>
        <w:jc w:val="both"/>
        <w:textAlignment w:val="center"/>
        <w:rPr>
          <w:rFonts w:ascii="Arial Narrow" w:hAnsi="Arial Narrow" w:cs="Frutiger LT Std 45 Light"/>
          <w:b/>
          <w:sz w:val="24"/>
          <w:szCs w:val="20"/>
          <w:u w:val="single"/>
          <w:lang w:val="es-ES_tradnl"/>
        </w:rPr>
      </w:pPr>
      <w:r w:rsidRPr="00EE003F">
        <w:rPr>
          <w:rFonts w:ascii="Arial Narrow" w:hAnsi="Arial Narrow" w:cs="Frutiger LT Std 45 Light"/>
          <w:b/>
          <w:sz w:val="24"/>
          <w:szCs w:val="20"/>
          <w:u w:val="single"/>
          <w:lang w:val="es-ES_tradnl"/>
        </w:rPr>
        <w:t xml:space="preserve">Primer eje estratégico: Conectividad del país </w:t>
      </w:r>
    </w:p>
    <w:p w:rsidR="00621ED0" w:rsidRPr="00EE003F" w:rsidRDefault="00621ED0"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El primer eje estratégico corresponde a la generación de una mayor conectividad del país con la finalidad de fortalecer la productividad laboral y favorecer el uso y apropiación de las TIC en el entorno de las empresas, familias y gobierno. Para ello se prioriza el desarrollo de proyectos de infraestructura de transporte y logística, la mejora en el acceso y costo de las comunicaciones y la provisión de energía para la producción. Este primer eje estratégico </w:t>
      </w:r>
      <w:r w:rsidR="00867626" w:rsidRPr="00EE003F">
        <w:rPr>
          <w:rFonts w:ascii="Arial Narrow" w:hAnsi="Arial Narrow" w:cs="Frutiger LT Std 45 Light"/>
          <w:sz w:val="24"/>
          <w:szCs w:val="20"/>
          <w:lang w:val="es-ES_tradnl"/>
        </w:rPr>
        <w:t>se estructura en t</w:t>
      </w:r>
      <w:r w:rsidRPr="00EE003F">
        <w:rPr>
          <w:rFonts w:ascii="Arial Narrow" w:hAnsi="Arial Narrow" w:cs="Frutiger LT Std 45 Light"/>
          <w:sz w:val="24"/>
          <w:szCs w:val="20"/>
          <w:lang w:val="es-ES_tradnl"/>
        </w:rPr>
        <w:t>res componentes: (i) Infraestructura de transporte y logística en el territorio; (ii) Mejora del acceso y costo de las Comunicaciones, y (iii) Provisió</w:t>
      </w:r>
      <w:r w:rsidR="0010087A" w:rsidRPr="00EE003F">
        <w:rPr>
          <w:rFonts w:ascii="Arial Narrow" w:hAnsi="Arial Narrow" w:cs="Frutiger LT Std 45 Light"/>
          <w:sz w:val="24"/>
          <w:szCs w:val="20"/>
          <w:lang w:val="es-ES_tradnl"/>
        </w:rPr>
        <w:t>n de energía para la producción</w:t>
      </w:r>
      <w:r w:rsidRPr="00EE003F">
        <w:rPr>
          <w:rFonts w:ascii="Arial Narrow" w:hAnsi="Arial Narrow" w:cs="Frutiger LT Std 45 Light"/>
          <w:sz w:val="24"/>
          <w:szCs w:val="20"/>
          <w:lang w:val="es-ES_tradnl"/>
        </w:rPr>
        <w:t xml:space="preserve">, tal como se muestra en el </w:t>
      </w:r>
      <w:r w:rsidR="0010087A" w:rsidRPr="00EE003F">
        <w:rPr>
          <w:rFonts w:ascii="Arial Narrow" w:hAnsi="Arial Narrow" w:cs="Frutiger LT Std 45 Light"/>
          <w:sz w:val="24"/>
          <w:szCs w:val="20"/>
          <w:lang w:val="es-ES_tradnl"/>
        </w:rPr>
        <w:t xml:space="preserve">siguiente </w:t>
      </w:r>
      <w:r w:rsidRPr="00EE003F">
        <w:rPr>
          <w:rFonts w:ascii="Arial Narrow" w:hAnsi="Arial Narrow" w:cs="Frutiger LT Std 45 Light"/>
          <w:sz w:val="24"/>
          <w:szCs w:val="20"/>
          <w:lang w:val="es-ES_tradnl"/>
        </w:rPr>
        <w:t xml:space="preserve">cuadro. </w:t>
      </w:r>
    </w:p>
    <w:p w:rsidR="00621ED0" w:rsidRPr="00EE003F" w:rsidRDefault="00621ED0" w:rsidP="00BF507D">
      <w:pPr>
        <w:spacing w:before="120" w:after="0" w:line="240" w:lineRule="auto"/>
        <w:contextualSpacing/>
        <w:jc w:val="both"/>
        <w:rPr>
          <w:rFonts w:ascii="Arial" w:hAnsi="Arial" w:cs="Arial"/>
          <w:i/>
          <w:iCs/>
          <w:sz w:val="24"/>
          <w:szCs w:val="24"/>
          <w:lang w:val="es-ES"/>
        </w:rPr>
      </w:pPr>
    </w:p>
    <w:p w:rsidR="00BF507D" w:rsidRPr="00EE003F" w:rsidRDefault="00BF507D">
      <w:pPr>
        <w:rPr>
          <w:rFonts w:ascii="Arial Narrow" w:hAnsi="Arial Narrow" w:cs="Frutiger LT Std 45 Light"/>
          <w:b/>
          <w:sz w:val="24"/>
          <w:szCs w:val="20"/>
          <w:lang w:val="es-ES_tradnl"/>
        </w:rPr>
      </w:pPr>
      <w:r w:rsidRPr="00EE003F">
        <w:rPr>
          <w:rFonts w:ascii="Arial Narrow" w:hAnsi="Arial Narrow" w:cs="Frutiger LT Std 45 Light"/>
          <w:b/>
          <w:sz w:val="24"/>
          <w:szCs w:val="20"/>
          <w:lang w:val="es-ES_tradnl"/>
        </w:rPr>
        <w:br w:type="page"/>
      </w:r>
    </w:p>
    <w:p w:rsidR="00621ED0" w:rsidRPr="00EE003F" w:rsidRDefault="00621ED0" w:rsidP="004A5F67">
      <w:pPr>
        <w:suppressAutoHyphens/>
        <w:autoSpaceDE w:val="0"/>
        <w:autoSpaceDN w:val="0"/>
        <w:adjustRightInd w:val="0"/>
        <w:spacing w:before="113" w:after="113" w:line="240" w:lineRule="auto"/>
        <w:jc w:val="center"/>
        <w:textAlignment w:val="center"/>
        <w:rPr>
          <w:rFonts w:ascii="Arial Narrow" w:hAnsi="Arial Narrow" w:cs="Frutiger LT Std 45 Light"/>
          <w:b/>
          <w:sz w:val="24"/>
          <w:szCs w:val="20"/>
          <w:lang w:val="es-ES_tradnl"/>
        </w:rPr>
      </w:pPr>
      <w:r w:rsidRPr="00EE003F">
        <w:rPr>
          <w:rFonts w:ascii="Arial Narrow" w:hAnsi="Arial Narrow" w:cs="Frutiger LT Std 45 Light"/>
          <w:b/>
          <w:sz w:val="24"/>
          <w:szCs w:val="20"/>
          <w:lang w:val="es-ES_tradnl"/>
        </w:rPr>
        <w:t xml:space="preserve">Componentes del primer eje estratégico: Conectividad del país </w:t>
      </w:r>
    </w:p>
    <w:p w:rsidR="00621ED0" w:rsidRPr="00EE003F" w:rsidRDefault="00621ED0" w:rsidP="00621ED0">
      <w:pPr>
        <w:contextualSpacing/>
        <w:jc w:val="center"/>
        <w:rPr>
          <w:rFonts w:ascii="Arial" w:hAnsi="Arial" w:cs="Arial"/>
          <w:b/>
          <w:i/>
          <w:iCs/>
          <w:noProof/>
          <w:sz w:val="24"/>
          <w:szCs w:val="24"/>
          <w:lang w:val="es-ES" w:eastAsia="es-ES"/>
        </w:rPr>
      </w:pPr>
      <w:r w:rsidRPr="00EE003F">
        <w:rPr>
          <w:rFonts w:ascii="Arial" w:hAnsi="Arial" w:cs="Arial"/>
          <w:noProof/>
          <w:sz w:val="24"/>
          <w:szCs w:val="24"/>
          <w:lang w:eastAsia="es-PE"/>
        </w:rPr>
        <w:drawing>
          <wp:inline distT="0" distB="0" distL="0" distR="0" wp14:anchorId="72F2EEAE" wp14:editId="6CBB70C2">
            <wp:extent cx="4143763" cy="2574484"/>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3936" cy="2580804"/>
                    </a:xfrm>
                    <a:prstGeom prst="rect">
                      <a:avLst/>
                    </a:prstGeom>
                    <a:noFill/>
                    <a:ln>
                      <a:noFill/>
                    </a:ln>
                  </pic:spPr>
                </pic:pic>
              </a:graphicData>
            </a:graphic>
          </wp:inline>
        </w:drawing>
      </w:r>
    </w:p>
    <w:p w:rsidR="00621ED0" w:rsidRPr="00EE003F" w:rsidRDefault="00621ED0" w:rsidP="00621ED0">
      <w:pPr>
        <w:spacing w:after="0" w:line="240" w:lineRule="auto"/>
        <w:contextualSpacing/>
        <w:rPr>
          <w:noProof/>
          <w:sz w:val="20"/>
          <w:szCs w:val="20"/>
          <w:lang w:val="es-ES" w:eastAsia="es-ES"/>
        </w:rPr>
      </w:pPr>
      <w:r w:rsidRPr="00EE003F">
        <w:rPr>
          <w:noProof/>
          <w:sz w:val="20"/>
          <w:szCs w:val="20"/>
          <w:lang w:val="es-ES" w:eastAsia="es-ES"/>
        </w:rPr>
        <w:t xml:space="preserve">                        Elaboración: CNC. </w:t>
      </w:r>
    </w:p>
    <w:p w:rsidR="00621ED0" w:rsidRPr="00EE003F" w:rsidRDefault="00621ED0" w:rsidP="00621ED0">
      <w:pPr>
        <w:contextualSpacing/>
        <w:jc w:val="center"/>
        <w:rPr>
          <w:rFonts w:ascii="Arial" w:hAnsi="Arial" w:cs="Arial"/>
          <w:b/>
          <w:i/>
          <w:iCs/>
          <w:noProof/>
          <w:sz w:val="24"/>
          <w:szCs w:val="24"/>
          <w:lang w:val="es-ES" w:eastAsia="es-ES"/>
        </w:rPr>
      </w:pPr>
    </w:p>
    <w:p w:rsidR="00FC5806" w:rsidRPr="00EE003F" w:rsidRDefault="00FC5806" w:rsidP="004A5F67">
      <w:pPr>
        <w:suppressAutoHyphens/>
        <w:autoSpaceDE w:val="0"/>
        <w:autoSpaceDN w:val="0"/>
        <w:adjustRightInd w:val="0"/>
        <w:spacing w:before="113" w:after="113" w:line="240" w:lineRule="auto"/>
        <w:textAlignment w:val="center"/>
        <w:rPr>
          <w:rFonts w:ascii="Arial Narrow" w:hAnsi="Arial Narrow" w:cs="Frutiger LT Std 45 Light"/>
          <w:b/>
          <w:sz w:val="24"/>
          <w:szCs w:val="20"/>
          <w:lang w:val="es-ES_tradnl"/>
        </w:rPr>
      </w:pPr>
      <w:r w:rsidRPr="00EE003F">
        <w:rPr>
          <w:rFonts w:ascii="Arial Narrow" w:hAnsi="Arial Narrow" w:cs="Frutiger LT Std 45 Light"/>
          <w:b/>
          <w:sz w:val="24"/>
          <w:szCs w:val="20"/>
          <w:lang w:val="es-ES_tradnl"/>
        </w:rPr>
        <w:t xml:space="preserve">Segundo eje estratégico: Eficiencia del Estado </w:t>
      </w:r>
    </w:p>
    <w:p w:rsidR="004A5F67" w:rsidRPr="00EE003F" w:rsidRDefault="00FC5806" w:rsidP="00BF507D">
      <w:pPr>
        <w:suppressAutoHyphens/>
        <w:autoSpaceDE w:val="0"/>
        <w:autoSpaceDN w:val="0"/>
        <w:adjustRightInd w:val="0"/>
        <w:spacing w:before="113"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El segundo eje estratégico corresponde a la consecución de un Estado eficiente con la finalidad de lograr una mayor coordinación </w:t>
      </w:r>
      <w:proofErr w:type="spellStart"/>
      <w:r w:rsidRPr="00EE003F">
        <w:rPr>
          <w:rFonts w:ascii="Arial Narrow" w:hAnsi="Arial Narrow" w:cs="Frutiger LT Std 45 Light"/>
          <w:sz w:val="24"/>
          <w:szCs w:val="20"/>
          <w:lang w:val="es-ES_tradnl"/>
        </w:rPr>
        <w:t>intra</w:t>
      </w:r>
      <w:proofErr w:type="spellEnd"/>
      <w:r w:rsidRPr="00EE003F">
        <w:rPr>
          <w:rFonts w:ascii="Arial Narrow" w:hAnsi="Arial Narrow" w:cs="Frutiger LT Std 45 Light"/>
          <w:sz w:val="24"/>
          <w:szCs w:val="20"/>
          <w:lang w:val="es-ES_tradnl"/>
        </w:rPr>
        <w:t xml:space="preserve"> e inter institucional en la ejecución de las políticas asociadas a la competitividad. Este segundo eje estratégico presenta a su vez tres componentes: (i) Simplificación administrativa y calidad regulatoria; (ii) Gobierno Electrónico e intercambio de información; y (iii) Gestión del Territorio y Recursos Naturales, los cuales compilan una serie de metas de </w:t>
      </w:r>
      <w:r w:rsidR="00C008FC" w:rsidRPr="00EE003F">
        <w:rPr>
          <w:rFonts w:ascii="Arial Narrow" w:hAnsi="Arial Narrow" w:cs="Frutiger LT Std 45 Light"/>
          <w:sz w:val="24"/>
          <w:szCs w:val="20"/>
          <w:lang w:val="es-ES_tradnl"/>
        </w:rPr>
        <w:t xml:space="preserve">la </w:t>
      </w:r>
      <w:r w:rsidRPr="00EE003F">
        <w:rPr>
          <w:rFonts w:ascii="Arial Narrow" w:hAnsi="Arial Narrow" w:cs="Frutiger LT Std 45 Light"/>
          <w:sz w:val="24"/>
          <w:szCs w:val="20"/>
          <w:lang w:val="es-ES_tradnl"/>
        </w:rPr>
        <w:t>Agenda</w:t>
      </w:r>
      <w:r w:rsidR="00C008FC" w:rsidRPr="00EE003F">
        <w:rPr>
          <w:rFonts w:ascii="Arial Narrow" w:hAnsi="Arial Narrow" w:cs="Frutiger LT Std 45 Light"/>
          <w:sz w:val="24"/>
          <w:szCs w:val="20"/>
          <w:lang w:val="es-ES_tradnl"/>
        </w:rPr>
        <w:t xml:space="preserve"> de Competitividad</w:t>
      </w:r>
      <w:r w:rsidRPr="00EE003F">
        <w:rPr>
          <w:rFonts w:ascii="Arial Narrow" w:hAnsi="Arial Narrow" w:cs="Frutiger LT Std 45 Light"/>
          <w:sz w:val="24"/>
          <w:szCs w:val="20"/>
          <w:lang w:val="es-ES_tradnl"/>
        </w:rPr>
        <w:t xml:space="preserve">, tal como se muestra en el </w:t>
      </w:r>
      <w:r w:rsidR="00C008FC" w:rsidRPr="00EE003F">
        <w:rPr>
          <w:rFonts w:ascii="Arial Narrow" w:hAnsi="Arial Narrow" w:cs="Frutiger LT Std 45 Light"/>
          <w:sz w:val="24"/>
          <w:szCs w:val="20"/>
          <w:lang w:val="es-ES_tradnl"/>
        </w:rPr>
        <w:t xml:space="preserve">siguiente </w:t>
      </w:r>
      <w:r w:rsidRPr="00EE003F">
        <w:rPr>
          <w:rFonts w:ascii="Arial Narrow" w:hAnsi="Arial Narrow" w:cs="Frutiger LT Std 45 Light"/>
          <w:sz w:val="24"/>
          <w:szCs w:val="20"/>
          <w:lang w:val="es-ES_tradnl"/>
        </w:rPr>
        <w:t>cuadro</w:t>
      </w:r>
      <w:r w:rsidR="004A5F67" w:rsidRPr="00EE003F">
        <w:rPr>
          <w:rFonts w:ascii="Arial Narrow" w:hAnsi="Arial Narrow" w:cs="Frutiger LT Std 45 Light"/>
          <w:sz w:val="24"/>
          <w:szCs w:val="20"/>
          <w:lang w:val="es-ES_tradnl"/>
        </w:rPr>
        <w:t>:</w:t>
      </w:r>
    </w:p>
    <w:p w:rsidR="00C008FC" w:rsidRPr="00EE003F" w:rsidRDefault="00C008FC" w:rsidP="00A20359">
      <w:pPr>
        <w:suppressAutoHyphens/>
        <w:autoSpaceDE w:val="0"/>
        <w:autoSpaceDN w:val="0"/>
        <w:adjustRightInd w:val="0"/>
        <w:spacing w:before="113" w:after="113" w:line="240" w:lineRule="auto"/>
        <w:textAlignment w:val="center"/>
        <w:rPr>
          <w:rFonts w:ascii="Arial Narrow" w:hAnsi="Arial Narrow" w:cs="Frutiger LT Std 45 Light"/>
          <w:b/>
          <w:sz w:val="24"/>
          <w:szCs w:val="20"/>
          <w:lang w:val="es-ES_tradnl"/>
        </w:rPr>
      </w:pPr>
    </w:p>
    <w:p w:rsidR="00FC5806" w:rsidRPr="00EE003F" w:rsidRDefault="00FC5806" w:rsidP="004A5F67">
      <w:pPr>
        <w:suppressAutoHyphens/>
        <w:autoSpaceDE w:val="0"/>
        <w:autoSpaceDN w:val="0"/>
        <w:adjustRightInd w:val="0"/>
        <w:spacing w:before="113" w:after="113" w:line="240" w:lineRule="auto"/>
        <w:jc w:val="center"/>
        <w:textAlignment w:val="center"/>
        <w:rPr>
          <w:rFonts w:ascii="Arial Narrow" w:hAnsi="Arial Narrow" w:cs="Frutiger LT Std 45 Light"/>
          <w:b/>
          <w:sz w:val="24"/>
          <w:szCs w:val="20"/>
          <w:lang w:val="es-ES_tradnl"/>
        </w:rPr>
      </w:pPr>
      <w:r w:rsidRPr="00EE003F">
        <w:rPr>
          <w:rFonts w:ascii="Arial Narrow" w:hAnsi="Arial Narrow" w:cs="Frutiger LT Std 45 Light"/>
          <w:b/>
          <w:sz w:val="24"/>
          <w:szCs w:val="20"/>
          <w:lang w:val="es-ES_tradnl"/>
        </w:rPr>
        <w:t>Componentes del segundo eje estratégico: Eficiencia del Estado</w:t>
      </w:r>
    </w:p>
    <w:p w:rsidR="00C008FC" w:rsidRPr="00EE003F" w:rsidRDefault="00C008FC" w:rsidP="004A5F67">
      <w:pPr>
        <w:suppressAutoHyphens/>
        <w:autoSpaceDE w:val="0"/>
        <w:autoSpaceDN w:val="0"/>
        <w:adjustRightInd w:val="0"/>
        <w:spacing w:before="113" w:after="113" w:line="240" w:lineRule="auto"/>
        <w:jc w:val="center"/>
        <w:textAlignment w:val="center"/>
        <w:rPr>
          <w:rFonts w:ascii="Arial Narrow" w:hAnsi="Arial Narrow" w:cs="Frutiger LT Std 45 Light"/>
          <w:b/>
          <w:sz w:val="24"/>
          <w:szCs w:val="20"/>
          <w:lang w:val="es-ES_tradnl"/>
        </w:rPr>
      </w:pPr>
    </w:p>
    <w:p w:rsidR="00FC5806" w:rsidRPr="00EE003F" w:rsidRDefault="00FC5806" w:rsidP="00FC5806">
      <w:pPr>
        <w:contextualSpacing/>
        <w:jc w:val="center"/>
        <w:rPr>
          <w:rFonts w:ascii="Arial" w:hAnsi="Arial" w:cs="Arial"/>
          <w:b/>
          <w:i/>
          <w:iCs/>
          <w:sz w:val="24"/>
          <w:szCs w:val="24"/>
          <w:lang w:val="es-ES"/>
        </w:rPr>
      </w:pPr>
      <w:r w:rsidRPr="00EE003F">
        <w:rPr>
          <w:noProof/>
          <w:lang w:eastAsia="es-PE"/>
        </w:rPr>
        <w:drawing>
          <wp:inline distT="0" distB="0" distL="0" distR="0" wp14:anchorId="6DE1C3E0" wp14:editId="09245CE4">
            <wp:extent cx="4770783" cy="2952647"/>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5397" cy="2955503"/>
                    </a:xfrm>
                    <a:prstGeom prst="rect">
                      <a:avLst/>
                    </a:prstGeom>
                    <a:noFill/>
                    <a:ln>
                      <a:noFill/>
                    </a:ln>
                  </pic:spPr>
                </pic:pic>
              </a:graphicData>
            </a:graphic>
          </wp:inline>
        </w:drawing>
      </w:r>
    </w:p>
    <w:p w:rsidR="00621ED0" w:rsidRPr="00EE003F" w:rsidRDefault="00C008FC" w:rsidP="00A20359">
      <w:pPr>
        <w:spacing w:after="0" w:line="240" w:lineRule="auto"/>
        <w:contextualSpacing/>
        <w:rPr>
          <w:rFonts w:ascii="Arial Narrow" w:hAnsi="Arial Narrow" w:cs="Frutiger LT Std 45 Light"/>
          <w:sz w:val="24"/>
          <w:szCs w:val="20"/>
          <w:lang w:val="es-ES_tradnl"/>
        </w:rPr>
      </w:pPr>
      <w:r w:rsidRPr="00EE003F">
        <w:rPr>
          <w:noProof/>
          <w:sz w:val="20"/>
          <w:szCs w:val="20"/>
          <w:lang w:val="es-ES" w:eastAsia="es-ES"/>
        </w:rPr>
        <w:t xml:space="preserve">           </w:t>
      </w:r>
      <w:r w:rsidR="00FC5806" w:rsidRPr="00EE003F">
        <w:rPr>
          <w:noProof/>
          <w:sz w:val="20"/>
          <w:szCs w:val="20"/>
          <w:lang w:val="es-ES" w:eastAsia="es-ES"/>
        </w:rPr>
        <w:t xml:space="preserve">Elaboración: CNC. </w:t>
      </w:r>
    </w:p>
    <w:p w:rsidR="00BF507D" w:rsidRPr="00EE003F" w:rsidRDefault="00BF507D">
      <w:pPr>
        <w:rPr>
          <w:rFonts w:ascii="Arial Narrow" w:hAnsi="Arial Narrow" w:cs="Frutiger LT Std 45 Light"/>
          <w:b/>
          <w:sz w:val="24"/>
          <w:szCs w:val="20"/>
          <w:lang w:val="es-ES_tradnl"/>
        </w:rPr>
      </w:pPr>
      <w:r w:rsidRPr="00EE003F">
        <w:rPr>
          <w:rFonts w:ascii="Arial Narrow" w:hAnsi="Arial Narrow" w:cs="Frutiger LT Std 45 Light"/>
          <w:b/>
          <w:sz w:val="24"/>
          <w:szCs w:val="20"/>
          <w:lang w:val="es-ES_tradnl"/>
        </w:rPr>
        <w:br w:type="page"/>
      </w:r>
    </w:p>
    <w:p w:rsidR="00C008FC" w:rsidRPr="00EE003F" w:rsidRDefault="00C008FC" w:rsidP="004A5F67">
      <w:pPr>
        <w:suppressAutoHyphens/>
        <w:autoSpaceDE w:val="0"/>
        <w:autoSpaceDN w:val="0"/>
        <w:adjustRightInd w:val="0"/>
        <w:spacing w:before="113" w:after="113" w:line="240" w:lineRule="auto"/>
        <w:textAlignment w:val="center"/>
        <w:rPr>
          <w:rFonts w:ascii="Arial Narrow" w:hAnsi="Arial Narrow" w:cs="Frutiger LT Std 45 Light"/>
          <w:b/>
          <w:sz w:val="24"/>
          <w:szCs w:val="20"/>
          <w:lang w:val="es-ES_tradnl"/>
        </w:rPr>
      </w:pPr>
      <w:r w:rsidRPr="00EE003F">
        <w:rPr>
          <w:rFonts w:ascii="Arial Narrow" w:hAnsi="Arial Narrow" w:cs="Frutiger LT Std 45 Light"/>
          <w:b/>
          <w:sz w:val="24"/>
          <w:szCs w:val="20"/>
          <w:lang w:val="es-ES_tradnl"/>
        </w:rPr>
        <w:t>Tercer eje estratégico: Productividad empresarial</w:t>
      </w:r>
    </w:p>
    <w:p w:rsidR="004A5F67" w:rsidRPr="00EE003F" w:rsidRDefault="00C008FC" w:rsidP="00BF507D">
      <w:pPr>
        <w:suppressAutoHyphens/>
        <w:autoSpaceDE w:val="0"/>
        <w:autoSpaceDN w:val="0"/>
        <w:adjustRightInd w:val="0"/>
        <w:spacing w:before="113" w:after="0" w:line="240" w:lineRule="auto"/>
        <w:jc w:val="both"/>
        <w:textAlignment w:val="center"/>
        <w:rPr>
          <w:rFonts w:ascii="Arial" w:hAnsi="Arial" w:cs="Arial"/>
          <w:b/>
          <w:i/>
          <w:iCs/>
          <w:noProof/>
          <w:sz w:val="24"/>
          <w:szCs w:val="24"/>
          <w:lang w:val="es-ES_tradnl" w:eastAsia="es-ES"/>
        </w:rPr>
      </w:pPr>
      <w:r w:rsidRPr="00EE003F">
        <w:rPr>
          <w:rFonts w:ascii="Arial Narrow" w:hAnsi="Arial Narrow" w:cs="Frutiger LT Std 45 Light"/>
          <w:sz w:val="24"/>
          <w:szCs w:val="20"/>
          <w:lang w:val="es-ES_tradnl"/>
        </w:rPr>
        <w:t>El tercer eje estratégico corresponde a la consecución de un capital humano de calidad que facilite los procesos de innovación en un marco de d</w:t>
      </w:r>
      <w:r w:rsidR="00C91865" w:rsidRPr="00EE003F">
        <w:rPr>
          <w:rFonts w:ascii="Arial Narrow" w:hAnsi="Arial Narrow" w:cs="Frutiger LT Std 45 Light"/>
          <w:sz w:val="24"/>
          <w:szCs w:val="20"/>
          <w:lang w:val="es-ES_tradnl"/>
        </w:rPr>
        <w:t xml:space="preserve">esarrollo productivo articulado, lo cual finalmente permite </w:t>
      </w:r>
      <w:r w:rsidRPr="00EE003F">
        <w:rPr>
          <w:rFonts w:ascii="Arial Narrow" w:hAnsi="Arial Narrow" w:cs="Frutiger LT Std 45 Light"/>
          <w:sz w:val="24"/>
          <w:szCs w:val="20"/>
          <w:lang w:val="es-ES_tradnl"/>
        </w:rPr>
        <w:t>diversificar el aparato product</w:t>
      </w:r>
      <w:r w:rsidR="00C91865" w:rsidRPr="00EE003F">
        <w:rPr>
          <w:rFonts w:ascii="Arial Narrow" w:hAnsi="Arial Narrow" w:cs="Frutiger LT Std 45 Light"/>
          <w:sz w:val="24"/>
          <w:szCs w:val="20"/>
          <w:lang w:val="es-ES_tradnl"/>
        </w:rPr>
        <w:t>ivo del país. E</w:t>
      </w:r>
      <w:r w:rsidRPr="00EE003F">
        <w:rPr>
          <w:rFonts w:ascii="Arial Narrow" w:hAnsi="Arial Narrow" w:cs="Frutiger LT Std 45 Light"/>
          <w:sz w:val="24"/>
          <w:szCs w:val="20"/>
          <w:lang w:val="es-ES_tradnl"/>
        </w:rPr>
        <w:t xml:space="preserve">ste tercer eje estratégico presenta </w:t>
      </w:r>
      <w:r w:rsidR="00C91865" w:rsidRPr="00EE003F">
        <w:rPr>
          <w:rFonts w:ascii="Arial Narrow" w:hAnsi="Arial Narrow" w:cs="Frutiger LT Std 45 Light"/>
          <w:sz w:val="24"/>
          <w:szCs w:val="20"/>
          <w:lang w:val="es-ES_tradnl"/>
        </w:rPr>
        <w:t>c</w:t>
      </w:r>
      <w:r w:rsidRPr="00EE003F">
        <w:rPr>
          <w:rFonts w:ascii="Arial Narrow" w:hAnsi="Arial Narrow" w:cs="Frutiger LT Std 45 Light"/>
          <w:sz w:val="24"/>
          <w:szCs w:val="20"/>
          <w:lang w:val="es-ES_tradnl"/>
        </w:rPr>
        <w:t xml:space="preserve">uatro componentes: (i) Capital Humano de Calidad; (ii) Innovación Empresarial (creación de valor); (iii) Articulación productiva empresarial; y (iv) Oferta exportable diversificada. </w:t>
      </w:r>
      <w:r w:rsidR="00CE6A17" w:rsidRPr="00EE003F">
        <w:rPr>
          <w:rFonts w:ascii="Arial Narrow" w:hAnsi="Arial Narrow" w:cs="Frutiger LT Std 45 Light"/>
          <w:sz w:val="24"/>
          <w:szCs w:val="20"/>
          <w:lang w:val="es-ES_tradnl"/>
        </w:rPr>
        <w:t xml:space="preserve">Estos cuatro componentes aglomeran un conjunto de metas de la </w:t>
      </w:r>
      <w:r w:rsidRPr="00EE003F">
        <w:rPr>
          <w:rFonts w:ascii="Arial Narrow" w:hAnsi="Arial Narrow" w:cs="Frutiger LT Std 45 Light"/>
          <w:sz w:val="24"/>
          <w:szCs w:val="20"/>
          <w:lang w:val="es-ES_tradnl"/>
        </w:rPr>
        <w:t xml:space="preserve">Agenda de Competitividad, tal como se muestra en el </w:t>
      </w:r>
      <w:r w:rsidR="00CE6A17" w:rsidRPr="00EE003F">
        <w:rPr>
          <w:rFonts w:ascii="Arial Narrow" w:hAnsi="Arial Narrow" w:cs="Frutiger LT Std 45 Light"/>
          <w:sz w:val="24"/>
          <w:szCs w:val="20"/>
          <w:lang w:val="es-ES_tradnl"/>
        </w:rPr>
        <w:t xml:space="preserve">siguiente </w:t>
      </w:r>
      <w:r w:rsidRPr="00EE003F">
        <w:rPr>
          <w:rFonts w:ascii="Arial Narrow" w:hAnsi="Arial Narrow" w:cs="Frutiger LT Std 45 Light"/>
          <w:sz w:val="24"/>
          <w:szCs w:val="20"/>
          <w:lang w:val="es-ES_tradnl"/>
        </w:rPr>
        <w:t>cuadro</w:t>
      </w:r>
      <w:r w:rsidR="004A5F67" w:rsidRPr="00EE003F">
        <w:rPr>
          <w:rFonts w:ascii="Arial Narrow" w:hAnsi="Arial Narrow" w:cs="Frutiger LT Std 45 Light"/>
          <w:sz w:val="24"/>
          <w:szCs w:val="20"/>
          <w:lang w:val="es-ES_tradnl"/>
        </w:rPr>
        <w:t>:</w:t>
      </w:r>
      <w:r w:rsidRPr="00EE003F">
        <w:rPr>
          <w:rFonts w:ascii="Arial Narrow" w:hAnsi="Arial Narrow" w:cs="Frutiger LT Std 45 Light"/>
          <w:sz w:val="24"/>
          <w:szCs w:val="20"/>
          <w:lang w:val="es-ES_tradnl"/>
        </w:rPr>
        <w:t xml:space="preserve"> </w:t>
      </w:r>
    </w:p>
    <w:p w:rsidR="004A5F67" w:rsidRPr="00EE003F" w:rsidRDefault="004A5F67" w:rsidP="00C008FC">
      <w:pPr>
        <w:contextualSpacing/>
        <w:jc w:val="center"/>
        <w:rPr>
          <w:rFonts w:ascii="Arial" w:hAnsi="Arial" w:cs="Arial"/>
          <w:b/>
          <w:i/>
          <w:iCs/>
          <w:noProof/>
          <w:sz w:val="24"/>
          <w:szCs w:val="24"/>
          <w:lang w:val="es-ES_tradnl" w:eastAsia="es-ES"/>
        </w:rPr>
      </w:pPr>
    </w:p>
    <w:p w:rsidR="00C008FC" w:rsidRPr="00EE003F" w:rsidRDefault="00C008FC" w:rsidP="004A5F67">
      <w:pPr>
        <w:suppressAutoHyphens/>
        <w:autoSpaceDE w:val="0"/>
        <w:autoSpaceDN w:val="0"/>
        <w:adjustRightInd w:val="0"/>
        <w:spacing w:before="113" w:after="113" w:line="240" w:lineRule="auto"/>
        <w:jc w:val="center"/>
        <w:textAlignment w:val="center"/>
        <w:rPr>
          <w:rFonts w:ascii="Arial Narrow" w:hAnsi="Arial Narrow" w:cs="Frutiger LT Std 45 Light"/>
          <w:b/>
          <w:sz w:val="24"/>
          <w:szCs w:val="20"/>
          <w:lang w:val="es-ES_tradnl"/>
        </w:rPr>
      </w:pPr>
      <w:r w:rsidRPr="00EE003F">
        <w:rPr>
          <w:rFonts w:ascii="Arial Narrow" w:hAnsi="Arial Narrow" w:cs="Frutiger LT Std 45 Light"/>
          <w:b/>
          <w:sz w:val="24"/>
          <w:szCs w:val="20"/>
          <w:lang w:val="es-ES_tradnl"/>
        </w:rPr>
        <w:t>Componentes del tercer eje estratégico: Productividad empresarial</w:t>
      </w:r>
    </w:p>
    <w:p w:rsidR="00C008FC" w:rsidRPr="00EE003F" w:rsidRDefault="00C008FC" w:rsidP="00C008FC">
      <w:pPr>
        <w:contextualSpacing/>
        <w:jc w:val="center"/>
        <w:rPr>
          <w:rFonts w:ascii="Arial" w:hAnsi="Arial" w:cs="Arial"/>
          <w:b/>
          <w:i/>
          <w:iCs/>
          <w:noProof/>
          <w:sz w:val="24"/>
          <w:szCs w:val="24"/>
          <w:lang w:val="es-ES" w:eastAsia="es-ES"/>
        </w:rPr>
      </w:pPr>
      <w:r w:rsidRPr="00EE003F">
        <w:rPr>
          <w:noProof/>
          <w:lang w:eastAsia="es-PE"/>
        </w:rPr>
        <w:drawing>
          <wp:inline distT="0" distB="0" distL="0" distR="0" wp14:anchorId="530C5BB0" wp14:editId="1C264602">
            <wp:extent cx="3971925" cy="2605286"/>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2497" cy="2612220"/>
                    </a:xfrm>
                    <a:prstGeom prst="rect">
                      <a:avLst/>
                    </a:prstGeom>
                    <a:noFill/>
                    <a:ln>
                      <a:noFill/>
                    </a:ln>
                  </pic:spPr>
                </pic:pic>
              </a:graphicData>
            </a:graphic>
          </wp:inline>
        </w:drawing>
      </w:r>
    </w:p>
    <w:p w:rsidR="00C008FC" w:rsidRPr="00EE003F" w:rsidRDefault="00C008FC" w:rsidP="00C008FC">
      <w:pPr>
        <w:spacing w:after="0" w:line="240" w:lineRule="auto"/>
        <w:contextualSpacing/>
        <w:rPr>
          <w:noProof/>
          <w:sz w:val="20"/>
          <w:szCs w:val="20"/>
          <w:lang w:val="es-ES" w:eastAsia="es-ES"/>
        </w:rPr>
      </w:pPr>
      <w:r w:rsidRPr="00EE003F">
        <w:rPr>
          <w:noProof/>
          <w:sz w:val="20"/>
          <w:szCs w:val="20"/>
          <w:lang w:val="es-ES" w:eastAsia="es-ES"/>
        </w:rPr>
        <w:t xml:space="preserve">                              Elaboración: CNC. </w:t>
      </w:r>
    </w:p>
    <w:p w:rsidR="00A20359" w:rsidRPr="00EE003F" w:rsidRDefault="00A20359" w:rsidP="004C7B33">
      <w:pPr>
        <w:suppressAutoHyphens/>
        <w:autoSpaceDE w:val="0"/>
        <w:autoSpaceDN w:val="0"/>
        <w:adjustRightInd w:val="0"/>
        <w:spacing w:before="113" w:after="113" w:line="240" w:lineRule="auto"/>
        <w:jc w:val="both"/>
        <w:textAlignment w:val="center"/>
        <w:rPr>
          <w:rFonts w:ascii="Arial Narrow" w:hAnsi="Arial Narrow" w:cs="Frutiger LT Std 45 Light"/>
          <w:sz w:val="24"/>
          <w:szCs w:val="20"/>
          <w:lang w:val="es-ES_tradnl"/>
        </w:rPr>
      </w:pPr>
    </w:p>
    <w:p w:rsidR="006362DB" w:rsidRPr="00EE003F" w:rsidRDefault="00025581"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La Agenda de Competitividad</w:t>
      </w:r>
      <w:r w:rsidRPr="00EE003F">
        <w:rPr>
          <w:rFonts w:ascii="Arial Narrow" w:hAnsi="Arial Narrow" w:cs="Frutiger LT Std 45 Light"/>
          <w:b/>
          <w:sz w:val="24"/>
          <w:szCs w:val="20"/>
          <w:lang w:val="es-ES_tradnl"/>
        </w:rPr>
        <w:t xml:space="preserve"> </w:t>
      </w:r>
      <w:r w:rsidR="00997E39" w:rsidRPr="00EE003F">
        <w:rPr>
          <w:rFonts w:ascii="Arial Narrow" w:hAnsi="Arial Narrow" w:cs="Frutiger LT Std 45 Light"/>
          <w:sz w:val="24"/>
          <w:szCs w:val="20"/>
          <w:lang w:val="es-ES_tradnl"/>
        </w:rPr>
        <w:t>cuenta con un sistema de monitoreo y de cuantificación de avances que permite hacer el seguimiento a cad</w:t>
      </w:r>
      <w:r w:rsidR="00FD3874" w:rsidRPr="00EE003F">
        <w:rPr>
          <w:rFonts w:ascii="Arial Narrow" w:hAnsi="Arial Narrow" w:cs="Frutiger LT Std 45 Light"/>
          <w:sz w:val="24"/>
          <w:szCs w:val="20"/>
          <w:lang w:val="es-ES_tradnl"/>
        </w:rPr>
        <w:t>a una de las metas establecidas</w:t>
      </w:r>
      <w:r w:rsidR="003F37D4" w:rsidRPr="00EE003F">
        <w:rPr>
          <w:rFonts w:ascii="Arial Narrow" w:hAnsi="Arial Narrow" w:cs="Frutiger LT Std 45 Light"/>
          <w:sz w:val="24"/>
          <w:szCs w:val="20"/>
          <w:lang w:val="es-ES_tradnl"/>
        </w:rPr>
        <w:t xml:space="preserve">. </w:t>
      </w:r>
    </w:p>
    <w:p w:rsidR="00BF507D" w:rsidRPr="00EE003F" w:rsidRDefault="00BF507D" w:rsidP="0034759C">
      <w:pPr>
        <w:rPr>
          <w:lang w:val="es-ES_tradnl"/>
        </w:rPr>
      </w:pPr>
    </w:p>
    <w:p w:rsidR="005E582A" w:rsidRPr="00EE003F" w:rsidRDefault="005E582A" w:rsidP="004843F2">
      <w:pPr>
        <w:pStyle w:val="Ttulo2"/>
        <w:jc w:val="left"/>
        <w:rPr>
          <w:rFonts w:asciiTheme="minorHAnsi" w:hAnsiTheme="minorHAnsi"/>
          <w:lang w:val="es-ES_tradnl"/>
        </w:rPr>
      </w:pPr>
      <w:bookmarkStart w:id="14" w:name="_Toc453004655"/>
      <w:r w:rsidRPr="00EE003F">
        <w:rPr>
          <w:rFonts w:asciiTheme="minorHAnsi" w:hAnsiTheme="minorHAnsi"/>
          <w:lang w:val="es-ES_tradnl"/>
        </w:rPr>
        <w:t>Plan Nacional de Diversificación Productiva</w:t>
      </w:r>
      <w:bookmarkEnd w:id="14"/>
    </w:p>
    <w:p w:rsidR="005E582A" w:rsidRPr="00EE003F" w:rsidRDefault="005E582A"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Una estrategia de diversificación aislada es insuficiente para transformar la estructura productiva de la economía, ya que se encuentra sesgada al sector transable y hacia las empresas más productivas. Es por eso que se debe complementar con una estrategia orientada a elevar la productividad, reducir sobrecostos y eliminar regulaciones inadecuadas, a fin de promover el desarrollo productivo de las empresas, particularmente de aquellas que atienden al tramo inferior de la demanda.</w:t>
      </w:r>
    </w:p>
    <w:p w:rsidR="005E582A" w:rsidRPr="00EE003F" w:rsidRDefault="005E582A" w:rsidP="00BF507D">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El Plan Nacional de Diversificación Productiva se divide en tres ejes conformados por una dirección, un consejo en cada uno y 11 líneas de acción, las que se describen a continuación:</w:t>
      </w:r>
    </w:p>
    <w:p w:rsidR="005E582A" w:rsidRPr="00EE003F" w:rsidRDefault="005E582A" w:rsidP="005E582A">
      <w:pPr>
        <w:suppressAutoHyphens/>
        <w:autoSpaceDE w:val="0"/>
        <w:autoSpaceDN w:val="0"/>
        <w:adjustRightInd w:val="0"/>
        <w:spacing w:before="113" w:after="113" w:line="288" w:lineRule="auto"/>
        <w:jc w:val="both"/>
        <w:textAlignment w:val="center"/>
        <w:rPr>
          <w:rFonts w:ascii="Arial Narrow" w:hAnsi="Arial Narrow" w:cs="Frutiger LT Std 45 Light"/>
          <w:sz w:val="20"/>
          <w:szCs w:val="20"/>
          <w:lang w:val="es-ES_tradnl"/>
        </w:rPr>
      </w:pPr>
      <w:r w:rsidRPr="00EE003F">
        <w:rPr>
          <w:rFonts w:ascii="Arial Narrow" w:hAnsi="Arial Narrow" w:cs="Frutiger LT Std 45 Light"/>
          <w:noProof/>
          <w:sz w:val="20"/>
          <w:szCs w:val="20"/>
          <w:lang w:eastAsia="es-PE"/>
        </w:rPr>
        <w:drawing>
          <wp:inline distT="0" distB="0" distL="0" distR="0" wp14:anchorId="035870C1" wp14:editId="72EA4E2A">
            <wp:extent cx="4563745" cy="3307715"/>
            <wp:effectExtent l="0" t="0" r="8255" b="698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3745" cy="3307715"/>
                    </a:xfrm>
                    <a:prstGeom prst="rect">
                      <a:avLst/>
                    </a:prstGeom>
                    <a:noFill/>
                    <a:ln>
                      <a:noFill/>
                    </a:ln>
                  </pic:spPr>
                </pic:pic>
              </a:graphicData>
            </a:graphic>
          </wp:inline>
        </w:drawing>
      </w:r>
    </w:p>
    <w:p w:rsidR="005E582A" w:rsidRPr="00EE003F" w:rsidRDefault="005E582A" w:rsidP="001E0D19">
      <w:pPr>
        <w:suppressAutoHyphens/>
        <w:autoSpaceDE w:val="0"/>
        <w:autoSpaceDN w:val="0"/>
        <w:adjustRightInd w:val="0"/>
        <w:spacing w:before="850" w:after="113" w:line="288" w:lineRule="auto"/>
        <w:ind w:left="283"/>
        <w:jc w:val="both"/>
        <w:textAlignment w:val="center"/>
        <w:rPr>
          <w:rFonts w:ascii="Arial Narrow" w:hAnsi="Arial Narrow" w:cs="Frutiger LT Std 45 Light"/>
          <w:sz w:val="20"/>
          <w:szCs w:val="20"/>
          <w:lang w:val="es-ES_tradnl"/>
        </w:rPr>
      </w:pPr>
      <w:r w:rsidRPr="00EE003F">
        <w:rPr>
          <w:rFonts w:ascii="Arial Narrow" w:hAnsi="Arial Narrow" w:cs="RotisSemiSans"/>
          <w:sz w:val="32"/>
          <w:szCs w:val="32"/>
          <w:lang w:val="es-ES_tradnl"/>
        </w:rPr>
        <w:t xml:space="preserve">Eje 1: Promoción para la diversificación productiva. </w:t>
      </w:r>
    </w:p>
    <w:p w:rsidR="005E582A"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1</w:t>
      </w:r>
      <w:r w:rsidRPr="00EE003F">
        <w:rPr>
          <w:rFonts w:ascii="Arial Narrow" w:hAnsi="Arial Narrow" w:cs="Frutiger LT Std 45 Light"/>
          <w:sz w:val="24"/>
          <w:szCs w:val="20"/>
          <w:lang w:val="es-ES_tradnl"/>
        </w:rPr>
        <w:t>. En esta primera línea se diseñará propuestas estratégicas con la finalidad de insertar a las empresas peruanas de sectores con potencial de crecimiento en cadenas globales de valor. Para lograr este objetivo se requiere de un conjunto de estudios previos que permitan identificar cadenas, potencialidades y capacidades. Las herramientas con las que se cuenta son: agenda estratégica para el desarrollo de sectores con potencial de crecimiento, difusión de información sobre demandas potenciales y agenda para la superación de brechas de productividad con socios comerciales.</w:t>
      </w:r>
    </w:p>
    <w:p w:rsidR="005E582A"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2</w:t>
      </w:r>
      <w:r w:rsidRPr="00EE003F">
        <w:rPr>
          <w:rFonts w:ascii="Arial Narrow" w:hAnsi="Arial Narrow" w:cs="Frutiger LT Std 45 Light"/>
          <w:sz w:val="24"/>
          <w:szCs w:val="20"/>
          <w:lang w:val="es-ES_tradnl"/>
        </w:rPr>
        <w:t xml:space="preserve">. En esta línea de acción el tema céntrico es la atracción de inversión  extranjera directa (IED). Su prioridad va más allá de la simple recepción de recursos financieros, la importancia real es la adquisición de conocimiento y transferencia tecnología, los cuales potenciarán el capital humano peruano. </w:t>
      </w:r>
    </w:p>
    <w:p w:rsidR="005E582A" w:rsidRPr="00EE003F" w:rsidRDefault="005E582A" w:rsidP="00BF507D">
      <w:pPr>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3</w:t>
      </w:r>
      <w:r w:rsidRPr="00EE003F">
        <w:rPr>
          <w:rFonts w:ascii="Arial Narrow" w:hAnsi="Arial Narrow" w:cs="Frutiger LT Std 45 Light"/>
          <w:sz w:val="24"/>
          <w:szCs w:val="20"/>
          <w:lang w:val="es-ES_tradnl"/>
        </w:rPr>
        <w:t xml:space="preserve">. Esta línea de acción se centra en promover la innovación para avanzar en la diversificación. Las actividades que componen la promoción de la innovación son los estudios de competencia y de situación de posibilidades tecnológicas, programas para la promoción de innovación tecnológica física y social, consolidación de </w:t>
      </w:r>
      <w:proofErr w:type="spellStart"/>
      <w:r w:rsidRPr="00EE003F">
        <w:rPr>
          <w:rFonts w:ascii="Arial Narrow" w:hAnsi="Arial Narrow" w:cs="Frutiger LT Std 45 Light"/>
          <w:sz w:val="24"/>
          <w:szCs w:val="20"/>
          <w:lang w:val="es-ES_tradnl"/>
        </w:rPr>
        <w:t>start</w:t>
      </w:r>
      <w:proofErr w:type="spellEnd"/>
      <w:r w:rsidRPr="00EE003F">
        <w:rPr>
          <w:rFonts w:ascii="Arial Narrow" w:hAnsi="Arial Narrow" w:cs="Frutiger LT Std 45 Light"/>
          <w:sz w:val="24"/>
          <w:szCs w:val="20"/>
          <w:lang w:val="es-ES_tradnl"/>
        </w:rPr>
        <w:t>-ups, programas de fortalecimiento de incubadoras de negocios, fondos para la innovación productiva, entre otras.</w:t>
      </w:r>
    </w:p>
    <w:p w:rsidR="005E582A"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4</w:t>
      </w:r>
      <w:r w:rsidRPr="00EE003F">
        <w:rPr>
          <w:rFonts w:ascii="Arial Narrow" w:hAnsi="Arial Narrow" w:cs="Frutiger LT Std 45 Light"/>
          <w:sz w:val="24"/>
          <w:szCs w:val="20"/>
          <w:lang w:val="es-ES_tradnl"/>
        </w:rPr>
        <w:t>. Esta línea de acción se busca fomentar la innovación en las empresas y que esta sirva como instrumento permanente para el desarrollo de estrategias competitivas. Para lograr este objetivo se seguirá una lista de acciones: implementación y consolidación de líneas de concurso de innovación empresarial, mecanismos de apoyo a la formulación proyectos de innovación, implementación e nuevas líneas de concursos de innovación, agendas de innovación sectorial, perfeccionamiento de fondos para la innovación, entre otros.</w:t>
      </w:r>
    </w:p>
    <w:p w:rsidR="005E582A"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5</w:t>
      </w:r>
      <w:r w:rsidRPr="00EE003F">
        <w:rPr>
          <w:rFonts w:ascii="Arial Narrow" w:hAnsi="Arial Narrow" w:cs="Frutiger LT Std 45 Light"/>
          <w:sz w:val="24"/>
          <w:szCs w:val="20"/>
          <w:lang w:val="es-ES_tradnl"/>
        </w:rPr>
        <w:t xml:space="preserve">. En esta línea de acción se propone herramientas de calidad con el fin de generar condiciones favorables para los aumentos de productividad y competitividad. Las herramientas que se crearán en esta línea de acción son la implementación del </w:t>
      </w:r>
      <w:r w:rsidR="00343F58" w:rsidRPr="00EE003F">
        <w:rPr>
          <w:rFonts w:ascii="Arial Narrow" w:hAnsi="Arial Narrow" w:cs="Frutiger LT Std 45 Light"/>
          <w:sz w:val="24"/>
          <w:szCs w:val="20"/>
          <w:lang w:val="es-ES_tradnl"/>
        </w:rPr>
        <w:t>I</w:t>
      </w:r>
      <w:r w:rsidRPr="00EE003F">
        <w:rPr>
          <w:rFonts w:ascii="Arial Narrow" w:hAnsi="Arial Narrow" w:cs="Frutiger LT Std 45 Light"/>
          <w:sz w:val="24"/>
          <w:szCs w:val="20"/>
          <w:lang w:val="es-ES_tradnl"/>
        </w:rPr>
        <w:t xml:space="preserve">nstituto </w:t>
      </w:r>
      <w:r w:rsidR="00343F58" w:rsidRPr="00EE003F">
        <w:rPr>
          <w:rFonts w:ascii="Arial Narrow" w:hAnsi="Arial Narrow" w:cs="Frutiger LT Std 45 Light"/>
          <w:sz w:val="24"/>
          <w:szCs w:val="20"/>
          <w:lang w:val="es-ES_tradnl"/>
        </w:rPr>
        <w:t xml:space="preserve">Nacional  de </w:t>
      </w:r>
      <w:r w:rsidRPr="00EE003F">
        <w:rPr>
          <w:rFonts w:ascii="Arial Narrow" w:hAnsi="Arial Narrow" w:cs="Frutiger LT Std 45 Light"/>
          <w:sz w:val="24"/>
          <w:szCs w:val="20"/>
          <w:lang w:val="es-ES_tradnl"/>
        </w:rPr>
        <w:t>la calidad (IN</w:t>
      </w:r>
      <w:r w:rsidR="00343F58" w:rsidRPr="00EE003F">
        <w:rPr>
          <w:rFonts w:ascii="Arial Narrow" w:hAnsi="Arial Narrow" w:cs="Frutiger LT Std 45 Light"/>
          <w:sz w:val="24"/>
          <w:szCs w:val="20"/>
          <w:lang w:val="es-ES_tradnl"/>
        </w:rPr>
        <w:t>A</w:t>
      </w:r>
      <w:r w:rsidRPr="00EE003F">
        <w:rPr>
          <w:rFonts w:ascii="Arial Narrow" w:hAnsi="Arial Narrow" w:cs="Frutiger LT Std 45 Light"/>
          <w:sz w:val="24"/>
          <w:szCs w:val="20"/>
          <w:lang w:val="es-ES_tradnl"/>
        </w:rPr>
        <w:t>CAL), desarrollo de normas técnicas, acreditaciones laboratorios e Instrumento de financiamiento para la certificación de productos con normas técnicas</w:t>
      </w:r>
    </w:p>
    <w:p w:rsidR="005E582A" w:rsidRPr="00EE003F" w:rsidRDefault="005E582A" w:rsidP="001E0D19">
      <w:pPr>
        <w:suppressAutoHyphens/>
        <w:autoSpaceDE w:val="0"/>
        <w:autoSpaceDN w:val="0"/>
        <w:adjustRightInd w:val="0"/>
        <w:spacing w:before="283" w:after="113" w:line="288" w:lineRule="auto"/>
        <w:ind w:left="397" w:hanging="114"/>
        <w:textAlignment w:val="center"/>
        <w:rPr>
          <w:rFonts w:ascii="Arial Narrow" w:hAnsi="Arial Narrow" w:cs="Frutiger LT Std 45 Light"/>
          <w:sz w:val="20"/>
          <w:szCs w:val="20"/>
          <w:lang w:val="es-ES_tradnl"/>
        </w:rPr>
      </w:pPr>
      <w:r w:rsidRPr="00EE003F">
        <w:rPr>
          <w:rFonts w:ascii="Arial Narrow" w:hAnsi="Arial Narrow" w:cs="RotisSemiSans"/>
          <w:sz w:val="32"/>
          <w:szCs w:val="32"/>
          <w:lang w:val="es-ES_tradnl"/>
        </w:rPr>
        <w:t>Eje 2: Eliminación de sobrecostos y de regulaciones inadecuadas</w:t>
      </w:r>
    </w:p>
    <w:p w:rsidR="005E582A"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1</w:t>
      </w:r>
      <w:r w:rsidRPr="00EE003F">
        <w:rPr>
          <w:rFonts w:ascii="Arial Narrow" w:hAnsi="Arial Narrow" w:cs="Frutiger LT Std 45 Light"/>
          <w:sz w:val="24"/>
          <w:szCs w:val="20"/>
          <w:lang w:val="es-ES_tradnl"/>
        </w:rPr>
        <w:t>. Esta línea de acción se centra en el monitoreo y mejoras de regulaciones sobre todos en tres aéreas: laboral, salud y medioambiental. Las acciones a seguir son: la presentación de un informe anual sobre percepciones de regulaciones y la detección permanente de oportunidades de mejora de regulación.</w:t>
      </w:r>
    </w:p>
    <w:p w:rsidR="005E582A"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2</w:t>
      </w:r>
      <w:r w:rsidRPr="00EE003F">
        <w:rPr>
          <w:rFonts w:ascii="Arial Narrow" w:hAnsi="Arial Narrow" w:cs="Frutiger LT Std 45 Light"/>
          <w:sz w:val="24"/>
          <w:szCs w:val="20"/>
          <w:lang w:val="es-ES_tradnl"/>
        </w:rPr>
        <w:t xml:space="preserve">. En esta línea se busca identificar oportunidades de mejora e implementar medidas idóneas para la optimización de aquellos trámites y procedimientos esenciales para el desarrollo de las actividades productivas del país. Las principales actividades que componen esta línea de acción son la simplificación de trámites a cargo, identificación de oportunidades para una mayor proactividad, facilitaciones pago de impuestos, la sistematización de la demanda de información del Estado y la difusión </w:t>
      </w:r>
    </w:p>
    <w:p w:rsidR="005E582A" w:rsidRPr="00EE003F" w:rsidRDefault="005E582A" w:rsidP="001E0D19">
      <w:pPr>
        <w:suppressAutoHyphens/>
        <w:autoSpaceDE w:val="0"/>
        <w:autoSpaceDN w:val="0"/>
        <w:adjustRightInd w:val="0"/>
        <w:spacing w:before="283" w:after="113" w:line="288" w:lineRule="auto"/>
        <w:ind w:left="397" w:hanging="114"/>
        <w:jc w:val="both"/>
        <w:textAlignment w:val="center"/>
        <w:rPr>
          <w:rFonts w:ascii="Arial Narrow" w:hAnsi="Arial Narrow" w:cs="Frutiger LT Std 45 Light"/>
          <w:sz w:val="20"/>
          <w:szCs w:val="20"/>
          <w:lang w:val="es-ES_tradnl"/>
        </w:rPr>
      </w:pPr>
      <w:r w:rsidRPr="00EE003F">
        <w:rPr>
          <w:rFonts w:ascii="Arial Narrow" w:hAnsi="Arial Narrow" w:cs="RotisSemiSans"/>
          <w:sz w:val="32"/>
          <w:szCs w:val="32"/>
          <w:lang w:val="es-ES_tradnl"/>
        </w:rPr>
        <w:t>Eje 3: Expansión de la productividad</w:t>
      </w:r>
    </w:p>
    <w:p w:rsidR="005E582A"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1</w:t>
      </w:r>
      <w:r w:rsidRPr="00EE003F">
        <w:rPr>
          <w:rFonts w:ascii="Arial Narrow" w:hAnsi="Arial Narrow" w:cs="Frutiger LT Std 45 Light"/>
          <w:sz w:val="24"/>
          <w:szCs w:val="20"/>
          <w:lang w:val="es-ES_tradnl"/>
        </w:rPr>
        <w:t xml:space="preserve">. Esta línea de acción concentra propuestas para facilitar el acceso a conocimientos, tecnologías y </w:t>
      </w:r>
      <w:proofErr w:type="spellStart"/>
      <w:r w:rsidRPr="00EE003F">
        <w:rPr>
          <w:rFonts w:ascii="Arial Narrow" w:hAnsi="Arial Narrow" w:cs="Frutiger LT Std 45 Light"/>
          <w:sz w:val="24"/>
          <w:szCs w:val="20"/>
          <w:lang w:val="es-ES_tradnl"/>
        </w:rPr>
        <w:t>know</w:t>
      </w:r>
      <w:proofErr w:type="spellEnd"/>
      <w:r w:rsidRPr="00EE003F">
        <w:rPr>
          <w:rFonts w:ascii="Arial Narrow" w:hAnsi="Arial Narrow" w:cs="Frutiger LT Std 45 Light"/>
          <w:sz w:val="24"/>
          <w:szCs w:val="20"/>
          <w:lang w:val="es-ES_tradnl"/>
        </w:rPr>
        <w:t xml:space="preserve"> </w:t>
      </w:r>
      <w:proofErr w:type="spellStart"/>
      <w:r w:rsidRPr="00EE003F">
        <w:rPr>
          <w:rFonts w:ascii="Arial Narrow" w:hAnsi="Arial Narrow" w:cs="Frutiger LT Std 45 Light"/>
          <w:sz w:val="24"/>
          <w:szCs w:val="20"/>
          <w:lang w:val="es-ES_tradnl"/>
        </w:rPr>
        <w:t>how</w:t>
      </w:r>
      <w:proofErr w:type="spellEnd"/>
      <w:r w:rsidRPr="00EE003F">
        <w:rPr>
          <w:rFonts w:ascii="Arial Narrow" w:hAnsi="Arial Narrow" w:cs="Frutiger LT Std 45 Light"/>
          <w:sz w:val="24"/>
          <w:szCs w:val="20"/>
          <w:lang w:val="es-ES_tradnl"/>
        </w:rPr>
        <w:t>. Su agenda se centra en la creación de programas de difusión tecnológicas en donde se fortalecerán los Centros de innovación y Tecnología (CITE), programas de centros de desarrollo empresarial y difusión tecnológica en el sector agropecuario.</w:t>
      </w:r>
    </w:p>
    <w:p w:rsidR="005E582A"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2</w:t>
      </w:r>
      <w:r w:rsidRPr="00EE003F">
        <w:rPr>
          <w:rFonts w:ascii="Arial Narrow" w:hAnsi="Arial Narrow" w:cs="Frutiger LT Std 45 Light"/>
          <w:sz w:val="24"/>
          <w:szCs w:val="20"/>
          <w:lang w:val="es-ES_tradnl"/>
        </w:rPr>
        <w:t xml:space="preserve">. Esta línea de acción presenta propuestas para lograr la interrelación entre las empresas, instituciones u organizaciones. La sinergia que produce la proximidad geográfica entre empresas de una misma industria e industrias conexas deriva en la reducción significativa de una serie de costos de producción. Los programas propuestos son el programa de apoyo a </w:t>
      </w:r>
      <w:proofErr w:type="spellStart"/>
      <w:r w:rsidRPr="00EE003F">
        <w:rPr>
          <w:rFonts w:ascii="Arial Narrow" w:hAnsi="Arial Narrow" w:cs="Frutiger LT Std 45 Light"/>
          <w:sz w:val="24"/>
          <w:szCs w:val="20"/>
          <w:lang w:val="es-ES_tradnl"/>
        </w:rPr>
        <w:t>Clusters</w:t>
      </w:r>
      <w:proofErr w:type="spellEnd"/>
      <w:r w:rsidRPr="00EE003F">
        <w:rPr>
          <w:rFonts w:ascii="Arial Narrow" w:hAnsi="Arial Narrow" w:cs="Frutiger LT Std 45 Light"/>
          <w:sz w:val="24"/>
          <w:szCs w:val="20"/>
          <w:lang w:val="es-ES_tradnl"/>
        </w:rPr>
        <w:t xml:space="preserve"> y el programa de desarrollo de proveedores </w:t>
      </w:r>
    </w:p>
    <w:p w:rsidR="005E582A"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3</w:t>
      </w:r>
      <w:r w:rsidRPr="00EE003F">
        <w:rPr>
          <w:rFonts w:ascii="Arial Narrow" w:hAnsi="Arial Narrow" w:cs="Frutiger LT Std 45 Light"/>
          <w:sz w:val="24"/>
          <w:szCs w:val="20"/>
          <w:lang w:val="es-ES_tradnl"/>
        </w:rPr>
        <w:t>. Esta línea de acción se centra en la provisión de insumos complementarios los cuales tienen el potencial para incrementar la productividad. Las principales acciones que incorpora esta línea de acción son los mecanismos para mejorar la provisión de insumos públicos y privados, reducción de brechas de infraestructura de transporte y comunicaciones, impulso de ordenamiento territorial y la promoción de parques industriales.</w:t>
      </w:r>
    </w:p>
    <w:p w:rsidR="005E582A"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b/>
          <w:sz w:val="24"/>
          <w:szCs w:val="20"/>
          <w:lang w:val="es-ES_tradnl"/>
        </w:rPr>
        <w:t>Línea de acción 4</w:t>
      </w:r>
      <w:r w:rsidRPr="00EE003F">
        <w:rPr>
          <w:rFonts w:ascii="Arial Narrow" w:hAnsi="Arial Narrow" w:cs="Frutiger LT Std 45 Light"/>
          <w:sz w:val="24"/>
          <w:szCs w:val="20"/>
          <w:lang w:val="es-ES_tradnl"/>
        </w:rPr>
        <w:t>. Por ultimo en esta línea de acción se trabajaran en temas como el mejoramiento de capital humano en los trabajadores y la demanda de profesionales. Las acciones propuestas serán las siguientes: agilización del proceso de licenciamiento de institutos y carreras en los institutos de educación superior tecnológica (IEST )</w:t>
      </w:r>
      <w:r w:rsidR="00CF0AF1" w:rsidRPr="00EE003F">
        <w:rPr>
          <w:rFonts w:ascii="Arial Narrow" w:hAnsi="Arial Narrow" w:cs="Frutiger LT Std 45 Light"/>
          <w:sz w:val="24"/>
          <w:szCs w:val="20"/>
          <w:lang w:val="es-ES_tradnl"/>
        </w:rPr>
        <w:t xml:space="preserve"> </w:t>
      </w:r>
      <w:r w:rsidRPr="00EE003F">
        <w:rPr>
          <w:rFonts w:ascii="Arial Narrow" w:hAnsi="Arial Narrow" w:cs="Frutiger LT Std 45 Light"/>
          <w:sz w:val="24"/>
          <w:szCs w:val="20"/>
          <w:lang w:val="es-ES_tradnl"/>
        </w:rPr>
        <w:t xml:space="preserve">y en los centros de educación técnico productiva (CETPRO), implementación del Sistema Nacional de Cualificaciones Profesionales, observatorios de educación y empleo; mejora de la infraestructura y gestión de IEST y CETPRO con participación privada; mejora y promoción del esquema de </w:t>
      </w:r>
      <w:proofErr w:type="spellStart"/>
      <w:r w:rsidRPr="00EE003F">
        <w:rPr>
          <w:rFonts w:ascii="Arial Narrow" w:hAnsi="Arial Narrow" w:cs="Frutiger LT Std 45 Light"/>
          <w:sz w:val="24"/>
          <w:szCs w:val="20"/>
          <w:lang w:val="es-ES_tradnl"/>
        </w:rPr>
        <w:t>factoring</w:t>
      </w:r>
      <w:proofErr w:type="spellEnd"/>
      <w:r w:rsidRPr="00EE003F">
        <w:rPr>
          <w:rFonts w:ascii="Arial Narrow" w:hAnsi="Arial Narrow" w:cs="Frutiger LT Std 45 Light"/>
          <w:sz w:val="24"/>
          <w:szCs w:val="20"/>
          <w:lang w:val="es-ES_tradnl"/>
        </w:rPr>
        <w:t>; promoción de la sociedad de garantía recíproca (SGR), entre otras.</w:t>
      </w:r>
    </w:p>
    <w:p w:rsidR="002E495C" w:rsidRPr="00EE003F" w:rsidRDefault="005E582A" w:rsidP="00BF507D">
      <w:pPr>
        <w:suppressAutoHyphens/>
        <w:autoSpaceDE w:val="0"/>
        <w:autoSpaceDN w:val="0"/>
        <w:adjustRightInd w:val="0"/>
        <w:spacing w:before="113" w:after="0" w:line="240" w:lineRule="auto"/>
        <w:ind w:left="284"/>
        <w:jc w:val="both"/>
        <w:textAlignment w:val="center"/>
        <w:rPr>
          <w:rFonts w:ascii="Arial Narrow" w:hAnsi="Arial Narrow" w:cs="RotisSemiSans"/>
          <w:sz w:val="40"/>
          <w:szCs w:val="40"/>
        </w:rPr>
      </w:pPr>
      <w:r w:rsidRPr="00EE003F">
        <w:rPr>
          <w:rFonts w:ascii="Arial Narrow" w:hAnsi="Arial Narrow" w:cs="Frutiger LT Std 45 Light"/>
          <w:sz w:val="24"/>
          <w:szCs w:val="20"/>
          <w:lang w:val="es-ES_tradnl"/>
        </w:rPr>
        <w:t>E</w:t>
      </w:r>
      <w:r w:rsidR="001A2965" w:rsidRPr="00EE003F">
        <w:rPr>
          <w:rFonts w:ascii="Arial Narrow" w:hAnsi="Arial Narrow" w:cs="Frutiger LT Std 45 Light"/>
          <w:sz w:val="24"/>
          <w:szCs w:val="20"/>
          <w:lang w:val="es-ES_tradnl"/>
        </w:rPr>
        <w:t>l</w:t>
      </w:r>
      <w:r w:rsidRPr="00EE003F">
        <w:rPr>
          <w:rFonts w:ascii="Arial Narrow" w:hAnsi="Arial Narrow" w:cs="Frutiger LT Std 45 Light"/>
          <w:sz w:val="24"/>
          <w:szCs w:val="20"/>
          <w:lang w:val="es-ES_tradnl"/>
        </w:rPr>
        <w:t xml:space="preserve"> Plan Nacional de Diversificación Productiva se presenta como una alternativa ante la desaceleración económica del país. Su objetivo es impulsar a las empresas que son el motor del país, a través de tres ejes que busca</w:t>
      </w:r>
      <w:r w:rsidR="00CF0AF1" w:rsidRPr="00EE003F">
        <w:rPr>
          <w:rFonts w:ascii="Arial Narrow" w:hAnsi="Arial Narrow" w:cs="Frutiger LT Std 45 Light"/>
          <w:sz w:val="24"/>
          <w:szCs w:val="20"/>
          <w:lang w:val="es-ES_tradnl"/>
        </w:rPr>
        <w:t>n</w:t>
      </w:r>
      <w:r w:rsidRPr="00EE003F">
        <w:rPr>
          <w:rFonts w:ascii="Arial Narrow" w:hAnsi="Arial Narrow" w:cs="Frutiger LT Std 45 Light"/>
          <w:sz w:val="24"/>
          <w:szCs w:val="20"/>
          <w:lang w:val="es-ES_tradnl"/>
        </w:rPr>
        <w:t xml:space="preserve"> aumentar la productividad y diversificación de la economía peruana. Para la implementación de estos ejes se requiere de un diseño institucional con tres fases: una primera de análisis y diseño de políticas (fase técnica), una segunda de coordinación (fase política) y una tercera de ejecución (fase de brazos ejecutores). El éxito del Plan dependerá mucho de la comprensión de sus ejes, la coordinación entre sectores y que tan adecuadas sean las capacidades </w:t>
      </w:r>
      <w:r w:rsidR="00DE389C" w:rsidRPr="00EE003F">
        <w:rPr>
          <w:rFonts w:ascii="Arial Narrow" w:hAnsi="Arial Narrow" w:cs="Frutiger LT Std 45 Light"/>
          <w:sz w:val="24"/>
          <w:szCs w:val="20"/>
          <w:lang w:val="es-ES_tradnl"/>
        </w:rPr>
        <w:t>en las burocracias involucradas</w:t>
      </w:r>
      <w:r w:rsidR="00E47B33" w:rsidRPr="00EE003F">
        <w:rPr>
          <w:rFonts w:ascii="Arial Narrow" w:hAnsi="Arial Narrow" w:cs="Frutiger LT Std 45 Light"/>
          <w:sz w:val="24"/>
          <w:szCs w:val="20"/>
          <w:lang w:val="es-ES_tradnl"/>
        </w:rPr>
        <w:t>.</w:t>
      </w:r>
    </w:p>
    <w:p w:rsidR="00105D37" w:rsidRPr="00EE003F" w:rsidRDefault="00105D37" w:rsidP="004843F2">
      <w:pPr>
        <w:pStyle w:val="Ttulo2"/>
        <w:jc w:val="left"/>
        <w:rPr>
          <w:rFonts w:asciiTheme="minorHAnsi" w:hAnsiTheme="minorHAnsi"/>
          <w:lang w:val="es-ES_tradnl"/>
        </w:rPr>
      </w:pPr>
      <w:bookmarkStart w:id="15" w:name="_Toc453004656"/>
      <w:r w:rsidRPr="00EE003F">
        <w:rPr>
          <w:rFonts w:asciiTheme="minorHAnsi" w:hAnsiTheme="minorHAnsi"/>
          <w:lang w:val="es-ES_tradnl"/>
        </w:rPr>
        <w:t>Plan Estratégico Nacional Exportador (PENX</w:t>
      </w:r>
      <w:r w:rsidR="00474E6A" w:rsidRPr="00EE003F">
        <w:rPr>
          <w:rFonts w:asciiTheme="minorHAnsi" w:hAnsiTheme="minorHAnsi"/>
          <w:lang w:val="es-ES_tradnl"/>
        </w:rPr>
        <w:t xml:space="preserve"> 2025</w:t>
      </w:r>
      <w:r w:rsidRPr="00EE003F">
        <w:rPr>
          <w:rFonts w:asciiTheme="minorHAnsi" w:hAnsiTheme="minorHAnsi"/>
          <w:lang w:val="es-ES_tradnl"/>
        </w:rPr>
        <w:t>)</w:t>
      </w:r>
      <w:bookmarkEnd w:id="15"/>
      <w:r w:rsidRPr="00EE003F">
        <w:rPr>
          <w:rFonts w:asciiTheme="minorHAnsi" w:hAnsiTheme="minorHAnsi"/>
          <w:lang w:val="es-ES_tradnl"/>
        </w:rPr>
        <w:tab/>
      </w:r>
    </w:p>
    <w:p w:rsidR="00105D37" w:rsidRPr="00EE003F" w:rsidRDefault="00105D37"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Desde hace más de una década, el comercio exterior se ha convertido en uno de los principales motores de la economía peruana. Esto ha sido posible gracias al desarrollo de la política comercial firmemente enfocada en incrementar y diversificar el comercio, con todos los beneficios que ello trae a la economía: creación de empleo, reducción de costos de producción y mejoras generales en la competitividad y desarrollo del país.</w:t>
      </w:r>
    </w:p>
    <w:p w:rsidR="00105D37" w:rsidRPr="00EE003F" w:rsidRDefault="00105D37"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La actualización del Plan Estratégico Nacional Exportador al 2025, PENX 2025, representa una oportunidad para impulsar el crecimiento sostenible y diversificado de las exportaciones peruanas. Se trata de una adecuación del Plan para adaptarse al nuevo escenario internacional y la cambiante realidad nacional, destacando la adopción de medidas para mejorar la competitividad del sector comercio exterior de manera complementaria a otras iniciativas sectoriales en el marco del Plan Estratégico de Desarrollo Nacional.</w:t>
      </w:r>
    </w:p>
    <w:p w:rsidR="00602889" w:rsidRPr="00EE003F" w:rsidRDefault="00BF507D"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E</w:t>
      </w:r>
      <w:r w:rsidR="00602889" w:rsidRPr="00EE003F">
        <w:rPr>
          <w:rFonts w:ascii="Arial Narrow" w:hAnsi="Arial Narrow" w:cs="Frutiger LT Std 45 Light"/>
          <w:sz w:val="24"/>
          <w:szCs w:val="20"/>
          <w:lang w:val="es-ES_tradnl"/>
        </w:rPr>
        <w:t>l Plan Estratégico Nacional Exportador (PENX 2025) que generará el impulso necesario para reducir las brechas de competitividad de las exportaciones y consolidar la internacionalización de la empresa peruana. Para ello el PENX 2025 establece los siguientes objetivos estratégicos: (i) profundizar la internacionalización de empresas; (ii) incrementar de manera sostenible y diversificada las exportaciones de bienes y servicios con valor agregado; y (iii) mejorar la competitividad del sector exportador.</w:t>
      </w:r>
    </w:p>
    <w:p w:rsidR="00602889" w:rsidRPr="00EE003F" w:rsidRDefault="00602889" w:rsidP="00602889">
      <w:pPr>
        <w:suppressAutoHyphens/>
        <w:autoSpaceDE w:val="0"/>
        <w:autoSpaceDN w:val="0"/>
        <w:adjustRightInd w:val="0"/>
        <w:spacing w:before="113" w:after="113" w:line="240" w:lineRule="auto"/>
        <w:ind w:left="283"/>
        <w:jc w:val="both"/>
        <w:textAlignment w:val="center"/>
        <w:rPr>
          <w:rFonts w:ascii="Arial Narrow" w:hAnsi="Arial Narrow" w:cs="Frutiger LT Std 45 Light"/>
          <w:sz w:val="24"/>
          <w:szCs w:val="20"/>
          <w:lang w:val="es-ES_tradnl"/>
        </w:rPr>
      </w:pPr>
    </w:p>
    <w:p w:rsidR="00602889" w:rsidRPr="00EE003F" w:rsidRDefault="00602889" w:rsidP="00602889">
      <w:pPr>
        <w:suppressAutoHyphens/>
        <w:autoSpaceDE w:val="0"/>
        <w:autoSpaceDN w:val="0"/>
        <w:adjustRightInd w:val="0"/>
        <w:spacing w:before="113" w:after="113" w:line="240" w:lineRule="auto"/>
        <w:ind w:left="283"/>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PENX 2025 – Nivel Estratégico: Objetivos Estratégicos</w:t>
      </w:r>
    </w:p>
    <w:p w:rsidR="00602889" w:rsidRPr="00EE003F" w:rsidRDefault="00602889" w:rsidP="00105D37">
      <w:pPr>
        <w:suppressAutoHyphens/>
        <w:autoSpaceDE w:val="0"/>
        <w:autoSpaceDN w:val="0"/>
        <w:adjustRightInd w:val="0"/>
        <w:spacing w:before="113" w:after="113" w:line="240" w:lineRule="auto"/>
        <w:ind w:left="283"/>
        <w:jc w:val="both"/>
        <w:textAlignment w:val="center"/>
        <w:rPr>
          <w:rFonts w:ascii="Arial Narrow" w:hAnsi="Arial Narrow" w:cs="Frutiger LT Std 45 Light"/>
          <w:sz w:val="24"/>
          <w:szCs w:val="20"/>
          <w:lang w:val="es-ES_tradnl"/>
        </w:rPr>
      </w:pPr>
      <w:r w:rsidRPr="00EE003F">
        <w:rPr>
          <w:noProof/>
          <w:lang w:eastAsia="es-PE"/>
        </w:rPr>
        <w:drawing>
          <wp:inline distT="0" distB="0" distL="0" distR="0" wp14:anchorId="21C587FD" wp14:editId="31FEA996">
            <wp:extent cx="3923414" cy="2548080"/>
            <wp:effectExtent l="0" t="0" r="1270" b="5080"/>
            <wp:docPr id="153" name="Imagen 153"/>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5960" cy="2549733"/>
                    </a:xfrm>
                    <a:prstGeom prst="rect">
                      <a:avLst/>
                    </a:prstGeom>
                    <a:noFill/>
                  </pic:spPr>
                </pic:pic>
              </a:graphicData>
            </a:graphic>
          </wp:inline>
        </w:drawing>
      </w:r>
    </w:p>
    <w:p w:rsidR="00105D37" w:rsidRPr="00EE003F" w:rsidRDefault="00105D37"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De esta manera, el PENX establece cuatro pilares estratégicos: (i) internacionalización de la empresa y diversificación de mercados, (ii) oferta exportable diversificada, competitiva y sostenible, (iii) facilitación del comercio exterior y eficiencia de la cadena logística internacional, y (iv) generación de capacidades para la internacionalización y consolidación de una cultura exportadora. El primer pilar de internacionalización busca apoyar los esfuerzos de las empresas peruanas de participar en las economías de otros países para la diversificación de mercados y productos con el fin de tomar mayor ventaja de las mejores condiciones de oferta. El segundo pilar de oferta exportable busca consolidar las exportaciones peruanas con énfasis en las exportaciones no tradicionales y de servicios. El pilar de facilitación busca reducir los costos de transacción asociados a las operaciones de comercio exterior, incluyendo no solo aspectos normativos y procedimentales, sino también logísticos y financieros. Finalmente, el pilar de generación de capacidades busca fortalecer las capacidades empresariales exportadoras que consoliden nuevos mercados, productos y/o servicios diversificados, reconociendo, tal como el PENX lo hace, que la unidad crítica de intervención es la empresa.</w:t>
      </w:r>
    </w:p>
    <w:p w:rsidR="00105D37" w:rsidRPr="00EE003F" w:rsidRDefault="00105D37" w:rsidP="00BF507D">
      <w:pPr>
        <w:suppressAutoHyphens/>
        <w:autoSpaceDE w:val="0"/>
        <w:autoSpaceDN w:val="0"/>
        <w:adjustRightInd w:val="0"/>
        <w:spacing w:before="113" w:after="0" w:line="240" w:lineRule="auto"/>
        <w:ind w:left="284"/>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La estructura del PENX 2025 se define a través de cuatro pilares que sirven como marco de referencia e incluyen líneas de acción y proyectos, que se muestran a continuación:</w:t>
      </w:r>
    </w:p>
    <w:p w:rsidR="001B688D" w:rsidRPr="00EE003F" w:rsidRDefault="001B688D" w:rsidP="00105D37">
      <w:pPr>
        <w:suppressAutoHyphens/>
        <w:autoSpaceDE w:val="0"/>
        <w:autoSpaceDN w:val="0"/>
        <w:adjustRightInd w:val="0"/>
        <w:spacing w:before="113" w:after="113" w:line="240" w:lineRule="auto"/>
        <w:ind w:left="283"/>
        <w:jc w:val="both"/>
        <w:textAlignment w:val="center"/>
        <w:rPr>
          <w:rFonts w:ascii="Arial Narrow" w:hAnsi="Arial Narrow" w:cs="Frutiger LT Std 45 Light"/>
          <w:sz w:val="24"/>
          <w:szCs w:val="20"/>
          <w:lang w:val="es-ES_tradnl"/>
        </w:rPr>
      </w:pPr>
    </w:p>
    <w:p w:rsidR="00602889" w:rsidRPr="00EE003F" w:rsidRDefault="00105D37" w:rsidP="00105D37">
      <w:pPr>
        <w:suppressAutoHyphens/>
        <w:autoSpaceDE w:val="0"/>
        <w:autoSpaceDN w:val="0"/>
        <w:adjustRightInd w:val="0"/>
        <w:spacing w:before="113" w:after="113" w:line="240" w:lineRule="auto"/>
        <w:ind w:left="283"/>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ab/>
      </w:r>
      <w:r w:rsidR="00602889" w:rsidRPr="00EE003F">
        <w:rPr>
          <w:rFonts w:ascii="Arial Narrow" w:hAnsi="Arial Narrow" w:cs="Frutiger LT Std 45 Light"/>
          <w:sz w:val="24"/>
          <w:szCs w:val="20"/>
          <w:lang w:val="es-ES_tradnl"/>
        </w:rPr>
        <w:t>PENX 2025 – Nivel Operativo: Pilares, objetivos estratégicos y líneas de acción</w:t>
      </w:r>
      <w:r w:rsidR="00602889" w:rsidRPr="00EE003F">
        <w:rPr>
          <w:noProof/>
          <w:lang w:eastAsia="es-PE"/>
        </w:rPr>
        <w:drawing>
          <wp:inline distT="0" distB="0" distL="0" distR="0" wp14:anchorId="11BCAD92" wp14:editId="0E5B77DC">
            <wp:extent cx="4700270" cy="5310505"/>
            <wp:effectExtent l="0" t="0" r="5080" b="4445"/>
            <wp:docPr id="13" name="Imagen 13"/>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0270" cy="5310505"/>
                    </a:xfrm>
                    <a:prstGeom prst="rect">
                      <a:avLst/>
                    </a:prstGeom>
                    <a:noFill/>
                  </pic:spPr>
                </pic:pic>
              </a:graphicData>
            </a:graphic>
          </wp:inline>
        </w:drawing>
      </w:r>
    </w:p>
    <w:p w:rsidR="00B818C1" w:rsidRPr="00EE003F" w:rsidRDefault="00B818C1" w:rsidP="00105D37">
      <w:pPr>
        <w:suppressAutoHyphens/>
        <w:autoSpaceDE w:val="0"/>
        <w:autoSpaceDN w:val="0"/>
        <w:adjustRightInd w:val="0"/>
        <w:spacing w:before="113" w:after="113" w:line="240" w:lineRule="auto"/>
        <w:ind w:left="283"/>
        <w:jc w:val="both"/>
        <w:textAlignment w:val="center"/>
        <w:rPr>
          <w:rFonts w:ascii="Arial Narrow" w:hAnsi="Arial Narrow" w:cs="Frutiger LT Std 45 Light"/>
          <w:sz w:val="24"/>
          <w:szCs w:val="20"/>
          <w:lang w:val="es-ES_tradnl"/>
        </w:rPr>
      </w:pPr>
    </w:p>
    <w:p w:rsidR="00B818C1" w:rsidRPr="00EE003F" w:rsidRDefault="00B818C1" w:rsidP="00BF507D">
      <w:pPr>
        <w:spacing w:before="120" w:after="0" w:line="240" w:lineRule="auto"/>
        <w:jc w:val="both"/>
        <w:rPr>
          <w:rFonts w:ascii="Arial Narrow" w:hAnsi="Arial Narrow"/>
          <w:sz w:val="32"/>
          <w:szCs w:val="32"/>
        </w:rPr>
      </w:pPr>
      <w:r w:rsidRPr="00EE003F">
        <w:rPr>
          <w:rFonts w:ascii="Arial Narrow" w:hAnsi="Arial Narrow" w:cs="Frutiger LT Std 45 Light"/>
          <w:sz w:val="24"/>
          <w:szCs w:val="20"/>
          <w:lang w:val="es-ES_tradnl"/>
        </w:rPr>
        <w:t xml:space="preserve">El PENX 2025 se basa en un marco lógico que vincula objetivos estratégicos, pilares y actividades, que propone un marco institucional fortalecido que asegure su implementación de forma efectiva. Dicho marco institucional operaría bajo los lineamientos de presupuesto por resultados promovidos por el Ministerio de Economía y Finanzas desde 2007. Para esto el PENX actualizado propone la definición de líneas de acción y proyectos principalmente multisectoriales, en los cuales el MINCETUR en su rol de regulador y promotor es el responsable principal del logro de los objetivos. La implementación del PENX actualizado también requerirá de un amplio diálogo público-privado que </w:t>
      </w:r>
      <w:r w:rsidR="001B688D" w:rsidRPr="00EE003F">
        <w:rPr>
          <w:rFonts w:ascii="Arial Narrow" w:hAnsi="Arial Narrow" w:cs="Frutiger LT Std 45 Light"/>
          <w:sz w:val="24"/>
          <w:szCs w:val="20"/>
          <w:lang w:val="es-ES_tradnl"/>
        </w:rPr>
        <w:t>permitirá</w:t>
      </w:r>
      <w:r w:rsidRPr="00EE003F">
        <w:rPr>
          <w:rFonts w:ascii="Arial Narrow" w:hAnsi="Arial Narrow" w:cs="Frutiger LT Std 45 Light"/>
          <w:sz w:val="24"/>
          <w:szCs w:val="20"/>
          <w:lang w:val="es-ES_tradnl"/>
        </w:rPr>
        <w:t xml:space="preserve"> definir de mejor forma objetivos, actividades, beneficiarios y resultados, de forma tal que las intervenciones públicas sean conducentes a la maximización del impacto de dichas actividades con miras a la mejora de la competitividad de la economía.</w:t>
      </w:r>
    </w:p>
    <w:p w:rsidR="00B818C1" w:rsidRPr="00EE003F" w:rsidRDefault="00B818C1" w:rsidP="00105D37">
      <w:pPr>
        <w:suppressAutoHyphens/>
        <w:autoSpaceDE w:val="0"/>
        <w:autoSpaceDN w:val="0"/>
        <w:adjustRightInd w:val="0"/>
        <w:spacing w:before="113" w:after="113" w:line="240" w:lineRule="auto"/>
        <w:ind w:left="283"/>
        <w:jc w:val="both"/>
        <w:textAlignment w:val="center"/>
        <w:rPr>
          <w:rFonts w:ascii="Arial Narrow" w:hAnsi="Arial Narrow" w:cs="Frutiger LT Std 45 Light"/>
          <w:sz w:val="24"/>
          <w:szCs w:val="20"/>
        </w:rPr>
      </w:pPr>
    </w:p>
    <w:p w:rsidR="00BB0BFE" w:rsidRPr="00EE003F" w:rsidRDefault="00BB0BFE" w:rsidP="00BB0BFE">
      <w:pPr>
        <w:suppressAutoHyphens/>
        <w:autoSpaceDE w:val="0"/>
        <w:autoSpaceDN w:val="0"/>
        <w:adjustRightInd w:val="0"/>
        <w:spacing w:before="113" w:after="113" w:line="240" w:lineRule="auto"/>
        <w:jc w:val="both"/>
        <w:textAlignment w:val="center"/>
        <w:rPr>
          <w:rFonts w:ascii="Arial Narrow" w:hAnsi="Arial Narrow" w:cs="Frutiger LT Std 45 Light"/>
          <w:sz w:val="24"/>
          <w:szCs w:val="20"/>
        </w:rPr>
        <w:sectPr w:rsidR="00BB0BFE" w:rsidRPr="00EE003F" w:rsidSect="00DB61C4">
          <w:headerReference w:type="default" r:id="rId32"/>
          <w:footerReference w:type="default" r:id="rId33"/>
          <w:pgSz w:w="11907" w:h="16839" w:code="9"/>
          <w:pgMar w:top="1417" w:right="1701" w:bottom="1417" w:left="1701" w:header="708" w:footer="708" w:gutter="0"/>
          <w:cols w:space="708"/>
          <w:docGrid w:linePitch="360"/>
        </w:sectPr>
      </w:pPr>
    </w:p>
    <w:tbl>
      <w:tblPr>
        <w:tblStyle w:val="Tablaconcuadrcula"/>
        <w:tblW w:w="0" w:type="auto"/>
        <w:tblInd w:w="283" w:type="dxa"/>
        <w:tblLayout w:type="fixed"/>
        <w:tblLook w:val="04A0" w:firstRow="1" w:lastRow="0" w:firstColumn="1" w:lastColumn="0" w:noHBand="0" w:noVBand="1"/>
      </w:tblPr>
      <w:tblGrid>
        <w:gridCol w:w="1952"/>
        <w:gridCol w:w="11986"/>
      </w:tblGrid>
      <w:tr w:rsidR="00BB0BFE" w:rsidRPr="00EE003F" w:rsidTr="00881273">
        <w:trPr>
          <w:trHeight w:val="80"/>
          <w:tblHeader/>
        </w:trPr>
        <w:tc>
          <w:tcPr>
            <w:tcW w:w="13938" w:type="dxa"/>
            <w:gridSpan w:val="2"/>
            <w:tcBorders>
              <w:top w:val="nil"/>
              <w:left w:val="nil"/>
              <w:bottom w:val="single" w:sz="4" w:space="0" w:color="auto"/>
              <w:right w:val="nil"/>
            </w:tcBorders>
          </w:tcPr>
          <w:p w:rsidR="00BB0BFE" w:rsidRPr="00EE003F" w:rsidRDefault="00BB0BFE" w:rsidP="00881273">
            <w:pPr>
              <w:suppressAutoHyphens/>
              <w:autoSpaceDE w:val="0"/>
              <w:autoSpaceDN w:val="0"/>
              <w:adjustRightInd w:val="0"/>
              <w:jc w:val="center"/>
              <w:textAlignment w:val="center"/>
              <w:rPr>
                <w:rFonts w:ascii="Arial Narrow" w:hAnsi="Arial Narrow" w:cs="Frutiger LT Std 45 Light"/>
                <w:b/>
                <w:sz w:val="24"/>
                <w:szCs w:val="20"/>
                <w:lang w:val="es-ES_tradnl"/>
              </w:rPr>
            </w:pPr>
            <w:r w:rsidRPr="00EE003F">
              <w:rPr>
                <w:rFonts w:ascii="Arial Narrow" w:hAnsi="Arial Narrow" w:cs="Frutiger LT Std 45 Light"/>
                <w:b/>
                <w:sz w:val="24"/>
                <w:szCs w:val="20"/>
                <w:lang w:val="es-ES_tradnl"/>
              </w:rPr>
              <w:t>PENX 2025: Pilares</w:t>
            </w:r>
          </w:p>
        </w:tc>
      </w:tr>
      <w:tr w:rsidR="00B818C1" w:rsidRPr="00EE003F" w:rsidTr="00BB0BFE">
        <w:trPr>
          <w:tblHeader/>
        </w:trPr>
        <w:tc>
          <w:tcPr>
            <w:tcW w:w="1952" w:type="dxa"/>
            <w:tcBorders>
              <w:top w:val="single" w:sz="4" w:space="0" w:color="auto"/>
            </w:tcBorders>
            <w:shd w:val="clear" w:color="auto" w:fill="17365D" w:themeFill="text2" w:themeFillShade="BF"/>
          </w:tcPr>
          <w:p w:rsidR="00B818C1" w:rsidRPr="00EE003F" w:rsidRDefault="00B818C1" w:rsidP="00BB0BFE">
            <w:pPr>
              <w:suppressAutoHyphens/>
              <w:autoSpaceDE w:val="0"/>
              <w:autoSpaceDN w:val="0"/>
              <w:adjustRightInd w:val="0"/>
              <w:spacing w:before="113" w:after="113"/>
              <w:jc w:val="center"/>
              <w:textAlignment w:val="center"/>
              <w:rPr>
                <w:rFonts w:ascii="Arial Narrow" w:hAnsi="Arial Narrow" w:cs="Frutiger LT Std 45 Light"/>
                <w:b/>
                <w:color w:val="FFFFFF" w:themeColor="background1"/>
                <w:sz w:val="24"/>
                <w:szCs w:val="20"/>
                <w:lang w:val="es-ES_tradnl"/>
              </w:rPr>
            </w:pPr>
            <w:r w:rsidRPr="00EE003F">
              <w:rPr>
                <w:rFonts w:ascii="Arial Narrow" w:hAnsi="Arial Narrow" w:cs="Frutiger LT Std 45 Light"/>
                <w:b/>
                <w:color w:val="FFFFFF" w:themeColor="background1"/>
                <w:sz w:val="24"/>
                <w:szCs w:val="20"/>
                <w:lang w:val="es-ES_tradnl"/>
              </w:rPr>
              <w:t>Pilar</w:t>
            </w:r>
          </w:p>
        </w:tc>
        <w:tc>
          <w:tcPr>
            <w:tcW w:w="11986" w:type="dxa"/>
            <w:tcBorders>
              <w:top w:val="single" w:sz="4" w:space="0" w:color="auto"/>
            </w:tcBorders>
            <w:shd w:val="clear" w:color="auto" w:fill="17365D" w:themeFill="text2" w:themeFillShade="BF"/>
          </w:tcPr>
          <w:p w:rsidR="00B818C1" w:rsidRPr="00EE003F" w:rsidRDefault="00B818C1" w:rsidP="00BB0BFE">
            <w:pPr>
              <w:suppressAutoHyphens/>
              <w:autoSpaceDE w:val="0"/>
              <w:autoSpaceDN w:val="0"/>
              <w:adjustRightInd w:val="0"/>
              <w:spacing w:before="113" w:after="113"/>
              <w:jc w:val="center"/>
              <w:textAlignment w:val="center"/>
              <w:rPr>
                <w:rFonts w:ascii="Arial Narrow" w:hAnsi="Arial Narrow" w:cs="Frutiger LT Std 45 Light"/>
                <w:b/>
                <w:color w:val="FFFFFF" w:themeColor="background1"/>
                <w:sz w:val="24"/>
                <w:szCs w:val="20"/>
                <w:lang w:val="es-ES_tradnl"/>
              </w:rPr>
            </w:pPr>
            <w:r w:rsidRPr="00EE003F">
              <w:rPr>
                <w:rFonts w:ascii="Arial Narrow" w:hAnsi="Arial Narrow" w:cs="Frutiger LT Std 45 Light"/>
                <w:b/>
                <w:color w:val="FFFFFF" w:themeColor="background1"/>
                <w:sz w:val="24"/>
                <w:szCs w:val="20"/>
                <w:lang w:val="es-ES_tradnl"/>
              </w:rPr>
              <w:t>Descripción</w:t>
            </w:r>
          </w:p>
        </w:tc>
      </w:tr>
      <w:tr w:rsidR="00B818C1" w:rsidRPr="00EE003F" w:rsidTr="00BB0BFE">
        <w:tc>
          <w:tcPr>
            <w:tcW w:w="1952" w:type="dxa"/>
          </w:tcPr>
          <w:p w:rsidR="00B818C1" w:rsidRPr="00EE003F" w:rsidRDefault="00B818C1" w:rsidP="00881273">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1.- Internacionalización de la empresa y diversificación de mercados</w:t>
            </w:r>
          </w:p>
          <w:p w:rsidR="00B818C1" w:rsidRPr="00EE003F" w:rsidRDefault="00B818C1" w:rsidP="00881273">
            <w:pPr>
              <w:suppressAutoHyphens/>
              <w:autoSpaceDE w:val="0"/>
              <w:autoSpaceDN w:val="0"/>
              <w:adjustRightInd w:val="0"/>
              <w:spacing w:before="113"/>
              <w:jc w:val="both"/>
              <w:textAlignment w:val="center"/>
              <w:rPr>
                <w:rFonts w:ascii="Arial Narrow" w:hAnsi="Arial Narrow" w:cs="Frutiger LT Std 45 Light"/>
                <w:sz w:val="20"/>
                <w:szCs w:val="20"/>
                <w:lang w:val="es-ES_tradnl"/>
              </w:rPr>
            </w:pPr>
          </w:p>
        </w:tc>
        <w:tc>
          <w:tcPr>
            <w:tcW w:w="11986" w:type="dxa"/>
          </w:tcPr>
          <w:p w:rsidR="00B818C1" w:rsidRPr="00EE003F" w:rsidRDefault="00B818C1" w:rsidP="000E15CA">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 xml:space="preserve">Entendiendo el desarrollo de mercados como el proceso dinámico y sostenido de inserción y posicionamiento de bienes y servicios en los mercados internacionales, la participación del Estado resulta decisiva, en tanto que, a nivel internacional, las empresas de economías emergentes no tienen las condiciones necesarias para insertarse por sí solas. En ese orden de ideas, es crucial desarrollar mecanismos que contribuyan a la internacionalización de las empresas y que éstas se beneficien de los mercados ampliados producto de los acuerdos comerciales suscritos por el Perú. Esto es posible si las empresas apuestan objetivamente por internacionalizarse, invierten, desarrollan bienes y servicios de calidad, y mantienen una posición competitiva en el mercado internacional. El compromiso del </w:t>
            </w:r>
            <w:r w:rsidR="000E15CA" w:rsidRPr="00EE003F">
              <w:rPr>
                <w:rFonts w:ascii="Arial Narrow" w:hAnsi="Arial Narrow" w:cs="Frutiger LT Std 45 Light"/>
                <w:sz w:val="20"/>
                <w:szCs w:val="20"/>
                <w:lang w:val="es-ES_tradnl"/>
              </w:rPr>
              <w:t>E</w:t>
            </w:r>
            <w:r w:rsidRPr="00EE003F">
              <w:rPr>
                <w:rFonts w:ascii="Arial Narrow" w:hAnsi="Arial Narrow" w:cs="Frutiger LT Std 45 Light"/>
                <w:sz w:val="20"/>
                <w:szCs w:val="20"/>
                <w:lang w:val="es-ES_tradnl"/>
              </w:rPr>
              <w:t>stado se concentra en desarrollar políticas de posicionamiento – promoción e inteligencia de mercados – e inserción en cadenas de valor global.</w:t>
            </w:r>
          </w:p>
        </w:tc>
      </w:tr>
      <w:tr w:rsidR="00B818C1" w:rsidRPr="00EE003F" w:rsidTr="00BB0BFE">
        <w:tc>
          <w:tcPr>
            <w:tcW w:w="1952" w:type="dxa"/>
          </w:tcPr>
          <w:p w:rsidR="00B818C1" w:rsidRPr="00EE003F" w:rsidRDefault="00B818C1" w:rsidP="00881273">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2.- Oferta exportable diversificada, competitiva y sostenible.</w:t>
            </w:r>
          </w:p>
          <w:p w:rsidR="00B818C1" w:rsidRPr="00EE003F" w:rsidRDefault="00B818C1" w:rsidP="00881273">
            <w:pPr>
              <w:suppressAutoHyphens/>
              <w:autoSpaceDE w:val="0"/>
              <w:autoSpaceDN w:val="0"/>
              <w:adjustRightInd w:val="0"/>
              <w:spacing w:before="113"/>
              <w:jc w:val="both"/>
              <w:textAlignment w:val="center"/>
              <w:rPr>
                <w:rFonts w:ascii="Arial Narrow" w:hAnsi="Arial Narrow" w:cs="Frutiger LT Std 45 Light"/>
                <w:sz w:val="20"/>
                <w:szCs w:val="20"/>
                <w:lang w:val="es-ES_tradnl"/>
              </w:rPr>
            </w:pPr>
          </w:p>
        </w:tc>
        <w:tc>
          <w:tcPr>
            <w:tcW w:w="11986" w:type="dxa"/>
          </w:tcPr>
          <w:p w:rsidR="00B818C1" w:rsidRPr="00EE003F" w:rsidRDefault="00B818C1" w:rsidP="00881273">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 xml:space="preserve">Para aprovechar las oportunidades del comercio internacional es necesario contar con una oferta exportable de bienes y servicios que cuenten con estándares de calidad internacionales, producciones que satisfagan las condiciones de demanda de los mercados. Para ello organismos internacionales recomiendan incidir sobre temas específicos con el objetivo de mejorar la competitividad internacional. Por ejemplo, se debe desarrollar actividades de planificación para las exportaciones, promover parques tecnológicos, generar </w:t>
            </w:r>
            <w:proofErr w:type="spellStart"/>
            <w:r w:rsidRPr="00EE003F">
              <w:rPr>
                <w:rFonts w:ascii="Arial Narrow" w:hAnsi="Arial Narrow" w:cs="Frutiger LT Std 45 Light"/>
                <w:sz w:val="20"/>
                <w:szCs w:val="20"/>
                <w:lang w:val="es-ES_tradnl"/>
              </w:rPr>
              <w:t>asociatividad</w:t>
            </w:r>
            <w:proofErr w:type="spellEnd"/>
            <w:r w:rsidRPr="00EE003F">
              <w:rPr>
                <w:rFonts w:ascii="Arial Narrow" w:hAnsi="Arial Narrow" w:cs="Frutiger LT Std 45 Light"/>
                <w:sz w:val="20"/>
                <w:szCs w:val="20"/>
                <w:lang w:val="es-ES_tradnl"/>
              </w:rPr>
              <w:t xml:space="preserve"> a través de los clúster, apoyar la innovación y fomentar los estándares y certificaciones. Estas iniciativas, según las condiciones de cada país, deben ser incorporadas a una estrategia de exportación con un enfoque integral, articulador y participativo. En tal sentido, el desarrollo de la oferta exportable se puede definir como el conjunto de instrumentos, mecanismos e iniciativas correspondientes a una política orientada a fomentar el desarrollo productivo nacional para hacer propicia la generación y fortalecimiento de una oferta exportable de bienes y servicios competitivos, diversificados, descentralizados y sostenibles.</w:t>
            </w:r>
          </w:p>
        </w:tc>
      </w:tr>
      <w:tr w:rsidR="00B818C1" w:rsidRPr="00EE003F" w:rsidTr="00474E6A">
        <w:trPr>
          <w:trHeight w:val="1439"/>
        </w:trPr>
        <w:tc>
          <w:tcPr>
            <w:tcW w:w="1952" w:type="dxa"/>
          </w:tcPr>
          <w:p w:rsidR="00B818C1" w:rsidRPr="00EE003F" w:rsidRDefault="00B818C1" w:rsidP="00881273">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3.- Facilitación del comercio exterior y eficiencia de la cadena logística internacional.</w:t>
            </w:r>
          </w:p>
        </w:tc>
        <w:tc>
          <w:tcPr>
            <w:tcW w:w="11986" w:type="dxa"/>
          </w:tcPr>
          <w:p w:rsidR="00B818C1" w:rsidRPr="00EE003F" w:rsidRDefault="00B818C1" w:rsidP="00881273">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La facilitación del comercio cobra relevancia por su impacto en la competitividad al contribuir a agilizar y reducir el costo del comercio transfronterizo, mientras que se garantiza su seguridad, trazabilidad y protección. Al respecto, de acuerdo con la OECD, los costos de transacción en las operaciones de importación y exportación equivalen entre el 1 y el 15% del valor de transacción, evidenciando el enorme potencial que tendría su disminución para estimular las inversiones en los mercados locales. Por otra parte, los grandes flujos del comercio se dan entre las troncales este-oeste, siendo los corredores norte-sur los alimentadores, por lo que urge la necesidad de lograr una posición competitiva en la dorsal del Pacífico, con la finalidad de convertir al Perú en un referente logístico regional e internacional.</w:t>
            </w:r>
          </w:p>
        </w:tc>
      </w:tr>
      <w:tr w:rsidR="00B818C1" w:rsidRPr="00EE003F" w:rsidTr="00BB0BFE">
        <w:tc>
          <w:tcPr>
            <w:tcW w:w="1952" w:type="dxa"/>
          </w:tcPr>
          <w:p w:rsidR="00B818C1" w:rsidRPr="00EE003F" w:rsidRDefault="00B818C1" w:rsidP="00881273">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4.- Generación de capacidades para la internacionalización y consolidación de una cultura exportadora.</w:t>
            </w:r>
          </w:p>
        </w:tc>
        <w:tc>
          <w:tcPr>
            <w:tcW w:w="11986" w:type="dxa"/>
          </w:tcPr>
          <w:p w:rsidR="00B818C1" w:rsidRPr="00EE003F" w:rsidRDefault="00B818C1" w:rsidP="00881273">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El proceso de globalización ha generado inmensos retos, la competencia es generalizada, tanto si implica a compañías que compiten por mercados, a países que se enfrentan a la globalización o a organizaciones sociales que responden a necesidades locales. Para tener un país apto para afrontar los retos de la globalización, donde el comercio exterior juega un papel muy relevante, se requiere mejorar las capacidades para la internacionalización, generando un incremento de la competitividad empresarial a niveles internacionales mediante la generación de un espíritu empresarial que se caracterice por su fuerza vital, deseo de superación y progreso, capacidad de identificar las oportunidades del mercado, con visión de futuro, habilidad creadora e innovadora, y aceptación y propensión al cambio. Por ello, es necesario generar y fortalecer las capacidades para la internacionalización, así como promover una cultura exportadora, sentando las bases para un adecuado desarrollo del comercio exterior peruano.</w:t>
            </w:r>
          </w:p>
        </w:tc>
      </w:tr>
    </w:tbl>
    <w:p w:rsidR="00B818C1" w:rsidRPr="00EE003F" w:rsidRDefault="00BB0BFE" w:rsidP="00881273">
      <w:pPr>
        <w:suppressAutoHyphens/>
        <w:autoSpaceDE w:val="0"/>
        <w:autoSpaceDN w:val="0"/>
        <w:adjustRightInd w:val="0"/>
        <w:spacing w:before="113" w:after="0" w:line="240" w:lineRule="auto"/>
        <w:textAlignment w:val="center"/>
        <w:rPr>
          <w:rFonts w:ascii="Arial Narrow" w:hAnsi="Arial Narrow" w:cs="Frutiger LT Std 45 Light"/>
          <w:sz w:val="20"/>
          <w:szCs w:val="20"/>
          <w:lang w:val="es-ES_tradnl"/>
        </w:rPr>
        <w:sectPr w:rsidR="00B818C1" w:rsidRPr="00EE003F" w:rsidSect="00B818C1">
          <w:pgSz w:w="16839" w:h="11907" w:orient="landscape" w:code="9"/>
          <w:pgMar w:top="1701" w:right="1417" w:bottom="1701" w:left="1417" w:header="708" w:footer="708" w:gutter="0"/>
          <w:cols w:space="708"/>
          <w:docGrid w:linePitch="360"/>
        </w:sectPr>
      </w:pPr>
      <w:r w:rsidRPr="00EE003F">
        <w:rPr>
          <w:rFonts w:ascii="Arial Narrow" w:hAnsi="Arial Narrow" w:cs="Frutiger LT Std 45 Light"/>
          <w:b/>
          <w:sz w:val="20"/>
          <w:szCs w:val="20"/>
          <w:lang w:val="es-ES_tradnl"/>
        </w:rPr>
        <w:t>Fuente:</w:t>
      </w:r>
      <w:r w:rsidRPr="00EE003F">
        <w:rPr>
          <w:rFonts w:ascii="Arial Narrow" w:hAnsi="Arial Narrow" w:cs="Frutiger LT Std 45 Light"/>
          <w:sz w:val="20"/>
          <w:szCs w:val="20"/>
          <w:lang w:val="es-ES_tradnl"/>
        </w:rPr>
        <w:t xml:space="preserve"> PENX 2025</w:t>
      </w:r>
    </w:p>
    <w:p w:rsidR="00AA45B8" w:rsidRPr="00EE003F" w:rsidRDefault="00AA45B8" w:rsidP="004843F2">
      <w:pPr>
        <w:pStyle w:val="Ttulo2"/>
        <w:jc w:val="left"/>
        <w:rPr>
          <w:rFonts w:asciiTheme="minorHAnsi" w:hAnsiTheme="minorHAnsi"/>
          <w:lang w:val="es-ES_tradnl"/>
        </w:rPr>
      </w:pPr>
      <w:bookmarkStart w:id="16" w:name="_Toc453004657"/>
      <w:r w:rsidRPr="00EE003F">
        <w:rPr>
          <w:rFonts w:asciiTheme="minorHAnsi" w:hAnsiTheme="minorHAnsi"/>
          <w:lang w:val="es-ES_tradnl"/>
        </w:rPr>
        <w:t>Plan Estratégico Nacional de Turismo (PENTUR</w:t>
      </w:r>
      <w:r w:rsidR="00474E6A" w:rsidRPr="00EE003F">
        <w:rPr>
          <w:rFonts w:asciiTheme="minorHAnsi" w:hAnsiTheme="minorHAnsi"/>
          <w:lang w:val="es-ES_tradnl"/>
        </w:rPr>
        <w:t xml:space="preserve"> 2021</w:t>
      </w:r>
      <w:r w:rsidRPr="00EE003F">
        <w:rPr>
          <w:rFonts w:asciiTheme="minorHAnsi" w:hAnsiTheme="minorHAnsi"/>
          <w:lang w:val="es-ES_tradnl"/>
        </w:rPr>
        <w:t>)</w:t>
      </w:r>
      <w:bookmarkEnd w:id="16"/>
      <w:r w:rsidRPr="00EE003F">
        <w:rPr>
          <w:rFonts w:asciiTheme="minorHAnsi" w:hAnsiTheme="minorHAnsi"/>
          <w:lang w:val="es-ES_tradnl"/>
        </w:rPr>
        <w:tab/>
      </w:r>
    </w:p>
    <w:p w:rsidR="00AA45B8" w:rsidRPr="00EE003F" w:rsidRDefault="00AA45B8" w:rsidP="00BF507D">
      <w:pPr>
        <w:spacing w:before="120" w:after="0" w:line="240" w:lineRule="auto"/>
        <w:jc w:val="both"/>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En el Perú el turismo es una actividad económica que ha mantenido un crecimiento continuo en los últimos doce años, convirtiéndose en un motor de desarrollo social y económico capaz de contribuir a la inclusión social y la reducción de la pobreza.</w:t>
      </w:r>
      <w:r w:rsidR="00474E6A" w:rsidRPr="00EE003F">
        <w:rPr>
          <w:rFonts w:ascii="Arial Narrow" w:hAnsi="Arial Narrow" w:cs="Frutiger LT Std 45 Light"/>
          <w:sz w:val="24"/>
          <w:szCs w:val="20"/>
          <w:lang w:val="es-ES_tradnl"/>
        </w:rPr>
        <w:t xml:space="preserve"> </w:t>
      </w:r>
      <w:r w:rsidRPr="00EE003F">
        <w:rPr>
          <w:rFonts w:ascii="Arial Narrow" w:hAnsi="Arial Narrow" w:cs="Frutiger LT Std 45 Light"/>
          <w:sz w:val="24"/>
          <w:szCs w:val="20"/>
          <w:lang w:val="es-ES_tradnl"/>
        </w:rPr>
        <w:t xml:space="preserve">En ese sentido el MINCETUR plantea a través del Plan Estratégico Nacional de Turismo - PENTUR 2021, una nueva propuesta para que el Perú se posicione como un destino turístico sostenible y competitivo, planteando la ruta y estrategias a realizar para generar oportunidades y contribuir al desarrollo nacional. </w:t>
      </w:r>
    </w:p>
    <w:p w:rsidR="00BF507D" w:rsidRPr="00EE003F" w:rsidRDefault="00BF507D" w:rsidP="00474E6A">
      <w:pPr>
        <w:spacing w:line="360" w:lineRule="auto"/>
        <w:ind w:left="426"/>
        <w:jc w:val="both"/>
        <w:rPr>
          <w:rFonts w:ascii="Arial" w:hAnsi="Arial" w:cs="Arial"/>
          <w:b/>
          <w:sz w:val="24"/>
          <w:lang w:val="es-MX"/>
        </w:rPr>
      </w:pPr>
    </w:p>
    <w:p w:rsidR="00474E6A" w:rsidRPr="00EE003F" w:rsidRDefault="00474E6A" w:rsidP="00474E6A">
      <w:pPr>
        <w:spacing w:line="360" w:lineRule="auto"/>
        <w:ind w:left="426"/>
        <w:jc w:val="both"/>
        <w:rPr>
          <w:rFonts w:ascii="Arial" w:hAnsi="Arial" w:cs="Arial"/>
          <w:b/>
          <w:snapToGrid w:val="0"/>
          <w:szCs w:val="24"/>
          <w:lang w:val="es-MX"/>
        </w:rPr>
      </w:pPr>
      <w:r w:rsidRPr="00EE003F">
        <w:rPr>
          <w:rFonts w:ascii="Arial" w:hAnsi="Arial" w:cs="Arial"/>
          <w:b/>
          <w:sz w:val="24"/>
          <w:lang w:val="es-MX"/>
        </w:rPr>
        <w:t xml:space="preserve">Plan Estratégico Nacional de Turismo 2021: </w:t>
      </w:r>
      <w:r w:rsidRPr="00EE003F">
        <w:rPr>
          <w:rFonts w:ascii="Arial" w:hAnsi="Arial" w:cs="Arial"/>
          <w:b/>
          <w:snapToGrid w:val="0"/>
          <w:szCs w:val="24"/>
          <w:lang w:val="es-MX"/>
        </w:rPr>
        <w:t>Objetivos Estratégicos</w:t>
      </w:r>
    </w:p>
    <w:p w:rsidR="00474E6A" w:rsidRPr="00EE003F" w:rsidRDefault="00474E6A" w:rsidP="00474E6A">
      <w:pPr>
        <w:tabs>
          <w:tab w:val="left" w:pos="426"/>
        </w:tabs>
        <w:ind w:firstLine="1701"/>
        <w:jc w:val="both"/>
        <w:rPr>
          <w:rFonts w:ascii="Arial" w:hAnsi="Arial" w:cs="Arial"/>
          <w:snapToGrid w:val="0"/>
          <w:sz w:val="24"/>
          <w:szCs w:val="24"/>
          <w:lang w:val="es-MX"/>
        </w:rPr>
      </w:pPr>
      <w:r w:rsidRPr="00EE003F">
        <w:rPr>
          <w:rFonts w:ascii="Arial" w:hAnsi="Arial" w:cs="Arial"/>
          <w:noProof/>
          <w:sz w:val="24"/>
          <w:szCs w:val="24"/>
          <w:lang w:eastAsia="es-PE"/>
        </w:rPr>
        <w:drawing>
          <wp:inline distT="0" distB="0" distL="0" distR="0" wp14:anchorId="6611E0C7" wp14:editId="56E9126D">
            <wp:extent cx="3409950" cy="2276475"/>
            <wp:effectExtent l="19050" t="0" r="3810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474E6A" w:rsidRPr="00EE003F" w:rsidRDefault="00474E6A" w:rsidP="00BF507D">
      <w:pPr>
        <w:pStyle w:val="Textoindependiente2"/>
        <w:tabs>
          <w:tab w:val="left" w:pos="567"/>
        </w:tabs>
        <w:spacing w:before="120"/>
        <w:ind w:left="425"/>
        <w:jc w:val="both"/>
        <w:rPr>
          <w:rFonts w:ascii="Arial" w:hAnsi="Arial" w:cs="Arial"/>
          <w:b w:val="0"/>
          <w:i w:val="0"/>
          <w:sz w:val="22"/>
          <w:szCs w:val="22"/>
          <w:lang w:val="es-MX"/>
        </w:rPr>
      </w:pPr>
      <w:r w:rsidRPr="00EE003F">
        <w:rPr>
          <w:rFonts w:ascii="Arial Narrow" w:hAnsi="Arial Narrow" w:cs="Arial"/>
          <w:b w:val="0"/>
          <w:i w:val="0"/>
          <w:sz w:val="24"/>
          <w:szCs w:val="24"/>
          <w:lang w:val="es-MX"/>
        </w:rPr>
        <w:t>En base a la visión, la puesta en marcha de la misión y el alcance de los objetivos estratégicos del PENTUR 2021, se establecen cuatro pilares, los cuales se describen a continuación</w:t>
      </w:r>
      <w:r w:rsidRPr="00EE003F">
        <w:rPr>
          <w:rFonts w:ascii="Arial" w:hAnsi="Arial" w:cs="Arial"/>
          <w:b w:val="0"/>
          <w:i w:val="0"/>
          <w:sz w:val="22"/>
          <w:szCs w:val="22"/>
          <w:lang w:val="es-MX"/>
        </w:rPr>
        <w:t>:</w:t>
      </w:r>
    </w:p>
    <w:p w:rsidR="00474E6A" w:rsidRPr="00EE003F" w:rsidRDefault="00474E6A" w:rsidP="00474E6A">
      <w:pPr>
        <w:pStyle w:val="Textoindependiente2"/>
        <w:tabs>
          <w:tab w:val="left" w:pos="567"/>
        </w:tabs>
        <w:ind w:left="426"/>
        <w:jc w:val="both"/>
        <w:rPr>
          <w:rFonts w:ascii="Arial" w:hAnsi="Arial" w:cs="Arial"/>
          <w:b w:val="0"/>
          <w:i w:val="0"/>
          <w:sz w:val="22"/>
          <w:szCs w:val="22"/>
          <w:lang w:val="es-MX"/>
        </w:rPr>
        <w:sectPr w:rsidR="00474E6A" w:rsidRPr="00EE003F" w:rsidSect="00B818C1">
          <w:pgSz w:w="11907" w:h="16839" w:code="9"/>
          <w:pgMar w:top="1417" w:right="1701" w:bottom="1417" w:left="1701" w:header="708" w:footer="708" w:gutter="0"/>
          <w:cols w:space="708"/>
          <w:docGrid w:linePitch="360"/>
        </w:sectPr>
      </w:pPr>
    </w:p>
    <w:tbl>
      <w:tblPr>
        <w:tblStyle w:val="Tablaconcuadrcula"/>
        <w:tblW w:w="0" w:type="auto"/>
        <w:tblInd w:w="283" w:type="dxa"/>
        <w:tblLayout w:type="fixed"/>
        <w:tblLook w:val="04A0" w:firstRow="1" w:lastRow="0" w:firstColumn="1" w:lastColumn="0" w:noHBand="0" w:noVBand="1"/>
      </w:tblPr>
      <w:tblGrid>
        <w:gridCol w:w="1952"/>
        <w:gridCol w:w="11986"/>
      </w:tblGrid>
      <w:tr w:rsidR="00474E6A" w:rsidRPr="00EE003F" w:rsidTr="000A3ABC">
        <w:trPr>
          <w:tblHeader/>
        </w:trPr>
        <w:tc>
          <w:tcPr>
            <w:tcW w:w="13938" w:type="dxa"/>
            <w:gridSpan w:val="2"/>
            <w:tcBorders>
              <w:top w:val="nil"/>
              <w:left w:val="nil"/>
              <w:bottom w:val="single" w:sz="4" w:space="0" w:color="auto"/>
              <w:right w:val="nil"/>
            </w:tcBorders>
          </w:tcPr>
          <w:p w:rsidR="00474E6A" w:rsidRPr="00EE003F" w:rsidRDefault="00474E6A" w:rsidP="000A3ABC">
            <w:pPr>
              <w:suppressAutoHyphens/>
              <w:autoSpaceDE w:val="0"/>
              <w:autoSpaceDN w:val="0"/>
              <w:adjustRightInd w:val="0"/>
              <w:spacing w:before="113" w:after="113"/>
              <w:jc w:val="center"/>
              <w:textAlignment w:val="center"/>
              <w:rPr>
                <w:rFonts w:ascii="Arial Narrow" w:hAnsi="Arial Narrow" w:cs="Frutiger LT Std 45 Light"/>
                <w:b/>
                <w:sz w:val="24"/>
                <w:szCs w:val="24"/>
                <w:lang w:val="es-ES_tradnl"/>
              </w:rPr>
            </w:pPr>
            <w:r w:rsidRPr="00EE003F">
              <w:rPr>
                <w:rFonts w:ascii="Arial Narrow" w:hAnsi="Arial Narrow" w:cs="Frutiger LT Std 45 Light"/>
                <w:b/>
                <w:sz w:val="24"/>
                <w:szCs w:val="24"/>
                <w:lang w:val="es-ES_tradnl"/>
              </w:rPr>
              <w:t>PENTUR 2021: Pilares</w:t>
            </w:r>
          </w:p>
        </w:tc>
      </w:tr>
      <w:tr w:rsidR="00474E6A" w:rsidRPr="00EE003F" w:rsidTr="000A3ABC">
        <w:trPr>
          <w:tblHeader/>
        </w:trPr>
        <w:tc>
          <w:tcPr>
            <w:tcW w:w="1952" w:type="dxa"/>
            <w:tcBorders>
              <w:top w:val="single" w:sz="4" w:space="0" w:color="auto"/>
            </w:tcBorders>
            <w:shd w:val="clear" w:color="auto" w:fill="17365D" w:themeFill="text2" w:themeFillShade="BF"/>
          </w:tcPr>
          <w:p w:rsidR="00474E6A" w:rsidRPr="00EE003F" w:rsidRDefault="00474E6A" w:rsidP="000A3ABC">
            <w:pPr>
              <w:suppressAutoHyphens/>
              <w:autoSpaceDE w:val="0"/>
              <w:autoSpaceDN w:val="0"/>
              <w:adjustRightInd w:val="0"/>
              <w:spacing w:before="113" w:after="113"/>
              <w:jc w:val="center"/>
              <w:textAlignment w:val="center"/>
              <w:rPr>
                <w:rFonts w:ascii="Arial Narrow" w:hAnsi="Arial Narrow" w:cs="Frutiger LT Std 45 Light"/>
                <w:b/>
                <w:color w:val="FFFFFF" w:themeColor="background1"/>
                <w:sz w:val="24"/>
                <w:szCs w:val="24"/>
                <w:lang w:val="es-ES_tradnl"/>
              </w:rPr>
            </w:pPr>
            <w:r w:rsidRPr="00EE003F">
              <w:rPr>
                <w:rFonts w:ascii="Arial Narrow" w:hAnsi="Arial Narrow" w:cs="Frutiger LT Std 45 Light"/>
                <w:b/>
                <w:color w:val="FFFFFF" w:themeColor="background1"/>
                <w:sz w:val="24"/>
                <w:szCs w:val="24"/>
                <w:lang w:val="es-ES_tradnl"/>
              </w:rPr>
              <w:t>Pilar</w:t>
            </w:r>
          </w:p>
        </w:tc>
        <w:tc>
          <w:tcPr>
            <w:tcW w:w="11986" w:type="dxa"/>
            <w:tcBorders>
              <w:top w:val="single" w:sz="4" w:space="0" w:color="auto"/>
            </w:tcBorders>
            <w:shd w:val="clear" w:color="auto" w:fill="17365D" w:themeFill="text2" w:themeFillShade="BF"/>
          </w:tcPr>
          <w:p w:rsidR="00474E6A" w:rsidRPr="00EE003F" w:rsidRDefault="00474E6A" w:rsidP="000A3ABC">
            <w:pPr>
              <w:suppressAutoHyphens/>
              <w:autoSpaceDE w:val="0"/>
              <w:autoSpaceDN w:val="0"/>
              <w:adjustRightInd w:val="0"/>
              <w:spacing w:before="113" w:after="113"/>
              <w:jc w:val="center"/>
              <w:textAlignment w:val="center"/>
              <w:rPr>
                <w:rFonts w:ascii="Arial Narrow" w:hAnsi="Arial Narrow" w:cs="Frutiger LT Std 45 Light"/>
                <w:b/>
                <w:color w:val="FFFFFF" w:themeColor="background1"/>
                <w:sz w:val="24"/>
                <w:szCs w:val="24"/>
                <w:lang w:val="es-ES_tradnl"/>
              </w:rPr>
            </w:pPr>
            <w:r w:rsidRPr="00EE003F">
              <w:rPr>
                <w:rFonts w:ascii="Arial Narrow" w:hAnsi="Arial Narrow" w:cs="Frutiger LT Std 45 Light"/>
                <w:b/>
                <w:color w:val="FFFFFF" w:themeColor="background1"/>
                <w:sz w:val="24"/>
                <w:szCs w:val="24"/>
                <w:lang w:val="es-ES_tradnl"/>
              </w:rPr>
              <w:t>Descripción</w:t>
            </w:r>
          </w:p>
        </w:tc>
      </w:tr>
      <w:tr w:rsidR="00474E6A" w:rsidRPr="00EE003F" w:rsidTr="000A3ABC">
        <w:tc>
          <w:tcPr>
            <w:tcW w:w="1952" w:type="dxa"/>
          </w:tcPr>
          <w:p w:rsidR="00474E6A" w:rsidRPr="00EE003F" w:rsidRDefault="00474E6A" w:rsidP="00B863F4">
            <w:pPr>
              <w:suppressAutoHyphens/>
              <w:autoSpaceDE w:val="0"/>
              <w:autoSpaceDN w:val="0"/>
              <w:adjustRightInd w:val="0"/>
              <w:spacing w:before="113"/>
              <w:jc w:val="both"/>
              <w:textAlignment w:val="center"/>
              <w:rPr>
                <w:rFonts w:ascii="Arial Narrow" w:hAnsi="Arial Narrow" w:cs="Frutiger LT Std 45 Light"/>
                <w:sz w:val="20"/>
                <w:szCs w:val="20"/>
                <w:lang w:val="es-MX"/>
              </w:rPr>
            </w:pPr>
            <w:r w:rsidRPr="00EE003F">
              <w:rPr>
                <w:rFonts w:ascii="Arial Narrow" w:hAnsi="Arial Narrow" w:cs="Frutiger LT Std 45 Light"/>
                <w:sz w:val="20"/>
                <w:szCs w:val="20"/>
                <w:lang w:val="es-MX"/>
              </w:rPr>
              <w:t>Pilar 1: Diversificación y consolidación de mercados</w:t>
            </w:r>
          </w:p>
        </w:tc>
        <w:tc>
          <w:tcPr>
            <w:tcW w:w="11986" w:type="dxa"/>
          </w:tcPr>
          <w:p w:rsidR="00474E6A" w:rsidRPr="00EE003F" w:rsidRDefault="00474E6A" w:rsidP="00B863F4">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Establecer el camino para conocer a los mercados, evaluar cuán atractivos son, y qué hacer para aprovecharlos de manera eficiente y sostenida.  Toma como punto de partida el conocimiento y la evaluación de las características del mercado al cual se dirigirá la oferta turística. En este sentido, la investigación y la determinación de las características del mercado deben realizarse con relación a la demanda actual, la demanda potencial, los nuevos mercados y las tendencias de los segmentos especializados. En base a este estudio, y a los datos obtenidos, considerando la información de la oferta, deberán plantearse las estrategias de promoción a seguir para mantener y captar, actuales y potenciales turistas.</w:t>
            </w:r>
          </w:p>
        </w:tc>
      </w:tr>
      <w:tr w:rsidR="00474E6A" w:rsidRPr="00EE003F" w:rsidTr="000A3ABC">
        <w:tc>
          <w:tcPr>
            <w:tcW w:w="1952" w:type="dxa"/>
          </w:tcPr>
          <w:p w:rsidR="00474E6A" w:rsidRPr="00EE003F" w:rsidRDefault="00474E6A" w:rsidP="00B863F4">
            <w:pPr>
              <w:suppressAutoHyphens/>
              <w:autoSpaceDE w:val="0"/>
              <w:autoSpaceDN w:val="0"/>
              <w:adjustRightInd w:val="0"/>
              <w:spacing w:before="113"/>
              <w:jc w:val="both"/>
              <w:textAlignment w:val="center"/>
              <w:rPr>
                <w:rFonts w:ascii="Arial Narrow" w:hAnsi="Arial Narrow" w:cs="Frutiger LT Std 45 Light"/>
                <w:sz w:val="20"/>
                <w:szCs w:val="20"/>
                <w:lang w:val="es-MX"/>
              </w:rPr>
            </w:pPr>
            <w:r w:rsidRPr="00EE003F">
              <w:rPr>
                <w:rFonts w:ascii="Arial Narrow" w:hAnsi="Arial Narrow" w:cs="Frutiger LT Std 45 Light"/>
                <w:sz w:val="20"/>
                <w:szCs w:val="20"/>
                <w:lang w:val="es-MX"/>
              </w:rPr>
              <w:t>Pilar 2: Diversificación y consolidación de la oferta</w:t>
            </w:r>
          </w:p>
        </w:tc>
        <w:tc>
          <w:tcPr>
            <w:tcW w:w="11986" w:type="dxa"/>
          </w:tcPr>
          <w:p w:rsidR="00474E6A" w:rsidRPr="00EE003F" w:rsidRDefault="00474E6A" w:rsidP="00B863F4">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 xml:space="preserve">Determina qué se ofrecerá y cómo se desarrollará esta oferta. Para tal efecto, enfoca su accionar en fortalecer la oferta turística actual a nivel nacional, con particular atención a los productos turísticos especializados, mediante la identificación de brechas de necesidades en los destinos, diseño, implementación y mantenimiento de planes de gestión del turismo a nivel regional y local, el desarrollo del capital humano, la mejora de la calidad de los servicios turísticos </w:t>
            </w:r>
            <w:r w:rsidR="00B863F4" w:rsidRPr="00EE003F">
              <w:rPr>
                <w:rFonts w:ascii="Arial Narrow" w:hAnsi="Arial Narrow" w:cs="Frutiger LT Std 45 Light"/>
                <w:sz w:val="20"/>
                <w:szCs w:val="20"/>
                <w:lang w:val="es-ES_tradnl"/>
              </w:rPr>
              <w:t xml:space="preserve">y promoción de la inversión. </w:t>
            </w:r>
            <w:r w:rsidRPr="00EE003F">
              <w:rPr>
                <w:rFonts w:ascii="Arial Narrow" w:hAnsi="Arial Narrow" w:cs="Frutiger LT Std 45 Light"/>
                <w:sz w:val="20"/>
                <w:szCs w:val="20"/>
                <w:lang w:val="es-ES_tradnl"/>
              </w:rPr>
              <w:t>El MINCETUR, implementó entre el 2014 y el 2016, el mecanismo para el desarrollo de productos turísticos regionales innovadores. Estos productos, identificados de manera concentrada mediante mesas de trabajo que convocaron a actores públicos y privados de cada región, permiten la diversificación de la oferta turística, así como promueven el compromiso de los gestores implicados en el desarrollo turístico a nivel local y regional. Como resultado de este trabajo, en dicho periodo se desarrollaron 75 productos turísticos, los mismos que formarán parte de la cadena de comercialización del turismo.</w:t>
            </w:r>
          </w:p>
        </w:tc>
      </w:tr>
      <w:tr w:rsidR="00474E6A" w:rsidRPr="00EE003F" w:rsidTr="000A3ABC">
        <w:tc>
          <w:tcPr>
            <w:tcW w:w="1952" w:type="dxa"/>
          </w:tcPr>
          <w:p w:rsidR="00474E6A" w:rsidRPr="00EE003F" w:rsidRDefault="00474E6A" w:rsidP="00B863F4">
            <w:pPr>
              <w:suppressAutoHyphens/>
              <w:autoSpaceDE w:val="0"/>
              <w:autoSpaceDN w:val="0"/>
              <w:adjustRightInd w:val="0"/>
              <w:spacing w:before="11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Pilar 3: Facilitación turística</w:t>
            </w:r>
          </w:p>
        </w:tc>
        <w:tc>
          <w:tcPr>
            <w:tcW w:w="11986" w:type="dxa"/>
          </w:tcPr>
          <w:p w:rsidR="00474E6A" w:rsidRPr="00EE003F" w:rsidRDefault="00474E6A" w:rsidP="00B863F4">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Fomenta un entorno competitivo favorable para el desarrollo dinámico del turismo. En particular, relaciona de modo eficiente y eficaz el mercado con la oferta turística. Por tal motivo, es necesario un trabajo coordinado entre representantes del sector turístico y actores de otros sectores relacionados para brindar servicios óptimos y con infraestructura suficiente que permita el ingreso, el tránsito y la salida fluida de los turistas que visitan el país, así como la aplicación de las tecnologías de la información en la gestión turística.</w:t>
            </w:r>
            <w:r w:rsidR="00B863F4" w:rsidRPr="00EE003F">
              <w:rPr>
                <w:rFonts w:ascii="Arial Narrow" w:hAnsi="Arial Narrow" w:cs="Frutiger LT Std 45 Light"/>
                <w:sz w:val="20"/>
                <w:szCs w:val="20"/>
                <w:lang w:val="es-ES_tradnl"/>
              </w:rPr>
              <w:t xml:space="preserve"> </w:t>
            </w:r>
            <w:r w:rsidRPr="00EE003F">
              <w:rPr>
                <w:rFonts w:ascii="Arial Narrow" w:hAnsi="Arial Narrow" w:cs="Frutiger LT Std 45 Light"/>
                <w:sz w:val="20"/>
                <w:szCs w:val="20"/>
                <w:lang w:val="es-ES_tradnl"/>
              </w:rPr>
              <w:t>Asimismo, es importante que el sector esté dotado de información útil para la acertada toma de decisiones, de acuerdo a los estándares de calidad mundial, y se mantenga en constante cooperación y comunicación con organismos internacionales y otros países, con normas y procedimientos atractivos para la inversión en turismo.</w:t>
            </w:r>
          </w:p>
        </w:tc>
      </w:tr>
      <w:tr w:rsidR="00474E6A" w:rsidRPr="00EE003F" w:rsidTr="000A3ABC">
        <w:tc>
          <w:tcPr>
            <w:tcW w:w="1952" w:type="dxa"/>
          </w:tcPr>
          <w:p w:rsidR="00474E6A" w:rsidRPr="00EE003F" w:rsidRDefault="00474E6A" w:rsidP="00B863F4">
            <w:pPr>
              <w:suppressAutoHyphens/>
              <w:autoSpaceDE w:val="0"/>
              <w:autoSpaceDN w:val="0"/>
              <w:adjustRightInd w:val="0"/>
              <w:spacing w:before="11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Pilar 4: Institucionalidad del sector</w:t>
            </w:r>
          </w:p>
        </w:tc>
        <w:tc>
          <w:tcPr>
            <w:tcW w:w="11986" w:type="dxa"/>
          </w:tcPr>
          <w:p w:rsidR="00474E6A" w:rsidRPr="00EE003F" w:rsidRDefault="00474E6A" w:rsidP="00B863F4">
            <w:pPr>
              <w:suppressAutoHyphens/>
              <w:autoSpaceDE w:val="0"/>
              <w:autoSpaceDN w:val="0"/>
              <w:adjustRightInd w:val="0"/>
              <w:spacing w:before="113"/>
              <w:ind w:left="283"/>
              <w:jc w:val="both"/>
              <w:textAlignment w:val="center"/>
              <w:rPr>
                <w:rFonts w:ascii="Arial Narrow" w:hAnsi="Arial Narrow" w:cs="Frutiger LT Std 45 Light"/>
                <w:sz w:val="20"/>
                <w:szCs w:val="20"/>
                <w:lang w:val="es-ES_tradnl"/>
              </w:rPr>
            </w:pPr>
            <w:r w:rsidRPr="00EE003F">
              <w:rPr>
                <w:rFonts w:ascii="Arial Narrow" w:hAnsi="Arial Narrow" w:cs="Frutiger LT Std 45 Light"/>
                <w:sz w:val="20"/>
                <w:szCs w:val="20"/>
                <w:lang w:val="es-ES_tradnl"/>
              </w:rPr>
              <w:t>Desarrollar estrategias que faciliten la articulación y releven la importancia de la concertación, incluyendo en el proceso a todos los actores públicos, de gobierno nacional, regional y local, así como a los actores privados, promoviendo entre ellos un nivel de representatividad significativo, de modo tal que los objetivos de los diferentes niveles de gobierno se encuentren alineados, que los actores privados conozcan todas las acciones y beneficios ofrecidos por el sector público, y se evite duplicar esfuerzos.</w:t>
            </w:r>
          </w:p>
        </w:tc>
      </w:tr>
    </w:tbl>
    <w:p w:rsidR="00474E6A" w:rsidRPr="00EE003F" w:rsidRDefault="00B863F4" w:rsidP="00B863F4">
      <w:pPr>
        <w:pStyle w:val="Textoindependiente2"/>
        <w:tabs>
          <w:tab w:val="left" w:pos="567"/>
        </w:tabs>
        <w:ind w:left="426"/>
        <w:jc w:val="left"/>
        <w:rPr>
          <w:rFonts w:ascii="Arial" w:hAnsi="Arial" w:cs="Arial"/>
          <w:b w:val="0"/>
          <w:i w:val="0"/>
          <w:sz w:val="20"/>
          <w:lang w:val="es-ES_tradnl"/>
        </w:rPr>
        <w:sectPr w:rsidR="00474E6A" w:rsidRPr="00EE003F" w:rsidSect="00474E6A">
          <w:pgSz w:w="16839" w:h="11907" w:orient="landscape" w:code="9"/>
          <w:pgMar w:top="1701" w:right="1417" w:bottom="1701" w:left="1417" w:header="708" w:footer="708" w:gutter="0"/>
          <w:cols w:space="708"/>
          <w:docGrid w:linePitch="360"/>
        </w:sectPr>
      </w:pPr>
      <w:r w:rsidRPr="00EE003F">
        <w:rPr>
          <w:rFonts w:ascii="Arial" w:hAnsi="Arial" w:cs="Arial"/>
          <w:i w:val="0"/>
          <w:sz w:val="20"/>
          <w:lang w:val="es-ES_tradnl"/>
        </w:rPr>
        <w:t>Fuente:</w:t>
      </w:r>
      <w:r w:rsidRPr="00EE003F">
        <w:rPr>
          <w:rFonts w:ascii="Arial" w:hAnsi="Arial" w:cs="Arial"/>
          <w:b w:val="0"/>
          <w:i w:val="0"/>
          <w:sz w:val="20"/>
          <w:lang w:val="es-ES_tradnl"/>
        </w:rPr>
        <w:t xml:space="preserve"> PENTUR 2021</w:t>
      </w:r>
    </w:p>
    <w:p w:rsidR="00474E6A" w:rsidRPr="00EE003F" w:rsidRDefault="00474E6A" w:rsidP="00474E6A">
      <w:pPr>
        <w:pStyle w:val="Textoindependiente2"/>
        <w:tabs>
          <w:tab w:val="left" w:pos="567"/>
        </w:tabs>
        <w:ind w:left="426"/>
        <w:jc w:val="both"/>
        <w:rPr>
          <w:rFonts w:ascii="Arial" w:hAnsi="Arial" w:cs="Arial"/>
          <w:b w:val="0"/>
          <w:i w:val="0"/>
          <w:sz w:val="22"/>
          <w:szCs w:val="22"/>
          <w:lang w:val="es-MX"/>
        </w:rPr>
      </w:pPr>
    </w:p>
    <w:p w:rsidR="00474E6A" w:rsidRPr="00EE003F" w:rsidRDefault="00474E6A" w:rsidP="00474E6A">
      <w:pPr>
        <w:pStyle w:val="Textoindependiente2"/>
        <w:tabs>
          <w:tab w:val="left" w:pos="567"/>
          <w:tab w:val="left" w:pos="1276"/>
        </w:tabs>
        <w:ind w:left="426"/>
        <w:jc w:val="both"/>
        <w:rPr>
          <w:rFonts w:ascii="Arial Narrow" w:hAnsi="Arial Narrow" w:cs="Arial"/>
          <w:i w:val="0"/>
          <w:sz w:val="24"/>
          <w:szCs w:val="24"/>
          <w:lang w:val="es-MX"/>
        </w:rPr>
      </w:pPr>
      <w:r w:rsidRPr="00EE003F">
        <w:rPr>
          <w:rFonts w:ascii="Arial Narrow" w:hAnsi="Arial Narrow" w:cs="Arial"/>
          <w:i w:val="0"/>
          <w:sz w:val="24"/>
          <w:szCs w:val="24"/>
          <w:lang w:val="es-MX"/>
        </w:rPr>
        <w:t>Pilar 1: Diversificación y consolidación de mercados</w:t>
      </w:r>
    </w:p>
    <w:p w:rsidR="00474E6A" w:rsidRPr="00EE003F" w:rsidRDefault="00474E6A" w:rsidP="00474E6A">
      <w:pPr>
        <w:pStyle w:val="Textoindependiente"/>
        <w:ind w:left="426"/>
        <w:rPr>
          <w:rFonts w:ascii="Arial Narrow" w:hAnsi="Arial Narrow" w:cs="Arial"/>
          <w:color w:val="000000"/>
          <w:szCs w:val="24"/>
          <w:lang w:val="es-MX"/>
        </w:rPr>
      </w:pPr>
    </w:p>
    <w:p w:rsidR="00474E6A" w:rsidRPr="00EE003F" w:rsidRDefault="00474E6A" w:rsidP="008E508F">
      <w:pPr>
        <w:pStyle w:val="Textoindependiente"/>
        <w:spacing w:before="120"/>
        <w:ind w:left="425"/>
        <w:rPr>
          <w:rFonts w:ascii="Arial Narrow" w:hAnsi="Arial Narrow" w:cs="Arial"/>
          <w:color w:val="000000"/>
          <w:szCs w:val="24"/>
          <w:lang w:val="es-PE"/>
        </w:rPr>
      </w:pPr>
      <w:r w:rsidRPr="00EE003F">
        <w:rPr>
          <w:rFonts w:ascii="Arial Narrow" w:hAnsi="Arial Narrow" w:cs="Arial"/>
          <w:color w:val="000000"/>
          <w:szCs w:val="24"/>
          <w:lang w:val="es-PE"/>
        </w:rPr>
        <w:t xml:space="preserve">Establecer el camino para conocer a los mercados, evaluar cuán atractivos son, y qué hacer para aprovecharlos de manera eficiente y sostenida.  Toma como punto de partida el conocimiento y la evaluación de las características del mercado al cual se dirigirá la oferta turística. </w:t>
      </w:r>
    </w:p>
    <w:p w:rsidR="00474E6A" w:rsidRPr="00EE003F" w:rsidRDefault="00474E6A" w:rsidP="008E508F">
      <w:pPr>
        <w:pStyle w:val="Textoindependiente"/>
        <w:spacing w:before="120"/>
        <w:ind w:left="425"/>
        <w:rPr>
          <w:rFonts w:ascii="Arial Narrow" w:hAnsi="Arial Narrow" w:cs="Arial"/>
          <w:color w:val="000000"/>
          <w:szCs w:val="24"/>
          <w:lang w:val="es-PE"/>
        </w:rPr>
      </w:pPr>
      <w:r w:rsidRPr="00EE003F">
        <w:rPr>
          <w:rFonts w:ascii="Arial Narrow" w:hAnsi="Arial Narrow" w:cs="Arial"/>
          <w:color w:val="000000"/>
          <w:szCs w:val="24"/>
          <w:lang w:val="es-PE"/>
        </w:rPr>
        <w:t>En este sentido, la investigación y la determinación de las características del mercado deben realizarse con relación a la demanda actual, la demanda potencial, los nuevos mercados y las tendencias de los segmentos especializados. En base a este estudio, y a los datos obtenidos, considerando la información de la oferta, deberán plantearse las estrategias de promoción a seguir para mantener y captar, actuales y potenciales turistas.</w:t>
      </w:r>
    </w:p>
    <w:p w:rsidR="00474E6A" w:rsidRPr="00EE003F" w:rsidRDefault="00474E6A" w:rsidP="00474E6A">
      <w:pPr>
        <w:pStyle w:val="Textoindependiente2"/>
        <w:tabs>
          <w:tab w:val="left" w:pos="567"/>
          <w:tab w:val="left" w:pos="1276"/>
        </w:tabs>
        <w:ind w:left="426"/>
        <w:jc w:val="both"/>
        <w:rPr>
          <w:rFonts w:ascii="Arial Narrow" w:hAnsi="Arial Narrow" w:cs="Arial"/>
          <w:i w:val="0"/>
          <w:sz w:val="24"/>
          <w:szCs w:val="24"/>
          <w:lang w:val="es-MX"/>
        </w:rPr>
      </w:pPr>
    </w:p>
    <w:p w:rsidR="00474E6A" w:rsidRPr="00EE003F" w:rsidRDefault="00474E6A" w:rsidP="00474E6A">
      <w:pPr>
        <w:pStyle w:val="Textoindependiente2"/>
        <w:tabs>
          <w:tab w:val="left" w:pos="567"/>
          <w:tab w:val="left" w:pos="1276"/>
        </w:tabs>
        <w:ind w:left="426"/>
        <w:jc w:val="both"/>
        <w:rPr>
          <w:rFonts w:ascii="Arial Narrow" w:hAnsi="Arial Narrow" w:cs="Arial"/>
          <w:i w:val="0"/>
          <w:sz w:val="24"/>
          <w:szCs w:val="24"/>
          <w:lang w:val="es-MX"/>
        </w:rPr>
      </w:pPr>
      <w:r w:rsidRPr="00EE003F">
        <w:rPr>
          <w:rFonts w:ascii="Arial Narrow" w:hAnsi="Arial Narrow" w:cs="Arial"/>
          <w:i w:val="0"/>
          <w:sz w:val="24"/>
          <w:szCs w:val="24"/>
          <w:lang w:val="es-MX"/>
        </w:rPr>
        <w:t>Pilar 2: Diversificación y consolidación de la oferta</w:t>
      </w:r>
    </w:p>
    <w:p w:rsidR="00474E6A" w:rsidRPr="00EE003F" w:rsidRDefault="00474E6A" w:rsidP="00474E6A">
      <w:pPr>
        <w:pStyle w:val="Textoindependiente"/>
        <w:rPr>
          <w:rFonts w:ascii="Arial Narrow" w:hAnsi="Arial Narrow" w:cs="Arial"/>
          <w:color w:val="000000"/>
          <w:szCs w:val="24"/>
          <w:lang w:val="es-MX"/>
        </w:rPr>
      </w:pPr>
    </w:p>
    <w:p w:rsidR="00474E6A" w:rsidRPr="00EE003F" w:rsidRDefault="00474E6A" w:rsidP="008E508F">
      <w:pPr>
        <w:pStyle w:val="Textoindependiente"/>
        <w:spacing w:before="120"/>
        <w:ind w:left="425"/>
        <w:rPr>
          <w:rFonts w:ascii="Arial Narrow" w:hAnsi="Arial Narrow" w:cs="Arial"/>
          <w:color w:val="000000"/>
          <w:szCs w:val="24"/>
          <w:lang w:val="es-PE"/>
        </w:rPr>
      </w:pPr>
      <w:r w:rsidRPr="00EE003F">
        <w:rPr>
          <w:rFonts w:ascii="Arial Narrow" w:hAnsi="Arial Narrow" w:cs="Arial"/>
          <w:color w:val="000000"/>
          <w:szCs w:val="24"/>
          <w:lang w:val="es-PE"/>
        </w:rPr>
        <w:t xml:space="preserve">Determina qué se ofrecerá y cómo se desarrollará esta oferta. Para tal efecto, enfoca su accionar en fortalecer la oferta turística actual a nivel nacional, con particular atención a los productos turísticos especializados, mediante la identificación de brechas de necesidades en los destinos, diseño, implementación y mantenimiento de planes de gestión del turismo a nivel regional y local, el desarrollo del capital </w:t>
      </w:r>
      <w:r w:rsidRPr="00EE003F">
        <w:rPr>
          <w:rFonts w:ascii="Arial Narrow" w:hAnsi="Arial Narrow" w:cs="Arial"/>
          <w:szCs w:val="24"/>
          <w:lang w:val="es-PE"/>
        </w:rPr>
        <w:t xml:space="preserve">humano, la mejora de la calidad de los servicios turísticos </w:t>
      </w:r>
      <w:r w:rsidRPr="00EE003F">
        <w:rPr>
          <w:rFonts w:ascii="Arial Narrow" w:hAnsi="Arial Narrow" w:cs="Arial"/>
          <w:color w:val="000000"/>
          <w:szCs w:val="24"/>
          <w:lang w:val="es-PE"/>
        </w:rPr>
        <w:t xml:space="preserve">y promoción de la inversión. </w:t>
      </w:r>
    </w:p>
    <w:p w:rsidR="00474E6A" w:rsidRPr="00EE003F" w:rsidRDefault="00474E6A" w:rsidP="008E508F">
      <w:pPr>
        <w:tabs>
          <w:tab w:val="left" w:pos="426"/>
        </w:tabs>
        <w:spacing w:before="120" w:after="0" w:line="240" w:lineRule="auto"/>
        <w:ind w:left="425"/>
        <w:jc w:val="both"/>
        <w:rPr>
          <w:rFonts w:ascii="Arial Narrow" w:hAnsi="Arial Narrow" w:cs="Arial"/>
          <w:sz w:val="24"/>
          <w:szCs w:val="24"/>
        </w:rPr>
      </w:pPr>
      <w:r w:rsidRPr="00EE003F">
        <w:rPr>
          <w:rFonts w:ascii="Arial Narrow" w:hAnsi="Arial Narrow" w:cs="Arial"/>
          <w:sz w:val="24"/>
          <w:szCs w:val="24"/>
        </w:rPr>
        <w:t>El MINCETUR, implementó entre el 2014 y el 2016, el mecanismo para el desarrollo de productos turísticos regionales innovadores. Estos productos, identificados de manera concentrada mediante mesas de trabajo que convocaron a actores públicos y privados de cada región, permiten la diversificación de la oferta turística, así como promueven el compromiso de los gestores implicados en el desarrollo turístico a nivel local y regional. Como resultado de este trabajo, en dicho periodo se desarrollaron 75 productos turísticos, los mismos que formarán parte de la cadena de comercialización del turismo.</w:t>
      </w:r>
    </w:p>
    <w:p w:rsidR="008E508F" w:rsidRPr="00EE003F" w:rsidRDefault="008E508F" w:rsidP="00474E6A">
      <w:pPr>
        <w:pStyle w:val="Textoindependiente2"/>
        <w:tabs>
          <w:tab w:val="left" w:pos="567"/>
          <w:tab w:val="left" w:pos="1276"/>
        </w:tabs>
        <w:ind w:left="426"/>
        <w:jc w:val="both"/>
        <w:rPr>
          <w:rFonts w:ascii="Arial Narrow" w:hAnsi="Arial Narrow" w:cs="Arial"/>
          <w:i w:val="0"/>
          <w:sz w:val="24"/>
          <w:szCs w:val="24"/>
          <w:lang w:val="es-MX"/>
        </w:rPr>
      </w:pPr>
    </w:p>
    <w:p w:rsidR="00474E6A" w:rsidRPr="00EE003F" w:rsidRDefault="00474E6A" w:rsidP="00474E6A">
      <w:pPr>
        <w:pStyle w:val="Textoindependiente2"/>
        <w:tabs>
          <w:tab w:val="left" w:pos="567"/>
          <w:tab w:val="left" w:pos="1276"/>
        </w:tabs>
        <w:ind w:left="426"/>
        <w:jc w:val="both"/>
        <w:rPr>
          <w:rFonts w:ascii="Arial Narrow" w:hAnsi="Arial Narrow" w:cs="Arial"/>
          <w:i w:val="0"/>
          <w:sz w:val="24"/>
          <w:szCs w:val="24"/>
          <w:lang w:val="es-MX"/>
        </w:rPr>
      </w:pPr>
      <w:r w:rsidRPr="00EE003F">
        <w:rPr>
          <w:rFonts w:ascii="Arial Narrow" w:hAnsi="Arial Narrow" w:cs="Arial"/>
          <w:i w:val="0"/>
          <w:sz w:val="24"/>
          <w:szCs w:val="24"/>
          <w:lang w:val="es-MX"/>
        </w:rPr>
        <w:t>Pilar 3: Facilitación turística</w:t>
      </w:r>
    </w:p>
    <w:p w:rsidR="00474E6A" w:rsidRPr="00EE003F" w:rsidRDefault="00474E6A" w:rsidP="00474E6A">
      <w:pPr>
        <w:pStyle w:val="Textoindependiente"/>
        <w:ind w:left="426"/>
        <w:rPr>
          <w:rFonts w:ascii="Arial Narrow" w:hAnsi="Arial Narrow" w:cs="Arial"/>
          <w:color w:val="000000"/>
          <w:szCs w:val="24"/>
          <w:lang w:val="es-PE"/>
        </w:rPr>
      </w:pPr>
    </w:p>
    <w:p w:rsidR="00474E6A" w:rsidRPr="00EE003F" w:rsidRDefault="00474E6A" w:rsidP="008E508F">
      <w:pPr>
        <w:pStyle w:val="Textoindependiente"/>
        <w:spacing w:before="120"/>
        <w:ind w:left="425"/>
        <w:rPr>
          <w:rFonts w:ascii="Arial Narrow" w:hAnsi="Arial Narrow" w:cs="Arial"/>
          <w:color w:val="000000"/>
          <w:szCs w:val="24"/>
          <w:lang w:val="es-PE"/>
        </w:rPr>
      </w:pPr>
      <w:r w:rsidRPr="00EE003F">
        <w:rPr>
          <w:rFonts w:ascii="Arial Narrow" w:hAnsi="Arial Narrow" w:cs="Arial"/>
          <w:color w:val="000000"/>
          <w:szCs w:val="24"/>
          <w:lang w:val="es-PE"/>
        </w:rPr>
        <w:t xml:space="preserve">Fomenta un entorno competitivo favorable para el desarrollo dinámico del turismo. En particular, relaciona de modo eficiente y eficaz el mercado con la oferta turística. </w:t>
      </w:r>
    </w:p>
    <w:p w:rsidR="00474E6A" w:rsidRPr="00EE003F" w:rsidRDefault="00474E6A" w:rsidP="008E508F">
      <w:pPr>
        <w:pStyle w:val="Textoindependiente"/>
        <w:spacing w:before="120"/>
        <w:ind w:left="425"/>
        <w:rPr>
          <w:rFonts w:ascii="Arial Narrow" w:hAnsi="Arial Narrow" w:cs="Arial"/>
          <w:strike/>
          <w:szCs w:val="24"/>
          <w:lang w:val="es-PE"/>
        </w:rPr>
      </w:pPr>
      <w:r w:rsidRPr="00EE003F">
        <w:rPr>
          <w:rFonts w:ascii="Arial Narrow" w:hAnsi="Arial Narrow" w:cs="Arial"/>
          <w:szCs w:val="24"/>
          <w:lang w:val="es-PE"/>
        </w:rPr>
        <w:t>Por tal motivo, es necesario un trabajo coordinado entre representantes del sector turístico y actores de otros sectores relacionados para bri</w:t>
      </w:r>
      <w:r w:rsidR="00D97F05" w:rsidRPr="00EE003F">
        <w:rPr>
          <w:rFonts w:ascii="Arial Narrow" w:hAnsi="Arial Narrow" w:cs="Arial"/>
          <w:szCs w:val="24"/>
          <w:lang w:val="es-PE"/>
        </w:rPr>
        <w:t>n</w:t>
      </w:r>
      <w:r w:rsidRPr="00EE003F">
        <w:rPr>
          <w:rFonts w:ascii="Arial Narrow" w:hAnsi="Arial Narrow" w:cs="Arial"/>
          <w:szCs w:val="24"/>
          <w:lang w:val="es-PE"/>
        </w:rPr>
        <w:t>dar servicios óptimos y con infraestructura suficiente que permita el ingreso, el tránsito y la salida fluida de los turistas que visitan el país, así como la aplicación de las tecnologías de la información en la gestión turística.</w:t>
      </w:r>
    </w:p>
    <w:p w:rsidR="00474E6A" w:rsidRPr="00EE003F" w:rsidRDefault="00474E6A" w:rsidP="008E508F">
      <w:pPr>
        <w:tabs>
          <w:tab w:val="left" w:pos="426"/>
        </w:tabs>
        <w:spacing w:before="120" w:after="0" w:line="240" w:lineRule="auto"/>
        <w:ind w:left="425"/>
        <w:jc w:val="both"/>
        <w:rPr>
          <w:rFonts w:ascii="Arial Narrow" w:hAnsi="Arial Narrow" w:cs="Arial"/>
          <w:color w:val="000000"/>
          <w:sz w:val="24"/>
          <w:szCs w:val="24"/>
        </w:rPr>
      </w:pPr>
      <w:r w:rsidRPr="00EE003F">
        <w:rPr>
          <w:rFonts w:ascii="Arial Narrow" w:hAnsi="Arial Narrow" w:cs="Arial"/>
          <w:color w:val="000000"/>
          <w:sz w:val="24"/>
          <w:szCs w:val="24"/>
        </w:rPr>
        <w:t xml:space="preserve">Asimismo, es importante que el sector esté dotado de información útil para la acertada toma de decisiones, de acuerdo a los estándares de calidad mundial, y se mantenga en constante cooperación </w:t>
      </w:r>
      <w:r w:rsidRPr="00EE003F">
        <w:rPr>
          <w:rFonts w:ascii="Arial Narrow" w:hAnsi="Arial Narrow" w:cs="Arial"/>
          <w:sz w:val="24"/>
          <w:szCs w:val="24"/>
        </w:rPr>
        <w:t xml:space="preserve">y comunicación </w:t>
      </w:r>
      <w:r w:rsidRPr="00EE003F">
        <w:rPr>
          <w:rFonts w:ascii="Arial Narrow" w:hAnsi="Arial Narrow" w:cs="Arial"/>
          <w:color w:val="000000"/>
          <w:sz w:val="24"/>
          <w:szCs w:val="24"/>
        </w:rPr>
        <w:t>con organismos internacionales y otros países, con normas y procedimientos atractivos para la inversión en turismo.</w:t>
      </w:r>
    </w:p>
    <w:p w:rsidR="008E508F" w:rsidRPr="00EE003F" w:rsidRDefault="008E508F" w:rsidP="008E508F">
      <w:pPr>
        <w:tabs>
          <w:tab w:val="left" w:pos="426"/>
        </w:tabs>
        <w:spacing w:before="120" w:after="0" w:line="240" w:lineRule="auto"/>
        <w:ind w:left="425"/>
        <w:jc w:val="both"/>
        <w:rPr>
          <w:rFonts w:ascii="Arial Narrow" w:hAnsi="Arial Narrow" w:cs="Arial"/>
          <w:color w:val="000000"/>
          <w:sz w:val="24"/>
          <w:szCs w:val="24"/>
        </w:rPr>
      </w:pPr>
    </w:p>
    <w:p w:rsidR="00474E6A" w:rsidRPr="00EE003F" w:rsidRDefault="00474E6A" w:rsidP="00474E6A">
      <w:pPr>
        <w:pStyle w:val="Textoindependiente2"/>
        <w:tabs>
          <w:tab w:val="left" w:pos="1276"/>
        </w:tabs>
        <w:ind w:left="426"/>
        <w:jc w:val="both"/>
        <w:rPr>
          <w:rFonts w:ascii="Arial Narrow" w:hAnsi="Arial Narrow" w:cs="Arial"/>
          <w:i w:val="0"/>
          <w:sz w:val="24"/>
          <w:szCs w:val="24"/>
          <w:lang w:val="es-MX"/>
        </w:rPr>
      </w:pPr>
      <w:r w:rsidRPr="00EE003F">
        <w:rPr>
          <w:rFonts w:ascii="Arial Narrow" w:hAnsi="Arial Narrow" w:cs="Arial"/>
          <w:i w:val="0"/>
          <w:sz w:val="24"/>
          <w:szCs w:val="24"/>
          <w:lang w:val="es-MX"/>
        </w:rPr>
        <w:t>Pilar 4: Institucionalidad del sector</w:t>
      </w:r>
    </w:p>
    <w:p w:rsidR="00474E6A" w:rsidRPr="00EE003F" w:rsidRDefault="00474E6A" w:rsidP="00474E6A">
      <w:pPr>
        <w:pStyle w:val="Textoindependiente"/>
        <w:ind w:left="426"/>
        <w:rPr>
          <w:rFonts w:ascii="Arial Narrow" w:hAnsi="Arial Narrow" w:cs="Arial"/>
          <w:color w:val="FF0000"/>
          <w:szCs w:val="24"/>
          <w:lang w:val="es-MX"/>
        </w:rPr>
      </w:pPr>
    </w:p>
    <w:p w:rsidR="00474E6A" w:rsidRPr="00EE003F" w:rsidRDefault="00474E6A" w:rsidP="008E508F">
      <w:pPr>
        <w:tabs>
          <w:tab w:val="num" w:pos="1985"/>
        </w:tabs>
        <w:spacing w:before="120" w:after="0" w:line="240" w:lineRule="auto"/>
        <w:ind w:left="425"/>
        <w:jc w:val="both"/>
        <w:rPr>
          <w:rFonts w:ascii="Arial Narrow" w:hAnsi="Arial Narrow" w:cs="Arial"/>
          <w:sz w:val="24"/>
          <w:szCs w:val="24"/>
        </w:rPr>
      </w:pPr>
      <w:r w:rsidRPr="00EE003F">
        <w:rPr>
          <w:rFonts w:ascii="Arial Narrow" w:hAnsi="Arial Narrow" w:cs="Arial"/>
          <w:sz w:val="24"/>
          <w:szCs w:val="24"/>
        </w:rPr>
        <w:t>Desarrollar estrategias que faciliten la articulación y releven la importancia de la concertación, incluyendo en el proceso a todos los actores públicos, de gobierno nacional, regional y local, así como a los actores privados, promoviendo entre ellos un nivel de representatividad significativo, de modo tal que los objetivos de los diferentes niveles de gobierno se encuentren alineados, que los actores privados conozcan todas las acciones y beneficios ofrecidos por el sector público, y se evite duplicar esfuerzos.</w:t>
      </w:r>
    </w:p>
    <w:p w:rsidR="002152AC" w:rsidRPr="00EE003F" w:rsidRDefault="002152AC" w:rsidP="008E508F">
      <w:pPr>
        <w:tabs>
          <w:tab w:val="num" w:pos="1985"/>
        </w:tabs>
        <w:spacing w:before="120" w:after="0" w:line="240" w:lineRule="auto"/>
        <w:ind w:left="425"/>
        <w:jc w:val="both"/>
        <w:rPr>
          <w:rFonts w:ascii="Arial Narrow" w:hAnsi="Arial Narrow" w:cs="Arial"/>
          <w:sz w:val="24"/>
          <w:szCs w:val="24"/>
        </w:rPr>
      </w:pPr>
    </w:p>
    <w:p w:rsidR="00E06847" w:rsidRPr="00EE003F" w:rsidRDefault="00E06847" w:rsidP="002152AC">
      <w:pPr>
        <w:pStyle w:val="Ttulo2"/>
        <w:jc w:val="both"/>
        <w:rPr>
          <w:rFonts w:asciiTheme="minorHAnsi" w:hAnsiTheme="minorHAnsi"/>
          <w:lang w:val="es-ES_tradnl"/>
        </w:rPr>
      </w:pPr>
      <w:bookmarkStart w:id="17" w:name="_Toc453004658"/>
      <w:r w:rsidRPr="00EE003F">
        <w:rPr>
          <w:rFonts w:asciiTheme="minorHAnsi" w:hAnsiTheme="minorHAnsi"/>
          <w:lang w:val="es-ES_tradnl"/>
        </w:rPr>
        <w:t xml:space="preserve">Articulación entre </w:t>
      </w:r>
      <w:r w:rsidR="002152AC" w:rsidRPr="00EE003F">
        <w:rPr>
          <w:rFonts w:asciiTheme="minorHAnsi" w:hAnsiTheme="minorHAnsi"/>
          <w:lang w:val="es-ES_tradnl"/>
        </w:rPr>
        <w:t xml:space="preserve">la </w:t>
      </w:r>
      <w:r w:rsidRPr="00EE003F">
        <w:rPr>
          <w:rFonts w:asciiTheme="minorHAnsi" w:hAnsiTheme="minorHAnsi"/>
          <w:lang w:val="es-ES_tradnl"/>
        </w:rPr>
        <w:t>Agenda de Competitividad, el Plan Nacional de Diversificación Productiva, el Plan Estratégico Nacional Exportador y el Plan Estratégico de Turismo con el Plan Estratégico de Desarrollo Nacional.</w:t>
      </w:r>
      <w:bookmarkEnd w:id="17"/>
      <w:r w:rsidRPr="00EE003F">
        <w:rPr>
          <w:rFonts w:asciiTheme="minorHAnsi" w:hAnsiTheme="minorHAnsi"/>
          <w:lang w:val="es-ES_tradnl"/>
        </w:rPr>
        <w:t xml:space="preserve"> </w:t>
      </w:r>
    </w:p>
    <w:p w:rsidR="008E508F" w:rsidRPr="00EE003F" w:rsidRDefault="008E508F" w:rsidP="008E508F">
      <w:pPr>
        <w:tabs>
          <w:tab w:val="num" w:pos="1985"/>
        </w:tabs>
        <w:spacing w:before="120" w:after="0" w:line="240" w:lineRule="auto"/>
        <w:jc w:val="both"/>
        <w:rPr>
          <w:rFonts w:ascii="Arial Narrow" w:hAnsi="Arial Narrow" w:cs="Arial"/>
          <w:sz w:val="24"/>
          <w:szCs w:val="24"/>
        </w:rPr>
      </w:pPr>
    </w:p>
    <w:p w:rsidR="00E06847" w:rsidRPr="00EE003F" w:rsidRDefault="00E06847" w:rsidP="008E508F">
      <w:pPr>
        <w:tabs>
          <w:tab w:val="num" w:pos="1985"/>
        </w:tabs>
        <w:spacing w:before="120" w:after="0" w:line="240" w:lineRule="auto"/>
        <w:jc w:val="both"/>
        <w:rPr>
          <w:rFonts w:ascii="Arial Narrow" w:hAnsi="Arial Narrow" w:cs="Arial"/>
          <w:sz w:val="24"/>
          <w:szCs w:val="24"/>
        </w:rPr>
      </w:pPr>
      <w:r w:rsidRPr="00EE003F">
        <w:rPr>
          <w:rFonts w:ascii="Arial Narrow" w:hAnsi="Arial Narrow" w:cs="Arial"/>
          <w:sz w:val="24"/>
          <w:szCs w:val="24"/>
        </w:rPr>
        <w:t xml:space="preserve">La articulación entre Agenda de Competitividad, el Plan Nacional de Diversificación Productiva, el Plan Estratégico Nacional Exportador  y el Plan Estratégico de Turismo con el Plan Estratégico de Desarrollo Nacional se realiza según la Directiva General del Proceso de Planeamiento Estratégico, el Plan Estratégico de Desarrollo Nacional establece los objetivos nacionales, desde los cuales deben desprenderse los objetivos de los planes o estrategias sectoriales y multisectoriales como la Agenda de Competitividad, el Plan Nacional de Diversificación Productiva, el Plan Estratégico Nacional Exportador  y el Plan Estratégico de Turismo. Estos planes y estrategias contienen objetivos y acciones estratégicas que se engranan a los objetivos nacionales, con la finalidad de incrementar la competitividad del país y lograr su transformación productiva necesaria para el desarrollo económico de acuerdo al PEDN. </w:t>
      </w:r>
    </w:p>
    <w:p w:rsidR="00E06847" w:rsidRPr="00EE003F" w:rsidRDefault="00E06847" w:rsidP="008E508F">
      <w:pPr>
        <w:tabs>
          <w:tab w:val="num" w:pos="1985"/>
        </w:tabs>
        <w:spacing w:before="120" w:after="0" w:line="240" w:lineRule="auto"/>
        <w:jc w:val="both"/>
        <w:rPr>
          <w:rFonts w:ascii="Arial Narrow" w:hAnsi="Arial Narrow" w:cs="Arial"/>
          <w:sz w:val="24"/>
          <w:szCs w:val="24"/>
        </w:rPr>
      </w:pPr>
      <w:r w:rsidRPr="00EE003F">
        <w:rPr>
          <w:rFonts w:ascii="Arial Narrow" w:hAnsi="Arial Narrow" w:cs="Arial"/>
          <w:sz w:val="24"/>
          <w:szCs w:val="24"/>
        </w:rPr>
        <w:t>La Agenda de Competitividad concentra reformas que promueven mejoras en las condiciones de competitividad básicas, que resultan transversales sectorialmente y territorialmente, tales como los aspectos de infraestructura, capital humano, y sostenibilidad de los recursos naturales. Estos aspectos en conjunto conforman el eje horizontal de la competitividad, que sienta las bases para el surgimiento y crecimiento de los procesos económicos dinámicos. Al respecto es importante destacar las reformas y resultados de la Agenda de Competitividad 2012-2013.</w:t>
      </w:r>
    </w:p>
    <w:p w:rsidR="00E06847" w:rsidRPr="00EE003F" w:rsidRDefault="00E06847" w:rsidP="008E508F">
      <w:pPr>
        <w:tabs>
          <w:tab w:val="num" w:pos="1985"/>
        </w:tabs>
        <w:spacing w:before="120" w:after="0" w:line="240" w:lineRule="auto"/>
        <w:jc w:val="both"/>
        <w:rPr>
          <w:rFonts w:ascii="Arial Narrow" w:hAnsi="Arial Narrow" w:cs="Arial"/>
          <w:sz w:val="24"/>
          <w:szCs w:val="24"/>
        </w:rPr>
      </w:pPr>
      <w:r w:rsidRPr="00EE003F">
        <w:rPr>
          <w:rFonts w:ascii="Arial Narrow" w:hAnsi="Arial Narrow" w:cs="Arial"/>
          <w:sz w:val="24"/>
          <w:szCs w:val="24"/>
        </w:rPr>
        <w:t>En cuanto al PNDP, se concentra en reformas enfocadas en mejorar las condiciones económicas de las empresas en sectores y territorios específicos, con la creación de espacios sectoriales para el encuentro entre el sector público y el sector privado, como las Mesas Forestal, Acuicultura e Industrias Creativas. Asimismo, incorpora la visión transversal para resolver la problemática a través del impulso a la productividad, la reducción de la burocracia y la diversificación productiva.</w:t>
      </w:r>
    </w:p>
    <w:p w:rsidR="00E06847" w:rsidRPr="00EE003F" w:rsidRDefault="00E06847" w:rsidP="008E508F">
      <w:pPr>
        <w:tabs>
          <w:tab w:val="num" w:pos="1985"/>
        </w:tabs>
        <w:spacing w:before="120" w:after="0" w:line="240" w:lineRule="auto"/>
        <w:jc w:val="both"/>
        <w:rPr>
          <w:rFonts w:ascii="Arial Narrow" w:hAnsi="Arial Narrow" w:cs="Arial"/>
          <w:sz w:val="24"/>
          <w:szCs w:val="24"/>
        </w:rPr>
      </w:pPr>
      <w:r w:rsidRPr="00EE003F">
        <w:rPr>
          <w:rFonts w:ascii="Arial Narrow" w:hAnsi="Arial Narrow" w:cs="Arial"/>
          <w:sz w:val="24"/>
          <w:szCs w:val="24"/>
        </w:rPr>
        <w:t>Por otro lado, los planes sectoriales PENX y PENTUR presentan las estrategias para la promoción de actividades que permitirán incrementar la entrada de divisas y la consolidación de la competitividad y diversificación productiva del país. El fomento de una economía diversificada reducirá la vulnerabilidad ante los choques externos, en consecuencia el crecimiento y el desarrollo de las actividades productivas.</w:t>
      </w:r>
    </w:p>
    <w:p w:rsidR="00E06847" w:rsidRPr="00EE003F" w:rsidRDefault="00E06847" w:rsidP="008E508F">
      <w:pPr>
        <w:tabs>
          <w:tab w:val="num" w:pos="1985"/>
        </w:tabs>
        <w:spacing w:before="120" w:after="0" w:line="240" w:lineRule="auto"/>
        <w:jc w:val="both"/>
        <w:rPr>
          <w:rFonts w:ascii="Arial Narrow" w:hAnsi="Arial Narrow" w:cs="Arial"/>
          <w:sz w:val="24"/>
          <w:szCs w:val="24"/>
        </w:rPr>
      </w:pPr>
      <w:r w:rsidRPr="00EE003F">
        <w:rPr>
          <w:rFonts w:ascii="Arial Narrow" w:hAnsi="Arial Narrow" w:cs="Arial"/>
          <w:sz w:val="24"/>
          <w:szCs w:val="24"/>
        </w:rPr>
        <w:t>Por tanto, la implementación de los planes y estrategias sectoriales y multisectoriales contribuirá al logro de los objetivos nacionales planteados en el PEDN, aquellos enfocados en la consolidación de una economía diversificada, competitiva, pro-exportadora y generadora de empleo decente.</w:t>
      </w:r>
    </w:p>
    <w:p w:rsidR="00FB5453" w:rsidRPr="00EE003F" w:rsidRDefault="00FB5453">
      <w:pPr>
        <w:rPr>
          <w:rFonts w:ascii="Arial Narrow" w:hAnsi="Arial Narrow" w:cs="Arial"/>
          <w:sz w:val="24"/>
          <w:szCs w:val="24"/>
        </w:rPr>
      </w:pPr>
      <w:r w:rsidRPr="00EE003F">
        <w:rPr>
          <w:rFonts w:ascii="Arial Narrow" w:hAnsi="Arial Narrow" w:cs="Arial"/>
          <w:sz w:val="24"/>
          <w:szCs w:val="24"/>
        </w:rPr>
        <w:br w:type="page"/>
      </w:r>
    </w:p>
    <w:p w:rsidR="008E508F" w:rsidRPr="00EE003F" w:rsidRDefault="008E508F" w:rsidP="008E508F">
      <w:pPr>
        <w:tabs>
          <w:tab w:val="num" w:pos="1985"/>
        </w:tabs>
        <w:spacing w:before="120" w:after="0" w:line="240" w:lineRule="auto"/>
        <w:jc w:val="both"/>
        <w:rPr>
          <w:rFonts w:ascii="Arial Narrow" w:hAnsi="Arial Narrow" w:cs="Arial"/>
          <w:sz w:val="24"/>
          <w:szCs w:val="24"/>
        </w:rPr>
      </w:pPr>
    </w:p>
    <w:tbl>
      <w:tblPr>
        <w:tblStyle w:val="Cuadrculamedia2-nfasis1"/>
        <w:tblW w:w="5000" w:type="pct"/>
        <w:tblLook w:val="04A0" w:firstRow="1" w:lastRow="0" w:firstColumn="1" w:lastColumn="0" w:noHBand="0" w:noVBand="1"/>
      </w:tblPr>
      <w:tblGrid>
        <w:gridCol w:w="1275"/>
        <w:gridCol w:w="1990"/>
        <w:gridCol w:w="1709"/>
        <w:gridCol w:w="1988"/>
        <w:gridCol w:w="1759"/>
      </w:tblGrid>
      <w:tr w:rsidR="008E79F1" w:rsidRPr="00EE003F" w:rsidTr="001B68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5"/>
          </w:tcPr>
          <w:p w:rsidR="008E79F1" w:rsidRPr="00EE003F" w:rsidRDefault="008E79F1" w:rsidP="005835DC">
            <w:pPr>
              <w:jc w:val="center"/>
              <w:rPr>
                <w:rFonts w:ascii="Arial Narrow" w:hAnsi="Arial Narrow" w:cs="Arial"/>
                <w:sz w:val="18"/>
                <w:szCs w:val="18"/>
              </w:rPr>
            </w:pPr>
            <w:r w:rsidRPr="00EE003F">
              <w:rPr>
                <w:rFonts w:ascii="Arial Narrow" w:hAnsi="Arial Narrow" w:cs="Arial"/>
                <w:sz w:val="28"/>
                <w:szCs w:val="18"/>
              </w:rPr>
              <w:t xml:space="preserve">Articulación de Planes y Estrategias al </w:t>
            </w:r>
            <w:r w:rsidR="005835DC" w:rsidRPr="00EE003F">
              <w:rPr>
                <w:rFonts w:ascii="Arial Narrow" w:hAnsi="Arial Narrow" w:cs="Arial"/>
                <w:sz w:val="28"/>
                <w:szCs w:val="18"/>
              </w:rPr>
              <w:t>Plan Estratégico de Desarrollo Nacional Actualizado Perú hacia el</w:t>
            </w:r>
            <w:r w:rsidRPr="00EE003F">
              <w:rPr>
                <w:rFonts w:ascii="Arial Narrow" w:hAnsi="Arial Narrow" w:cs="Arial"/>
                <w:sz w:val="28"/>
                <w:szCs w:val="18"/>
              </w:rPr>
              <w:t xml:space="preserve"> 2021</w:t>
            </w:r>
          </w:p>
        </w:tc>
      </w:tr>
      <w:tr w:rsidR="008E79F1" w:rsidRPr="00EE003F" w:rsidTr="001B6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Borders>
              <w:right w:val="single" w:sz="4" w:space="0" w:color="365F91" w:themeColor="accent1" w:themeShade="BF"/>
            </w:tcBorders>
            <w:shd w:val="clear" w:color="auto" w:fill="1F497D" w:themeFill="text2"/>
            <w:vAlign w:val="center"/>
          </w:tcPr>
          <w:p w:rsidR="008E79F1" w:rsidRPr="00EE003F" w:rsidRDefault="008E79F1" w:rsidP="001B688D">
            <w:pPr>
              <w:jc w:val="center"/>
              <w:rPr>
                <w:rFonts w:ascii="Arial Narrow" w:hAnsi="Arial Narrow" w:cs="Arial"/>
                <w:color w:val="FFFFFF" w:themeColor="background1"/>
                <w:sz w:val="18"/>
                <w:szCs w:val="18"/>
              </w:rPr>
            </w:pPr>
            <w:r w:rsidRPr="00EE003F">
              <w:rPr>
                <w:rFonts w:ascii="Arial Narrow" w:hAnsi="Arial Narrow" w:cs="Arial"/>
                <w:color w:val="FFFFFF" w:themeColor="background1"/>
                <w:sz w:val="18"/>
                <w:szCs w:val="18"/>
              </w:rPr>
              <w:t>Ejes</w:t>
            </w:r>
          </w:p>
        </w:tc>
        <w:tc>
          <w:tcPr>
            <w:tcW w:w="1233" w:type="pct"/>
            <w:tcBorders>
              <w:top w:val="nil"/>
              <w:left w:val="single" w:sz="4" w:space="0" w:color="365F91" w:themeColor="accent1" w:themeShade="BF"/>
              <w:bottom w:val="nil"/>
              <w:right w:val="single" w:sz="4" w:space="0" w:color="365F91" w:themeColor="accent1" w:themeShade="BF"/>
            </w:tcBorders>
            <w:shd w:val="clear" w:color="auto" w:fill="1F497D" w:themeFill="text2"/>
            <w:vAlign w:val="center"/>
          </w:tcPr>
          <w:p w:rsidR="008E79F1" w:rsidRPr="00EE003F" w:rsidRDefault="008E79F1" w:rsidP="001B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themeColor="background1"/>
                <w:sz w:val="18"/>
                <w:szCs w:val="18"/>
              </w:rPr>
            </w:pPr>
            <w:r w:rsidRPr="00EE003F">
              <w:rPr>
                <w:rFonts w:ascii="Arial Narrow" w:hAnsi="Arial Narrow" w:cs="Arial"/>
                <w:b/>
                <w:color w:val="FFFFFF" w:themeColor="background1"/>
                <w:sz w:val="18"/>
                <w:szCs w:val="18"/>
              </w:rPr>
              <w:t>Agenda de Competitividad (2014-2018)</w:t>
            </w:r>
          </w:p>
        </w:tc>
        <w:tc>
          <w:tcPr>
            <w:tcW w:w="1072" w:type="pct"/>
            <w:tcBorders>
              <w:top w:val="nil"/>
              <w:left w:val="single" w:sz="4" w:space="0" w:color="365F91" w:themeColor="accent1" w:themeShade="BF"/>
              <w:bottom w:val="nil"/>
              <w:right w:val="single" w:sz="4" w:space="0" w:color="365F91" w:themeColor="accent1" w:themeShade="BF"/>
            </w:tcBorders>
            <w:shd w:val="clear" w:color="auto" w:fill="1F497D" w:themeFill="text2"/>
            <w:vAlign w:val="center"/>
          </w:tcPr>
          <w:p w:rsidR="008E79F1" w:rsidRPr="00EE003F" w:rsidRDefault="008E79F1" w:rsidP="001B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themeColor="background1"/>
                <w:sz w:val="18"/>
                <w:szCs w:val="18"/>
              </w:rPr>
            </w:pPr>
            <w:r w:rsidRPr="00EE003F">
              <w:rPr>
                <w:rFonts w:ascii="Arial Narrow" w:hAnsi="Arial Narrow" w:cs="Arial"/>
                <w:b/>
                <w:color w:val="FFFFFF" w:themeColor="background1"/>
                <w:sz w:val="18"/>
                <w:szCs w:val="18"/>
              </w:rPr>
              <w:t>Plan Nacional de Diversificación Producción</w:t>
            </w:r>
          </w:p>
        </w:tc>
        <w:tc>
          <w:tcPr>
            <w:tcW w:w="1232" w:type="pct"/>
            <w:tcBorders>
              <w:top w:val="nil"/>
              <w:left w:val="single" w:sz="4" w:space="0" w:color="365F91" w:themeColor="accent1" w:themeShade="BF"/>
              <w:bottom w:val="nil"/>
              <w:right w:val="single" w:sz="4" w:space="0" w:color="365F91" w:themeColor="accent1" w:themeShade="BF"/>
            </w:tcBorders>
            <w:shd w:val="clear" w:color="auto" w:fill="1F497D" w:themeFill="text2"/>
            <w:vAlign w:val="center"/>
          </w:tcPr>
          <w:p w:rsidR="008E79F1" w:rsidRPr="00EE003F" w:rsidRDefault="008E79F1" w:rsidP="001B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themeColor="background1"/>
                <w:sz w:val="18"/>
                <w:szCs w:val="18"/>
              </w:rPr>
            </w:pPr>
            <w:r w:rsidRPr="00EE003F">
              <w:rPr>
                <w:rFonts w:ascii="Arial Narrow" w:hAnsi="Arial Narrow" w:cs="Arial"/>
                <w:b/>
                <w:color w:val="FFFFFF" w:themeColor="background1"/>
                <w:sz w:val="18"/>
                <w:szCs w:val="18"/>
              </w:rPr>
              <w:t>PLAN ESTRATÉGICO NACIONAL EXPORTADOR 2025</w:t>
            </w:r>
          </w:p>
        </w:tc>
        <w:tc>
          <w:tcPr>
            <w:tcW w:w="1100" w:type="pct"/>
            <w:tcBorders>
              <w:top w:val="nil"/>
              <w:left w:val="single" w:sz="4" w:space="0" w:color="365F91" w:themeColor="accent1" w:themeShade="BF"/>
              <w:bottom w:val="nil"/>
              <w:right w:val="nil"/>
            </w:tcBorders>
            <w:shd w:val="clear" w:color="auto" w:fill="1F497D" w:themeFill="text2"/>
            <w:vAlign w:val="center"/>
          </w:tcPr>
          <w:p w:rsidR="008E79F1" w:rsidRPr="00EE003F" w:rsidRDefault="008E79F1" w:rsidP="001B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themeColor="background1"/>
                <w:sz w:val="18"/>
                <w:szCs w:val="18"/>
              </w:rPr>
            </w:pPr>
            <w:r w:rsidRPr="00EE003F">
              <w:rPr>
                <w:rFonts w:ascii="Arial Narrow" w:hAnsi="Arial Narrow" w:cs="Arial"/>
                <w:b/>
                <w:color w:val="FFFFFF" w:themeColor="background1"/>
                <w:sz w:val="18"/>
                <w:szCs w:val="18"/>
              </w:rPr>
              <w:t>Plan Estratégico Nacional de Turismo 2021</w:t>
            </w:r>
          </w:p>
        </w:tc>
      </w:tr>
      <w:tr w:rsidR="008E79F1" w:rsidRPr="00EE003F" w:rsidTr="001B688D">
        <w:tc>
          <w:tcPr>
            <w:cnfStyle w:val="001000000000" w:firstRow="0" w:lastRow="0" w:firstColumn="1" w:lastColumn="0" w:oddVBand="0" w:evenVBand="0" w:oddHBand="0" w:evenHBand="0" w:firstRowFirstColumn="0" w:firstRowLastColumn="0" w:lastRowFirstColumn="0" w:lastRowLastColumn="0"/>
            <w:tcW w:w="363" w:type="pct"/>
          </w:tcPr>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Eje 1</w:t>
            </w:r>
          </w:p>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Derechos humanos e inclusión social</w:t>
            </w:r>
          </w:p>
        </w:tc>
        <w:tc>
          <w:tcPr>
            <w:tcW w:w="1233" w:type="pct"/>
            <w:tcBorders>
              <w:top w:val="nil"/>
            </w:tcBorders>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E003F">
              <w:rPr>
                <w:rFonts w:ascii="Arial Narrow" w:hAnsi="Arial Narrow" w:cs="Arial"/>
                <w:b/>
                <w:sz w:val="18"/>
                <w:szCs w:val="18"/>
                <w:lang w:val="es-ES_tradnl"/>
              </w:rPr>
              <w:t>(vi)</w:t>
            </w:r>
            <w:r w:rsidRPr="00EE003F">
              <w:rPr>
                <w:rFonts w:ascii="Arial Narrow" w:hAnsi="Arial Narrow" w:cs="Arial"/>
                <w:sz w:val="18"/>
                <w:szCs w:val="18"/>
                <w:lang w:val="es-ES_tradnl"/>
              </w:rPr>
              <w:t xml:space="preserve"> facilitación de negocios</w:t>
            </w:r>
          </w:p>
        </w:tc>
        <w:tc>
          <w:tcPr>
            <w:tcW w:w="1072" w:type="pct"/>
            <w:tcBorders>
              <w:top w:val="nil"/>
            </w:tcBorders>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232" w:type="pct"/>
            <w:tcBorders>
              <w:top w:val="nil"/>
            </w:tcBorders>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100" w:type="pct"/>
            <w:tcBorders>
              <w:top w:val="nil"/>
            </w:tcBorders>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8E79F1" w:rsidRPr="00EE003F" w:rsidTr="001B6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Pr>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Eje 2</w:t>
            </w:r>
          </w:p>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Oportunidades y acceso a los servicios</w:t>
            </w:r>
          </w:p>
        </w:tc>
        <w:tc>
          <w:tcPr>
            <w:tcW w:w="1233"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072"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232"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100"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8E79F1" w:rsidRPr="00EE003F" w:rsidTr="001B688D">
        <w:tc>
          <w:tcPr>
            <w:cnfStyle w:val="001000000000" w:firstRow="0" w:lastRow="0" w:firstColumn="1" w:lastColumn="0" w:oddVBand="0" w:evenVBand="0" w:oddHBand="0" w:evenHBand="0" w:firstRowFirstColumn="0" w:firstRowLastColumn="0" w:lastRowFirstColumn="0" w:lastRowLastColumn="0"/>
            <w:tcW w:w="363" w:type="pct"/>
          </w:tcPr>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Eje 3</w:t>
            </w:r>
          </w:p>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Estado y gobernabilidad</w:t>
            </w:r>
          </w:p>
        </w:tc>
        <w:tc>
          <w:tcPr>
            <w:tcW w:w="1233" w:type="pct"/>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072" w:type="pct"/>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s-ES_tradnl"/>
              </w:rPr>
            </w:pPr>
            <w:r w:rsidRPr="00EE003F">
              <w:rPr>
                <w:rFonts w:ascii="Arial Narrow" w:hAnsi="Arial Narrow" w:cs="Arial"/>
                <w:sz w:val="18"/>
                <w:szCs w:val="18"/>
                <w:lang w:val="es-ES_tradnl"/>
              </w:rPr>
              <w:t xml:space="preserve">Eje 2: </w:t>
            </w:r>
          </w:p>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s-ES_tradnl"/>
              </w:rPr>
            </w:pPr>
            <w:r w:rsidRPr="00EE003F">
              <w:rPr>
                <w:rFonts w:ascii="Arial Narrow" w:hAnsi="Arial Narrow" w:cs="Arial"/>
                <w:sz w:val="18"/>
                <w:szCs w:val="18"/>
                <w:lang w:val="es-ES_tradnl"/>
              </w:rPr>
              <w:t>Eliminación de sobrecostos y de regulaciones inadecuadas</w:t>
            </w:r>
          </w:p>
        </w:tc>
        <w:tc>
          <w:tcPr>
            <w:tcW w:w="1232" w:type="pct"/>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100" w:type="pct"/>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E003F">
              <w:rPr>
                <w:rFonts w:ascii="Arial Narrow" w:hAnsi="Arial Narrow" w:cs="Arial"/>
                <w:sz w:val="18"/>
                <w:szCs w:val="18"/>
              </w:rPr>
              <w:t>Pilar 4: Institucionalidad del sector</w:t>
            </w:r>
          </w:p>
        </w:tc>
      </w:tr>
      <w:tr w:rsidR="008E79F1" w:rsidRPr="00EE003F" w:rsidTr="001B6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Pr>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Eje 4</w:t>
            </w:r>
          </w:p>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Economía diversificada, competitividad y empleo</w:t>
            </w:r>
          </w:p>
        </w:tc>
        <w:tc>
          <w:tcPr>
            <w:tcW w:w="1233"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lang w:val="es-ES_tradnl"/>
              </w:rPr>
            </w:pPr>
            <w:r w:rsidRPr="00EE003F">
              <w:rPr>
                <w:rFonts w:ascii="Arial Narrow" w:hAnsi="Arial Narrow" w:cs="Arial"/>
                <w:b/>
                <w:sz w:val="18"/>
                <w:szCs w:val="18"/>
                <w:lang w:val="es-ES_tradnl"/>
              </w:rPr>
              <w:t>(i)</w:t>
            </w:r>
            <w:r w:rsidRPr="00EE003F">
              <w:rPr>
                <w:rFonts w:ascii="Arial Narrow" w:hAnsi="Arial Narrow" w:cs="Arial"/>
                <w:sz w:val="18"/>
                <w:szCs w:val="18"/>
                <w:lang w:val="es-ES_tradnl"/>
              </w:rPr>
              <w:t xml:space="preserve"> desarrollo productivo y empresarial, </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lang w:val="es-ES_tradnl"/>
              </w:rPr>
            </w:pPr>
            <w:r w:rsidRPr="00EE003F">
              <w:rPr>
                <w:rFonts w:ascii="Arial Narrow" w:hAnsi="Arial Narrow" w:cs="Arial"/>
                <w:b/>
                <w:sz w:val="18"/>
                <w:szCs w:val="18"/>
                <w:lang w:val="es-ES_tradnl"/>
              </w:rPr>
              <w:t>(ii)</w:t>
            </w:r>
            <w:r w:rsidRPr="00EE003F">
              <w:rPr>
                <w:rFonts w:ascii="Arial Narrow" w:hAnsi="Arial Narrow" w:cs="Arial"/>
                <w:sz w:val="18"/>
                <w:szCs w:val="18"/>
                <w:lang w:val="es-ES_tradnl"/>
              </w:rPr>
              <w:t xml:space="preserve"> Ciencia, tecnología e innovación, </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lang w:val="es-ES_tradnl"/>
              </w:rPr>
            </w:pPr>
            <w:r w:rsidRPr="00EE003F">
              <w:rPr>
                <w:rFonts w:ascii="Arial Narrow" w:hAnsi="Arial Narrow" w:cs="Arial"/>
                <w:b/>
                <w:sz w:val="18"/>
                <w:szCs w:val="18"/>
                <w:lang w:val="es-ES_tradnl"/>
              </w:rPr>
              <w:t>(iii)</w:t>
            </w:r>
            <w:r w:rsidRPr="00EE003F">
              <w:rPr>
                <w:rFonts w:ascii="Arial Narrow" w:hAnsi="Arial Narrow" w:cs="Arial"/>
                <w:sz w:val="18"/>
                <w:szCs w:val="18"/>
                <w:lang w:val="es-ES_tradnl"/>
              </w:rPr>
              <w:t xml:space="preserve"> Internacionalización de las empresas</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E003F">
              <w:rPr>
                <w:rFonts w:ascii="Arial Narrow" w:hAnsi="Arial Narrow" w:cs="Arial"/>
                <w:b/>
                <w:sz w:val="18"/>
                <w:szCs w:val="18"/>
                <w:lang w:val="es-ES_tradnl"/>
              </w:rPr>
              <w:t>(vii)</w:t>
            </w:r>
            <w:r w:rsidRPr="00EE003F">
              <w:rPr>
                <w:rFonts w:ascii="Arial Narrow" w:hAnsi="Arial Narrow" w:cs="Arial"/>
                <w:sz w:val="18"/>
                <w:szCs w:val="18"/>
                <w:lang w:val="es-ES_tradnl"/>
              </w:rPr>
              <w:t>Capital humano</w:t>
            </w:r>
          </w:p>
        </w:tc>
        <w:tc>
          <w:tcPr>
            <w:tcW w:w="1072"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lang w:val="es-ES_tradnl"/>
              </w:rPr>
            </w:pPr>
            <w:r w:rsidRPr="00EE003F">
              <w:rPr>
                <w:rFonts w:ascii="Arial Narrow" w:hAnsi="Arial Narrow" w:cs="Arial"/>
                <w:sz w:val="18"/>
                <w:szCs w:val="18"/>
                <w:lang w:val="es-ES_tradnl"/>
              </w:rPr>
              <w:t>Eje 1</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lang w:val="es-ES_tradnl"/>
              </w:rPr>
            </w:pPr>
            <w:r w:rsidRPr="00EE003F">
              <w:rPr>
                <w:rFonts w:ascii="Arial Narrow" w:hAnsi="Arial Narrow" w:cs="Arial"/>
                <w:sz w:val="18"/>
                <w:szCs w:val="18"/>
                <w:lang w:val="es-ES_tradnl"/>
              </w:rPr>
              <w:t>Promoción para la diversificación productiva</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lang w:val="es-ES_tradnl"/>
              </w:rPr>
            </w:pPr>
            <w:r w:rsidRPr="00EE003F">
              <w:rPr>
                <w:rFonts w:ascii="Arial Narrow" w:hAnsi="Arial Narrow" w:cs="Arial"/>
                <w:sz w:val="18"/>
                <w:szCs w:val="18"/>
                <w:lang w:val="es-ES_tradnl"/>
              </w:rPr>
              <w:t xml:space="preserve">Eje 3: </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lang w:val="es-ES_tradnl"/>
              </w:rPr>
            </w:pPr>
            <w:r w:rsidRPr="00EE003F">
              <w:rPr>
                <w:rFonts w:ascii="Arial Narrow" w:hAnsi="Arial Narrow" w:cs="Arial"/>
                <w:sz w:val="18"/>
                <w:szCs w:val="18"/>
                <w:lang w:val="es-ES_tradnl"/>
              </w:rPr>
              <w:t>Expansión de la productividad</w:t>
            </w:r>
          </w:p>
        </w:tc>
        <w:tc>
          <w:tcPr>
            <w:tcW w:w="1232"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E003F">
              <w:rPr>
                <w:rFonts w:ascii="Arial Narrow" w:hAnsi="Arial Narrow" w:cs="Arial"/>
                <w:sz w:val="18"/>
                <w:szCs w:val="18"/>
              </w:rPr>
              <w:t xml:space="preserve">(i) internacionalización de la empresa y diversificación de mercados, </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E003F">
              <w:rPr>
                <w:rFonts w:ascii="Arial Narrow" w:hAnsi="Arial Narrow" w:cs="Arial"/>
                <w:sz w:val="18"/>
                <w:szCs w:val="18"/>
              </w:rPr>
              <w:t xml:space="preserve">(ii) oferta exportable diversificada, competitiva y sostenible, </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E003F">
              <w:rPr>
                <w:rFonts w:ascii="Arial Narrow" w:hAnsi="Arial Narrow" w:cs="Arial"/>
                <w:sz w:val="18"/>
                <w:szCs w:val="18"/>
              </w:rPr>
              <w:t xml:space="preserve">(iii) facilitación del comercio exterior y eficiencia de la cadena logística internacional, </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EE003F">
              <w:rPr>
                <w:rFonts w:ascii="Arial Narrow" w:hAnsi="Arial Narrow" w:cs="Arial"/>
                <w:sz w:val="18"/>
                <w:szCs w:val="18"/>
              </w:rPr>
              <w:t>(iv) generación de capacidades para la internacionalización y consolidación de una cultura exportadora.</w:t>
            </w:r>
          </w:p>
        </w:tc>
        <w:tc>
          <w:tcPr>
            <w:tcW w:w="1100"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E003F">
              <w:rPr>
                <w:rFonts w:ascii="Arial Narrow" w:hAnsi="Arial Narrow" w:cs="Arial"/>
                <w:sz w:val="18"/>
                <w:szCs w:val="18"/>
              </w:rPr>
              <w:t>Pilar 1: Diversificación y consolidación de mercados</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E003F">
              <w:rPr>
                <w:rFonts w:ascii="Arial Narrow" w:hAnsi="Arial Narrow" w:cs="Arial"/>
                <w:sz w:val="18"/>
                <w:szCs w:val="18"/>
              </w:rPr>
              <w:t>Pilar 2: Diversificación y consolidación de la oferta</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E003F">
              <w:rPr>
                <w:rFonts w:ascii="Arial Narrow" w:hAnsi="Arial Narrow" w:cs="Arial"/>
                <w:sz w:val="18"/>
                <w:szCs w:val="18"/>
              </w:rPr>
              <w:t>Pilar 3: Facilitación turística</w:t>
            </w:r>
          </w:p>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8E79F1" w:rsidRPr="00EE003F" w:rsidTr="001B688D">
        <w:tc>
          <w:tcPr>
            <w:cnfStyle w:val="001000000000" w:firstRow="0" w:lastRow="0" w:firstColumn="1" w:lastColumn="0" w:oddVBand="0" w:evenVBand="0" w:oddHBand="0" w:evenHBand="0" w:firstRowFirstColumn="0" w:firstRowLastColumn="0" w:lastRowFirstColumn="0" w:lastRowLastColumn="0"/>
            <w:tcW w:w="363" w:type="pct"/>
          </w:tcPr>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Eje 5</w:t>
            </w:r>
          </w:p>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Desarrollo territorial e infraestructura productiva</w:t>
            </w:r>
          </w:p>
        </w:tc>
        <w:tc>
          <w:tcPr>
            <w:tcW w:w="1233" w:type="pct"/>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s-ES_tradnl"/>
              </w:rPr>
            </w:pPr>
            <w:r w:rsidRPr="00EE003F">
              <w:rPr>
                <w:rFonts w:ascii="Arial Narrow" w:hAnsi="Arial Narrow" w:cs="Arial"/>
                <w:b/>
                <w:sz w:val="18"/>
                <w:szCs w:val="18"/>
                <w:lang w:val="es-ES_tradnl"/>
              </w:rPr>
              <w:t>(iv)</w:t>
            </w:r>
            <w:r w:rsidRPr="00EE003F">
              <w:rPr>
                <w:rFonts w:ascii="Arial Narrow" w:hAnsi="Arial Narrow" w:cs="Arial"/>
                <w:sz w:val="18"/>
                <w:szCs w:val="18"/>
                <w:lang w:val="es-ES_tradnl"/>
              </w:rPr>
              <w:t xml:space="preserve"> infraestructura</w:t>
            </w:r>
          </w:p>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E003F">
              <w:rPr>
                <w:rFonts w:ascii="Arial Narrow" w:hAnsi="Arial Narrow" w:cs="Arial"/>
                <w:b/>
                <w:sz w:val="18"/>
                <w:szCs w:val="18"/>
                <w:lang w:val="es-ES_tradnl"/>
              </w:rPr>
              <w:t>(v)</w:t>
            </w:r>
            <w:r w:rsidRPr="00EE003F">
              <w:rPr>
                <w:rFonts w:ascii="Arial Narrow" w:hAnsi="Arial Narrow" w:cs="Arial"/>
                <w:sz w:val="18"/>
                <w:szCs w:val="18"/>
                <w:lang w:val="es-ES_tradnl"/>
              </w:rPr>
              <w:t xml:space="preserve"> tecnologías de información de comunicaciones (TIC)</w:t>
            </w:r>
          </w:p>
        </w:tc>
        <w:tc>
          <w:tcPr>
            <w:tcW w:w="1072" w:type="pct"/>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232" w:type="pct"/>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100" w:type="pct"/>
            <w:vAlign w:val="center"/>
          </w:tcPr>
          <w:p w:rsidR="008E79F1" w:rsidRPr="00EE003F" w:rsidRDefault="008E79F1" w:rsidP="001B688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8E79F1" w:rsidRPr="00EE003F" w:rsidTr="001B6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Pr>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Eje 6</w:t>
            </w:r>
          </w:p>
          <w:p w:rsidR="008E79F1" w:rsidRPr="00EE003F" w:rsidRDefault="008E79F1" w:rsidP="001B688D">
            <w:pPr>
              <w:jc w:val="center"/>
              <w:rPr>
                <w:rFonts w:ascii="Arial Narrow" w:hAnsi="Arial Narrow" w:cs="Arial"/>
                <w:sz w:val="18"/>
                <w:szCs w:val="18"/>
              </w:rPr>
            </w:pPr>
            <w:r w:rsidRPr="00EE003F">
              <w:rPr>
                <w:rFonts w:ascii="Arial Narrow" w:hAnsi="Arial Narrow" w:cs="Arial"/>
                <w:sz w:val="18"/>
                <w:szCs w:val="18"/>
              </w:rPr>
              <w:t>Ambiente, diversidad biológica y gestión de riesgos de desastres</w:t>
            </w:r>
          </w:p>
        </w:tc>
        <w:tc>
          <w:tcPr>
            <w:tcW w:w="1233"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E003F">
              <w:rPr>
                <w:rFonts w:ascii="Arial Narrow" w:hAnsi="Arial Narrow" w:cs="Arial"/>
                <w:b/>
                <w:sz w:val="18"/>
                <w:szCs w:val="18"/>
                <w:lang w:val="es-ES_tradnl"/>
              </w:rPr>
              <w:t>(viii)</w:t>
            </w:r>
            <w:r w:rsidRPr="00EE003F">
              <w:rPr>
                <w:rFonts w:ascii="Arial Narrow" w:hAnsi="Arial Narrow" w:cs="Arial"/>
                <w:sz w:val="18"/>
                <w:szCs w:val="18"/>
                <w:lang w:val="es-ES_tradnl"/>
              </w:rPr>
              <w:t xml:space="preserve"> recursos naturales y ambiente</w:t>
            </w:r>
          </w:p>
        </w:tc>
        <w:tc>
          <w:tcPr>
            <w:tcW w:w="1072"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232"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100" w:type="pct"/>
            <w:vAlign w:val="center"/>
          </w:tcPr>
          <w:p w:rsidR="008E79F1" w:rsidRPr="00EE003F" w:rsidRDefault="008E79F1" w:rsidP="001B688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8E79F1" w:rsidRPr="00EE003F" w:rsidTr="001B688D">
        <w:tc>
          <w:tcPr>
            <w:cnfStyle w:val="001000000000" w:firstRow="0" w:lastRow="0" w:firstColumn="1" w:lastColumn="0" w:oddVBand="0" w:evenVBand="0" w:oddHBand="0" w:evenHBand="0" w:firstRowFirstColumn="0" w:firstRowLastColumn="0" w:lastRowFirstColumn="0" w:lastRowLastColumn="0"/>
            <w:tcW w:w="5000" w:type="pct"/>
            <w:gridSpan w:val="5"/>
          </w:tcPr>
          <w:p w:rsidR="008E79F1" w:rsidRPr="00EE003F" w:rsidRDefault="008E79F1" w:rsidP="001B688D">
            <w:pPr>
              <w:rPr>
                <w:rFonts w:ascii="Arial Narrow" w:hAnsi="Arial Narrow" w:cs="Arial"/>
                <w:sz w:val="18"/>
                <w:szCs w:val="18"/>
              </w:rPr>
            </w:pPr>
            <w:r w:rsidRPr="00EE003F">
              <w:rPr>
                <w:rFonts w:ascii="Arial Narrow" w:hAnsi="Arial Narrow" w:cs="Arial"/>
                <w:sz w:val="18"/>
                <w:szCs w:val="18"/>
              </w:rPr>
              <w:t xml:space="preserve">Fuente: </w:t>
            </w:r>
            <w:r w:rsidRPr="00EE003F">
              <w:rPr>
                <w:rFonts w:ascii="Arial Narrow" w:hAnsi="Arial Narrow" w:cs="Arial"/>
                <w:b w:val="0"/>
                <w:sz w:val="18"/>
                <w:szCs w:val="18"/>
              </w:rPr>
              <w:t>CEPLAN, CNC, PRODUCE, MINCETUR</w:t>
            </w:r>
          </w:p>
        </w:tc>
      </w:tr>
    </w:tbl>
    <w:p w:rsidR="00474E6A" w:rsidRPr="00EE003F" w:rsidRDefault="00474E6A" w:rsidP="00AA45B8">
      <w:pPr>
        <w:jc w:val="both"/>
        <w:rPr>
          <w:rFonts w:ascii="Arial Narrow" w:hAnsi="Arial Narrow" w:cs="Frutiger LT Std 45 Light"/>
          <w:sz w:val="24"/>
          <w:szCs w:val="20"/>
        </w:rPr>
      </w:pPr>
    </w:p>
    <w:p w:rsidR="00AA45B8" w:rsidRPr="00EE003F" w:rsidRDefault="00AA45B8" w:rsidP="00AA45B8">
      <w:pPr>
        <w:jc w:val="both"/>
        <w:rPr>
          <w:rFonts w:ascii="Arial Narrow" w:hAnsi="Arial Narrow" w:cs="Frutiger LT Std 45 Light"/>
          <w:sz w:val="24"/>
          <w:szCs w:val="20"/>
          <w:lang w:val="es-ES_tradnl"/>
        </w:rPr>
      </w:pPr>
    </w:p>
    <w:p w:rsidR="00E06847" w:rsidRPr="00EE003F" w:rsidRDefault="00E06847" w:rsidP="00AA45B8">
      <w:pPr>
        <w:jc w:val="both"/>
        <w:rPr>
          <w:rFonts w:ascii="Arial Narrow" w:hAnsi="Arial Narrow" w:cs="Frutiger LT Std 45 Light"/>
          <w:sz w:val="24"/>
          <w:szCs w:val="20"/>
          <w:lang w:val="es-ES_tradnl"/>
        </w:rPr>
      </w:pPr>
    </w:p>
    <w:p w:rsidR="00E06847" w:rsidRPr="00EE003F" w:rsidRDefault="00E06847" w:rsidP="00AA45B8">
      <w:pPr>
        <w:jc w:val="both"/>
        <w:rPr>
          <w:rFonts w:ascii="Arial Narrow" w:hAnsi="Arial Narrow" w:cs="Frutiger LT Std 45 Light"/>
          <w:sz w:val="24"/>
          <w:szCs w:val="20"/>
          <w:lang w:val="es-ES_tradnl"/>
        </w:rPr>
      </w:pPr>
    </w:p>
    <w:p w:rsidR="00D44D55" w:rsidRPr="00EE003F" w:rsidRDefault="00D44D55" w:rsidP="00AA45B8">
      <w:pPr>
        <w:jc w:val="both"/>
        <w:rPr>
          <w:rFonts w:ascii="Arial Narrow" w:hAnsi="Arial Narrow" w:cs="Frutiger LT Std 45 Light"/>
          <w:sz w:val="24"/>
          <w:szCs w:val="20"/>
          <w:lang w:val="es-ES_tradnl"/>
        </w:rPr>
      </w:pPr>
    </w:p>
    <w:p w:rsidR="00D44D55" w:rsidRPr="00EE003F" w:rsidRDefault="00D44D55" w:rsidP="00AA45B8">
      <w:pPr>
        <w:jc w:val="both"/>
        <w:rPr>
          <w:rFonts w:ascii="Arial Narrow" w:hAnsi="Arial Narrow" w:cs="Frutiger LT Std 45 Light"/>
          <w:sz w:val="24"/>
          <w:szCs w:val="20"/>
          <w:lang w:val="es-ES_tradnl"/>
        </w:rPr>
      </w:pPr>
    </w:p>
    <w:p w:rsidR="005835DC" w:rsidRPr="00EE003F" w:rsidRDefault="005835DC">
      <w:pP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br w:type="page"/>
      </w:r>
    </w:p>
    <w:p w:rsidR="006D539E" w:rsidRPr="00EE003F" w:rsidRDefault="00DD4530" w:rsidP="009054AC">
      <w:pPr>
        <w:pStyle w:val="Ttulo1"/>
        <w:jc w:val="center"/>
        <w:rPr>
          <w:rStyle w:val="Ttulo2Car"/>
        </w:rPr>
      </w:pPr>
      <w:bookmarkStart w:id="18" w:name="_Toc453004659"/>
      <w:r w:rsidRPr="00EE003F">
        <w:rPr>
          <w:rFonts w:ascii="Arial Narrow" w:hAnsi="Arial Narrow"/>
          <w:b/>
          <w:sz w:val="32"/>
          <w:szCs w:val="32"/>
        </w:rPr>
        <w:t xml:space="preserve">CAPITULO </w:t>
      </w:r>
      <w:r w:rsidR="006D539E" w:rsidRPr="00EE003F">
        <w:rPr>
          <w:rFonts w:ascii="Arial Narrow" w:hAnsi="Arial Narrow"/>
          <w:b/>
          <w:sz w:val="32"/>
          <w:szCs w:val="32"/>
        </w:rPr>
        <w:t>[4]</w:t>
      </w:r>
      <w:r w:rsidR="009054AC" w:rsidRPr="00EE003F">
        <w:rPr>
          <w:rFonts w:ascii="Arial Narrow" w:hAnsi="Arial Narrow"/>
          <w:b/>
          <w:sz w:val="32"/>
          <w:szCs w:val="32"/>
        </w:rPr>
        <w:t xml:space="preserve"> </w:t>
      </w:r>
      <w:r w:rsidR="009054AC" w:rsidRPr="00EE003F">
        <w:rPr>
          <w:rFonts w:ascii="Arial Narrow" w:hAnsi="Arial Narrow"/>
          <w:b/>
          <w:sz w:val="32"/>
          <w:szCs w:val="32"/>
        </w:rPr>
        <w:br/>
      </w:r>
      <w:r w:rsidR="006D539E" w:rsidRPr="00EE003F">
        <w:rPr>
          <w:rStyle w:val="Ttulo2Car"/>
        </w:rPr>
        <w:t>El Perú en el contexto mundial 2021</w:t>
      </w:r>
      <w:bookmarkEnd w:id="18"/>
    </w:p>
    <w:p w:rsidR="005835DC" w:rsidRPr="00EE003F" w:rsidRDefault="005835DC" w:rsidP="006D539E">
      <w:pPr>
        <w:autoSpaceDE w:val="0"/>
        <w:autoSpaceDN w:val="0"/>
        <w:adjustRightInd w:val="0"/>
        <w:spacing w:after="0" w:line="240" w:lineRule="auto"/>
        <w:jc w:val="center"/>
        <w:rPr>
          <w:rFonts w:ascii="Arial Narrow" w:hAnsi="Arial Narrow" w:cs="FrutigerLTStd-BlackCn"/>
          <w:b/>
          <w:sz w:val="32"/>
          <w:szCs w:val="32"/>
        </w:rPr>
      </w:pPr>
    </w:p>
    <w:p w:rsidR="00970D1C" w:rsidRPr="00EE003F" w:rsidRDefault="00970D1C" w:rsidP="008E508F">
      <w:pPr>
        <w:autoSpaceDE w:val="0"/>
        <w:autoSpaceDN w:val="0"/>
        <w:adjustRightInd w:val="0"/>
        <w:spacing w:before="120" w:after="0" w:line="240" w:lineRule="auto"/>
        <w:jc w:val="both"/>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El promedio de crecimiento </w:t>
      </w:r>
      <w:r w:rsidR="002152AC" w:rsidRPr="00EE003F">
        <w:rPr>
          <w:rFonts w:ascii="Arial Narrow" w:hAnsi="Arial Narrow" w:cs="Frutiger LT Std 45 Light"/>
          <w:sz w:val="24"/>
          <w:szCs w:val="24"/>
          <w:lang w:val="es-ES_tradnl"/>
        </w:rPr>
        <w:t xml:space="preserve">económico </w:t>
      </w:r>
      <w:r w:rsidRPr="00EE003F">
        <w:rPr>
          <w:rFonts w:ascii="Arial Narrow" w:hAnsi="Arial Narrow" w:cs="Frutiger LT Std 45 Light"/>
          <w:sz w:val="24"/>
          <w:szCs w:val="24"/>
          <w:lang w:val="es-ES_tradnl"/>
        </w:rPr>
        <w:t>del mundo durante la década 2011-2021</w:t>
      </w:r>
      <w:r w:rsidRPr="00EE003F">
        <w:rPr>
          <w:rStyle w:val="Refdenotaalpie"/>
          <w:rFonts w:ascii="Arial Narrow" w:hAnsi="Arial Narrow" w:cs="Frutiger LT Std 45 Light"/>
          <w:sz w:val="24"/>
          <w:szCs w:val="24"/>
          <w:lang w:val="es-ES_tradnl"/>
        </w:rPr>
        <w:footnoteReference w:id="6"/>
      </w:r>
      <w:r w:rsidRPr="00EE003F">
        <w:rPr>
          <w:rFonts w:ascii="Arial Narrow" w:hAnsi="Arial Narrow" w:cs="Frutiger LT Std 45 Light"/>
          <w:sz w:val="24"/>
          <w:szCs w:val="24"/>
          <w:lang w:val="es-ES_tradnl"/>
        </w:rPr>
        <w:t xml:space="preserve"> será </w:t>
      </w:r>
      <w:r w:rsidR="007562A9" w:rsidRPr="00EE003F">
        <w:rPr>
          <w:rFonts w:ascii="Arial Narrow" w:hAnsi="Arial Narrow" w:cs="Frutiger LT Std 45 Light"/>
          <w:sz w:val="24"/>
          <w:szCs w:val="24"/>
          <w:lang w:val="es-ES_tradnl"/>
        </w:rPr>
        <w:t xml:space="preserve">alrededor de </w:t>
      </w:r>
      <w:r w:rsidRPr="00EE003F">
        <w:rPr>
          <w:rFonts w:ascii="Arial Narrow" w:hAnsi="Arial Narrow" w:cs="Frutiger LT Std 45 Light"/>
          <w:sz w:val="24"/>
          <w:szCs w:val="24"/>
          <w:lang w:val="es-ES_tradnl"/>
        </w:rPr>
        <w:t>3,4%, ligeramente menor a la cifra promedio registrada la década anterior (3,9%). Es decir, la economía mundial crecería 23% hacia el año 2021, respecto a su valor real del 2015 (US$ 106 846 miles de millones</w:t>
      </w:r>
      <w:r w:rsidRPr="00EE003F">
        <w:rPr>
          <w:rStyle w:val="Refdenotaalpie"/>
          <w:rFonts w:ascii="Arial Narrow" w:hAnsi="Arial Narrow" w:cs="Frutiger LT Std 45 Light"/>
          <w:sz w:val="24"/>
          <w:szCs w:val="24"/>
          <w:lang w:val="es-ES_tradnl"/>
        </w:rPr>
        <w:footnoteReference w:id="7"/>
      </w:r>
      <w:r w:rsidRPr="00EE003F">
        <w:rPr>
          <w:rFonts w:ascii="Arial Narrow" w:hAnsi="Arial Narrow" w:cs="Frutiger LT Std 45 Light"/>
          <w:sz w:val="24"/>
          <w:szCs w:val="24"/>
          <w:lang w:val="es-ES_tradnl"/>
        </w:rPr>
        <w:t>). La participación del Este Asiático y los países del Pacífico fue de 31% respecto al mundo en el periodo 2015; la participación de los países OECD de 46%; mientras que, los países de América Latina y el Caribe representaron sólo el 9% del PBI mundo. La cifra del PBI de Perú en el 2015 fue de US$ 36</w:t>
      </w:r>
      <w:r w:rsidR="005D3A9A" w:rsidRPr="00EE003F">
        <w:rPr>
          <w:rFonts w:ascii="Arial Narrow" w:hAnsi="Arial Narrow" w:cs="Frutiger LT Std 45 Light"/>
          <w:sz w:val="24"/>
          <w:szCs w:val="24"/>
          <w:lang w:val="es-ES_tradnl"/>
        </w:rPr>
        <w:t>5</w:t>
      </w:r>
      <w:r w:rsidR="005D3A9A" w:rsidRPr="00EE003F">
        <w:rPr>
          <w:rStyle w:val="Refdenotaalpie"/>
          <w:rFonts w:ascii="Arial Narrow" w:hAnsi="Arial Narrow" w:cs="Frutiger LT Std 45 Light"/>
          <w:sz w:val="24"/>
          <w:szCs w:val="24"/>
          <w:lang w:val="es-ES_tradnl"/>
        </w:rPr>
        <w:footnoteReference w:id="8"/>
      </w:r>
      <w:r w:rsidRPr="00EE003F">
        <w:rPr>
          <w:rFonts w:ascii="Arial Narrow" w:hAnsi="Arial Narrow" w:cs="Frutiger LT Std 45 Light"/>
          <w:sz w:val="24"/>
          <w:szCs w:val="24"/>
          <w:lang w:val="es-ES_tradnl"/>
        </w:rPr>
        <w:t xml:space="preserve"> miles de millones, que para el 2021 será 30% mayor, llegando a US$ 476 miles de millones, nivel que convertiría al Perú en la quinta economía de la región latinoamericana.</w:t>
      </w:r>
    </w:p>
    <w:p w:rsidR="00970D1C" w:rsidRPr="00EE003F" w:rsidRDefault="00970D1C" w:rsidP="004843F2">
      <w:pPr>
        <w:pStyle w:val="Ttulo2"/>
        <w:jc w:val="left"/>
        <w:rPr>
          <w:rFonts w:asciiTheme="minorHAnsi" w:hAnsiTheme="minorHAnsi"/>
          <w:lang w:val="es-ES_tradnl"/>
        </w:rPr>
      </w:pPr>
      <w:bookmarkStart w:id="19" w:name="_Toc453004660"/>
      <w:r w:rsidRPr="00EE003F">
        <w:rPr>
          <w:rFonts w:asciiTheme="minorHAnsi" w:hAnsiTheme="minorHAnsi"/>
          <w:lang w:val="es-ES_tradnl"/>
        </w:rPr>
        <w:t>Tendencias mundiales</w:t>
      </w:r>
      <w:bookmarkEnd w:id="19"/>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52243" w:rsidP="008E508F">
      <w:pPr>
        <w:autoSpaceDE w:val="0"/>
        <w:autoSpaceDN w:val="0"/>
        <w:adjustRightInd w:val="0"/>
        <w:spacing w:before="120" w:after="0" w:line="240" w:lineRule="auto"/>
        <w:jc w:val="both"/>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Las tendencias y </w:t>
      </w:r>
      <w:proofErr w:type="spellStart"/>
      <w:r w:rsidRPr="00EE003F">
        <w:rPr>
          <w:rFonts w:ascii="Arial Narrow" w:hAnsi="Arial Narrow" w:cs="Frutiger LT Std 45 Light"/>
          <w:sz w:val="24"/>
          <w:szCs w:val="24"/>
          <w:lang w:val="es-ES_tradnl"/>
        </w:rPr>
        <w:t>megatendencias</w:t>
      </w:r>
      <w:proofErr w:type="spellEnd"/>
      <w:r w:rsidRPr="00EE003F">
        <w:rPr>
          <w:rFonts w:ascii="Arial Narrow" w:hAnsi="Arial Narrow" w:cs="Frutiger LT Std 45 Light"/>
          <w:sz w:val="24"/>
          <w:szCs w:val="24"/>
          <w:lang w:val="es-ES_tradnl"/>
        </w:rPr>
        <w:t xml:space="preserve"> mundiales son </w:t>
      </w:r>
      <w:r w:rsidR="005822CE" w:rsidRPr="00EE003F">
        <w:rPr>
          <w:rFonts w:ascii="Arial Narrow" w:hAnsi="Arial Narrow" w:cs="Frutiger LT Std 45 Light"/>
          <w:sz w:val="24"/>
          <w:szCs w:val="24"/>
          <w:lang w:val="es-ES_tradnl"/>
        </w:rPr>
        <w:t>fenómenos</w:t>
      </w:r>
      <w:r w:rsidRPr="00EE003F">
        <w:rPr>
          <w:rFonts w:ascii="Arial Narrow" w:hAnsi="Arial Narrow" w:cs="Frutiger LT Std 45 Light"/>
          <w:sz w:val="24"/>
          <w:szCs w:val="24"/>
          <w:lang w:val="es-ES_tradnl"/>
        </w:rPr>
        <w:t xml:space="preserve"> que requieren un análisis de largo plazo. </w:t>
      </w:r>
      <w:r w:rsidR="00970D1C" w:rsidRPr="00EE003F">
        <w:rPr>
          <w:rFonts w:ascii="Arial Narrow" w:hAnsi="Arial Narrow" w:cs="Frutiger LT Std 45 Light"/>
          <w:sz w:val="24"/>
          <w:szCs w:val="24"/>
          <w:lang w:val="es-ES_tradnl"/>
        </w:rPr>
        <w:t xml:space="preserve">De acuerdo a la revisión bibliográfica </w:t>
      </w:r>
      <w:r w:rsidRPr="00EE003F">
        <w:rPr>
          <w:rFonts w:ascii="Arial Narrow" w:hAnsi="Arial Narrow" w:cs="Frutiger LT Std 45 Light"/>
          <w:sz w:val="24"/>
          <w:szCs w:val="24"/>
          <w:lang w:val="es-ES_tradnl"/>
        </w:rPr>
        <w:t xml:space="preserve">realizada </w:t>
      </w:r>
      <w:r w:rsidR="00970D1C" w:rsidRPr="00EE003F">
        <w:rPr>
          <w:rFonts w:ascii="Arial Narrow" w:hAnsi="Arial Narrow" w:cs="Frutiger LT Std 45 Light"/>
          <w:sz w:val="24"/>
          <w:szCs w:val="24"/>
          <w:lang w:val="es-ES_tradnl"/>
        </w:rPr>
        <w:t>(CEPLAN, 2016)</w:t>
      </w:r>
      <w:r w:rsidR="00970D1C" w:rsidRPr="00EE003F">
        <w:rPr>
          <w:rStyle w:val="Refdenotaalpie"/>
          <w:rFonts w:ascii="Arial Narrow" w:hAnsi="Arial Narrow" w:cs="Frutiger LT Std 45 Light"/>
          <w:sz w:val="24"/>
          <w:szCs w:val="24"/>
          <w:lang w:val="es-ES_tradnl"/>
        </w:rPr>
        <w:footnoteReference w:id="9"/>
      </w:r>
      <w:r w:rsidR="00970D1C" w:rsidRPr="00EE003F">
        <w:rPr>
          <w:rFonts w:ascii="Arial Narrow" w:hAnsi="Arial Narrow" w:cs="Frutiger LT Std 45 Light"/>
          <w:sz w:val="24"/>
          <w:szCs w:val="24"/>
          <w:lang w:val="es-ES_tradnl"/>
        </w:rPr>
        <w:t xml:space="preserve">, en adelante presentamos aquellos factores de cambio asociados al </w:t>
      </w:r>
      <w:r w:rsidRPr="00EE003F">
        <w:rPr>
          <w:rFonts w:ascii="Arial Narrow" w:hAnsi="Arial Narrow" w:cs="Frutiger LT Std 45 Light"/>
          <w:sz w:val="24"/>
          <w:szCs w:val="24"/>
          <w:lang w:val="es-ES_tradnl"/>
        </w:rPr>
        <w:t>entorno</w:t>
      </w:r>
      <w:r w:rsidR="00970D1C" w:rsidRPr="00EE003F">
        <w:rPr>
          <w:rFonts w:ascii="Arial Narrow" w:hAnsi="Arial Narrow" w:cs="Frutiger LT Std 45 Light"/>
          <w:sz w:val="24"/>
          <w:szCs w:val="24"/>
          <w:lang w:val="es-ES_tradnl"/>
        </w:rPr>
        <w:t xml:space="preserve"> internacional:</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4843F2">
      <w:pPr>
        <w:rPr>
          <w:rFonts w:ascii="Arial Narrow" w:hAnsi="Arial Narrow" w:cs="FrutigerLTStd-BlackCn"/>
          <w:b/>
          <w:sz w:val="24"/>
          <w:szCs w:val="24"/>
        </w:rPr>
      </w:pPr>
      <w:r w:rsidRPr="00EE003F">
        <w:rPr>
          <w:rFonts w:ascii="Arial Narrow" w:hAnsi="Arial Narrow" w:cs="FrutigerLTStd-BlackCn"/>
          <w:b/>
          <w:sz w:val="24"/>
          <w:szCs w:val="24"/>
        </w:rPr>
        <w:t>Globalización y rol de Asia</w:t>
      </w:r>
    </w:p>
    <w:p w:rsidR="00970D1C" w:rsidRPr="00EE003F" w:rsidRDefault="00970D1C" w:rsidP="008E508F">
      <w:pPr>
        <w:autoSpaceDE w:val="0"/>
        <w:autoSpaceDN w:val="0"/>
        <w:adjustRightInd w:val="0"/>
        <w:spacing w:before="120" w:after="0" w:line="240" w:lineRule="auto"/>
        <w:jc w:val="both"/>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La globalización tiene fundamentalmente dos fuerzas conductoras. Por un lado, los cambios tecnológicos hacen cada vez más pequeño el mundo, al reducir los costos de transporte y comunicación y; por otro lado, la política exterior liberaliza cada vez más el comercio y las inversiones, se plantean reducciones de barreras arancelarias y no arancelarias, así como estandarización de procesos y niveles de calidad. En suma, la tendencia mundial seguirá acentuándose; sin embargo, de la velocidad de integración global dependerá que se logren importantes aspectos del crecimiento económico futuro. Uno de los resultados tangibles positivos de la globalización es el crecimiento del comercio mundial, que se da a distintas velocidades, con un incremento mucho más pronunciado entre los países emergentes que entre los países desarrollados.</w:t>
      </w:r>
    </w:p>
    <w:p w:rsidR="00914CEB" w:rsidRPr="00EE003F" w:rsidRDefault="00914CEB"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Por otro lado, la globalización también ha permitido que los mercados de capitales estén conectados entre sí, generando sinergias, pero también desventajas. Una salida de capitales (inversiones) brusca y repentina puede causar problemas a la situación económica y financiera de un país dados los avances tecnológicos que facilitan el movimiento de grandes cantidades de dinero en muy poco tiempo. Así, las decisiones de política monetaria y fiscal de un país o conjunto de países pueden afectar el desempeño económico de los demás países, ya que los agentes económicos siempre moverán sus inversiones a lugares donde obtengan el mayor retorno por ellas. En este entorno, la necesidad del Perú en particular es homologar sus bases para obtener los beneficios de la globalización, pero también es necesario contar con los planes de acción en caso se presente un escenario desfavorable sobre esta materia.</w:t>
      </w:r>
    </w:p>
    <w:p w:rsidR="00970D1C" w:rsidRPr="00EE003F" w:rsidRDefault="00914CEB" w:rsidP="008E508F">
      <w:pPr>
        <w:autoSpaceDE w:val="0"/>
        <w:autoSpaceDN w:val="0"/>
        <w:adjustRightInd w:val="0"/>
        <w:spacing w:before="120" w:after="0" w:line="240" w:lineRule="auto"/>
        <w:jc w:val="both"/>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En ese contexto, s</w:t>
      </w:r>
      <w:r w:rsidR="00970D1C" w:rsidRPr="00EE003F">
        <w:rPr>
          <w:rFonts w:ascii="Arial Narrow" w:hAnsi="Arial Narrow" w:cs="Frutiger LT Std 45 Light"/>
          <w:sz w:val="24"/>
          <w:szCs w:val="24"/>
          <w:lang w:val="es-ES_tradnl"/>
        </w:rPr>
        <w:t xml:space="preserve">e evidencia claramente una redistribución del ingreso y la producción mundial, que después de cuatro siglos de estar articulados alrededor del Océano Atlántico han pasado nuevamente al Pacífico, con un alto componente asiático que, será cada vez mayor a pesar de la desaceleración de los últimos años. De acuerdo a las proyecciones y análisis del </w:t>
      </w:r>
      <w:proofErr w:type="spellStart"/>
      <w:r w:rsidR="00970D1C" w:rsidRPr="00EE003F">
        <w:rPr>
          <w:rFonts w:ascii="Arial Narrow" w:hAnsi="Arial Narrow" w:cs="Frutiger LT Std 45 Light"/>
          <w:i/>
          <w:sz w:val="24"/>
          <w:szCs w:val="24"/>
          <w:lang w:val="es-ES_tradnl"/>
        </w:rPr>
        <w:t>The</w:t>
      </w:r>
      <w:proofErr w:type="spellEnd"/>
      <w:r w:rsidR="00970D1C" w:rsidRPr="00EE003F">
        <w:rPr>
          <w:rFonts w:ascii="Arial Narrow" w:hAnsi="Arial Narrow" w:cs="Frutiger LT Std 45 Light"/>
          <w:i/>
          <w:sz w:val="24"/>
          <w:szCs w:val="24"/>
          <w:lang w:val="es-ES_tradnl"/>
        </w:rPr>
        <w:t xml:space="preserve"> </w:t>
      </w:r>
      <w:proofErr w:type="spellStart"/>
      <w:r w:rsidR="00970D1C" w:rsidRPr="00EE003F">
        <w:rPr>
          <w:rFonts w:ascii="Arial Narrow" w:hAnsi="Arial Narrow" w:cs="Frutiger LT Std 45 Light"/>
          <w:i/>
          <w:sz w:val="24"/>
          <w:szCs w:val="24"/>
          <w:lang w:val="es-ES_tradnl"/>
        </w:rPr>
        <w:t>Economist</w:t>
      </w:r>
      <w:proofErr w:type="spellEnd"/>
      <w:r w:rsidR="00970D1C" w:rsidRPr="00EE003F">
        <w:rPr>
          <w:rFonts w:ascii="Arial Narrow" w:hAnsi="Arial Narrow" w:cs="Frutiger LT Std 45 Light"/>
          <w:sz w:val="24"/>
          <w:szCs w:val="24"/>
          <w:lang w:val="es-ES_tradnl"/>
        </w:rPr>
        <w:t>, las economías del Asia representan y representarán en los próximos años, los principales mercados de la demanda del mundo. Las 21 economías del Foro de Cooperación Económica Asia Pacífico (APEC, por sus</w:t>
      </w:r>
      <w:r w:rsidR="00970D1C" w:rsidRPr="00EE003F">
        <w:rPr>
          <w:rFonts w:ascii="Arial Narrow" w:hAnsi="Arial Narrow" w:cs="FrutigerLTStd-BlackCn"/>
          <w:sz w:val="24"/>
          <w:szCs w:val="24"/>
        </w:rPr>
        <w:t xml:space="preserve"> </w:t>
      </w:r>
      <w:r w:rsidR="00970D1C" w:rsidRPr="00EE003F">
        <w:rPr>
          <w:rFonts w:ascii="Arial Narrow" w:hAnsi="Arial Narrow" w:cs="Frutiger LT Std 45 Light"/>
          <w:sz w:val="24"/>
          <w:szCs w:val="24"/>
          <w:lang w:val="es-ES_tradnl"/>
        </w:rPr>
        <w:t>siglas en inglés) representan hoy el 57% del PBI mundial y 47% del comercio mundial</w:t>
      </w:r>
      <w:r w:rsidR="00970D1C" w:rsidRPr="00EE003F">
        <w:rPr>
          <w:rFonts w:ascii="Arial Narrow" w:hAnsi="Arial Narrow" w:cs="Frutiger LT Std 45 Light"/>
          <w:sz w:val="24"/>
          <w:szCs w:val="24"/>
          <w:vertAlign w:val="superscript"/>
          <w:lang w:val="es-ES_tradnl"/>
        </w:rPr>
        <w:footnoteReference w:id="10"/>
      </w:r>
      <w:r w:rsidR="00970D1C" w:rsidRPr="00EE003F">
        <w:rPr>
          <w:rFonts w:ascii="Arial Narrow" w:hAnsi="Arial Narrow" w:cs="Frutiger LT Std 45 Light"/>
          <w:sz w:val="24"/>
          <w:szCs w:val="24"/>
          <w:lang w:val="es-ES_tradnl"/>
        </w:rPr>
        <w:t xml:space="preserve">, con una participación cada vez más importante debido al crecimiento no sólo de su actividad económica, sino también de la demografía. Según el </w:t>
      </w:r>
      <w:proofErr w:type="spellStart"/>
      <w:r w:rsidR="00970D1C" w:rsidRPr="00EE003F">
        <w:rPr>
          <w:rFonts w:ascii="Arial Narrow" w:hAnsi="Arial Narrow" w:cs="Frutiger LT Std 45 Light"/>
          <w:i/>
          <w:sz w:val="24"/>
          <w:szCs w:val="24"/>
          <w:lang w:val="es-ES_tradnl"/>
        </w:rPr>
        <w:t>Economist</w:t>
      </w:r>
      <w:proofErr w:type="spellEnd"/>
      <w:r w:rsidR="00970D1C" w:rsidRPr="00EE003F">
        <w:rPr>
          <w:rFonts w:ascii="Arial Narrow" w:hAnsi="Arial Narrow" w:cs="Frutiger LT Std 45 Light"/>
          <w:i/>
          <w:sz w:val="24"/>
          <w:szCs w:val="24"/>
          <w:lang w:val="es-ES_tradnl"/>
        </w:rPr>
        <w:t xml:space="preserve"> </w:t>
      </w:r>
      <w:proofErr w:type="spellStart"/>
      <w:r w:rsidR="00970D1C" w:rsidRPr="00EE003F">
        <w:rPr>
          <w:rFonts w:ascii="Arial Narrow" w:hAnsi="Arial Narrow" w:cs="Frutiger LT Std 45 Light"/>
          <w:i/>
          <w:sz w:val="24"/>
          <w:szCs w:val="24"/>
          <w:lang w:val="es-ES_tradnl"/>
        </w:rPr>
        <w:t>Intelligence</w:t>
      </w:r>
      <w:proofErr w:type="spellEnd"/>
      <w:r w:rsidR="00970D1C" w:rsidRPr="00EE003F">
        <w:rPr>
          <w:rFonts w:ascii="Arial Narrow" w:hAnsi="Arial Narrow" w:cs="Frutiger LT Std 45 Light"/>
          <w:i/>
          <w:sz w:val="24"/>
          <w:szCs w:val="24"/>
          <w:lang w:val="es-ES_tradnl"/>
        </w:rPr>
        <w:t xml:space="preserve"> </w:t>
      </w:r>
      <w:proofErr w:type="spellStart"/>
      <w:r w:rsidR="00970D1C" w:rsidRPr="00EE003F">
        <w:rPr>
          <w:rFonts w:ascii="Arial Narrow" w:hAnsi="Arial Narrow" w:cs="Frutiger LT Std 45 Light"/>
          <w:i/>
          <w:sz w:val="24"/>
          <w:szCs w:val="24"/>
          <w:lang w:val="es-ES_tradnl"/>
        </w:rPr>
        <w:t>Unit</w:t>
      </w:r>
      <w:proofErr w:type="spellEnd"/>
      <w:r w:rsidR="00970D1C" w:rsidRPr="00EE003F">
        <w:rPr>
          <w:rFonts w:ascii="Arial Narrow" w:hAnsi="Arial Narrow" w:cs="Frutiger LT Std 45 Light"/>
          <w:sz w:val="24"/>
          <w:szCs w:val="24"/>
          <w:lang w:val="es-ES_tradnl"/>
        </w:rPr>
        <w:t>, para los años 2030 y 2050, se espera que Asia represente nuevamente cerca del 50% del PBI mundial, como ya sucedió aproximadamente hacia el año 1700.</w:t>
      </w:r>
    </w:p>
    <w:p w:rsidR="00970D1C" w:rsidRPr="00EE003F" w:rsidRDefault="00970D1C" w:rsidP="00970D1C">
      <w:pPr>
        <w:autoSpaceDE w:val="0"/>
        <w:autoSpaceDN w:val="0"/>
        <w:adjustRightInd w:val="0"/>
        <w:spacing w:after="0" w:line="240" w:lineRule="auto"/>
        <w:jc w:val="both"/>
        <w:rPr>
          <w:rFonts w:ascii="Arial Narrow" w:hAnsi="Arial Narrow" w:cs="FrutigerLTStd-BoldCn"/>
          <w:b/>
          <w:bCs/>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Participación en el PBI Mundial por Región</w:t>
      </w:r>
    </w:p>
    <w:p w:rsidR="00C36A24" w:rsidRPr="00EE003F" w:rsidRDefault="00C36A24" w:rsidP="00970D1C">
      <w:pPr>
        <w:autoSpaceDE w:val="0"/>
        <w:autoSpaceDN w:val="0"/>
        <w:adjustRightInd w:val="0"/>
        <w:spacing w:after="0" w:line="240" w:lineRule="auto"/>
        <w:jc w:val="both"/>
        <w:rPr>
          <w:rFonts w:ascii="Arial Narrow" w:hAnsi="Arial Narrow" w:cs="FrutigerLTStd-BlackCn"/>
          <w:sz w:val="24"/>
          <w:szCs w:val="24"/>
        </w:rPr>
      </w:pPr>
    </w:p>
    <w:tbl>
      <w:tblPr>
        <w:tblW w:w="60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tblGrid>
      <w:tr w:rsidR="00C36A24" w:rsidRPr="00EE003F" w:rsidTr="00C36A24">
        <w:trPr>
          <w:trHeight w:val="525"/>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rPr>
                <w:rFonts w:ascii="Arial Narrow" w:eastAsia="Times New Roman" w:hAnsi="Arial Narrow" w:cs="Times New Roman"/>
                <w:b/>
                <w:bCs/>
                <w:sz w:val="16"/>
                <w:szCs w:val="16"/>
                <w:lang w:eastAsia="es-PE"/>
              </w:rPr>
            </w:pPr>
            <w:r w:rsidRPr="00EE003F">
              <w:rPr>
                <w:rFonts w:ascii="Arial Narrow" w:eastAsia="Times New Roman" w:hAnsi="Arial Narrow" w:cs="Times New Roman"/>
                <w:b/>
                <w:bCs/>
                <w:sz w:val="16"/>
                <w:szCs w:val="16"/>
                <w:lang w:eastAsia="es-PE"/>
              </w:rPr>
              <w:t>Zona Geográfica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b/>
                <w:bCs/>
                <w:sz w:val="16"/>
                <w:szCs w:val="16"/>
                <w:lang w:eastAsia="es-PE"/>
              </w:rPr>
            </w:pPr>
            <w:r w:rsidRPr="00EE003F">
              <w:rPr>
                <w:rFonts w:ascii="Arial Narrow" w:eastAsia="Times New Roman" w:hAnsi="Arial Narrow" w:cs="Times New Roman"/>
                <w:b/>
                <w:bCs/>
                <w:sz w:val="16"/>
                <w:szCs w:val="16"/>
                <w:lang w:val="es-ES_tradnl" w:eastAsia="es-PE"/>
              </w:rPr>
              <w:t>2010</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b/>
                <w:bCs/>
                <w:sz w:val="16"/>
                <w:szCs w:val="16"/>
                <w:lang w:eastAsia="es-PE"/>
              </w:rPr>
            </w:pPr>
            <w:r w:rsidRPr="00EE003F">
              <w:rPr>
                <w:rFonts w:ascii="Arial Narrow" w:eastAsia="Times New Roman" w:hAnsi="Arial Narrow" w:cs="Times New Roman"/>
                <w:b/>
                <w:bCs/>
                <w:sz w:val="16"/>
                <w:szCs w:val="16"/>
                <w:lang w:eastAsia="es-PE"/>
              </w:rPr>
              <w:t>2021</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b/>
                <w:bCs/>
                <w:sz w:val="16"/>
                <w:szCs w:val="16"/>
                <w:lang w:eastAsia="es-PE"/>
              </w:rPr>
            </w:pPr>
            <w:r w:rsidRPr="00EE003F">
              <w:rPr>
                <w:rFonts w:ascii="Arial Narrow" w:eastAsia="Times New Roman" w:hAnsi="Arial Narrow" w:cs="Times New Roman"/>
                <w:b/>
                <w:bCs/>
                <w:sz w:val="16"/>
                <w:szCs w:val="16"/>
                <w:lang w:val="es-ES_tradnl" w:eastAsia="es-PE"/>
              </w:rPr>
              <w:t>2030</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b/>
                <w:bCs/>
                <w:sz w:val="16"/>
                <w:szCs w:val="16"/>
                <w:lang w:eastAsia="es-PE"/>
              </w:rPr>
            </w:pPr>
            <w:r w:rsidRPr="00EE003F">
              <w:rPr>
                <w:rFonts w:ascii="Arial Narrow" w:eastAsia="Times New Roman" w:hAnsi="Arial Narrow" w:cs="Times New Roman"/>
                <w:b/>
                <w:bCs/>
                <w:sz w:val="16"/>
                <w:szCs w:val="16"/>
                <w:lang w:val="es-ES_tradnl" w:eastAsia="es-PE"/>
              </w:rPr>
              <w:t>2050</w:t>
            </w:r>
          </w:p>
        </w:tc>
      </w:tr>
      <w:tr w:rsidR="00C36A24" w:rsidRPr="00EE003F" w:rsidTr="00C36A24">
        <w:trPr>
          <w:trHeight w:val="52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Asia en Desarrollo</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27.90%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eastAsia="es-PE"/>
              </w:rPr>
              <w:t>33.8%</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39.50%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48.10%</w:t>
            </w:r>
          </w:p>
        </w:tc>
      </w:tr>
      <w:tr w:rsidR="00C36A24" w:rsidRPr="00EE003F" w:rsidTr="00C36A24">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Norte América</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21.50%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eastAsia="es-PE"/>
              </w:rPr>
              <w:t>18.8%</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16.90%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12.30%</w:t>
            </w:r>
          </w:p>
        </w:tc>
      </w:tr>
      <w:tr w:rsidR="00C36A24" w:rsidRPr="00EE003F" w:rsidTr="00C36A24">
        <w:trPr>
          <w:trHeight w:val="52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Europa Occidental</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18.70%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eastAsia="es-PE"/>
              </w:rPr>
              <w:t>15.2%</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12.80%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8.90%</w:t>
            </w:r>
          </w:p>
        </w:tc>
      </w:tr>
      <w:tr w:rsidR="00C36A24" w:rsidRPr="00EE003F" w:rsidTr="00C36A24">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Latinoamérica</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8.70%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eastAsia="es-PE"/>
              </w:rPr>
              <w:t>8.6%</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8.50%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8.50%</w:t>
            </w:r>
          </w:p>
        </w:tc>
      </w:tr>
      <w:tr w:rsidR="00C36A24" w:rsidRPr="00EE003F" w:rsidTr="00C36A24">
        <w:trPr>
          <w:trHeight w:val="52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 xml:space="preserve">Medio Oriente y </w:t>
            </w:r>
            <w:proofErr w:type="spellStart"/>
            <w:r w:rsidRPr="00EE003F">
              <w:rPr>
                <w:rFonts w:ascii="Arial Narrow" w:eastAsia="Times New Roman" w:hAnsi="Arial Narrow" w:cs="Times New Roman"/>
                <w:sz w:val="16"/>
                <w:szCs w:val="16"/>
                <w:lang w:val="es-ES_tradnl" w:eastAsia="es-PE"/>
              </w:rPr>
              <w:t>Noráfrica</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4.80%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eastAsia="es-PE"/>
              </w:rPr>
              <w:t>5.3%</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5.80%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6.90%</w:t>
            </w:r>
          </w:p>
        </w:tc>
      </w:tr>
      <w:tr w:rsidR="00C36A24" w:rsidRPr="00EE003F" w:rsidTr="00C36A24">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Europa del Este</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7.00%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eastAsia="es-PE"/>
              </w:rPr>
              <w:t>6.7%</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6.50%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5.60%</w:t>
            </w:r>
          </w:p>
        </w:tc>
      </w:tr>
      <w:tr w:rsidR="00C36A24" w:rsidRPr="00EE003F" w:rsidTr="00C36A24">
        <w:trPr>
          <w:trHeight w:val="52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África subsahariana</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2.60%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eastAsia="es-PE"/>
              </w:rPr>
              <w:t>3.1%</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3.60%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5.10%</w:t>
            </w:r>
          </w:p>
        </w:tc>
      </w:tr>
      <w:tr w:rsidR="00C36A24" w:rsidRPr="00EE003F" w:rsidTr="00C36A24">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Japón</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5.80%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eastAsia="es-PE"/>
              </w:rPr>
              <w:t>4.3%</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3.40%</w:t>
            </w:r>
          </w:p>
        </w:tc>
        <w:tc>
          <w:tcPr>
            <w:tcW w:w="1200" w:type="dxa"/>
            <w:tcBorders>
              <w:top w:val="nil"/>
              <w:left w:val="nil"/>
              <w:bottom w:val="single" w:sz="8" w:space="0" w:color="auto"/>
              <w:right w:val="single" w:sz="8" w:space="0" w:color="auto"/>
            </w:tcBorders>
            <w:shd w:val="clear" w:color="auto" w:fill="auto"/>
            <w:vAlign w:val="center"/>
            <w:hideMark/>
          </w:tcPr>
          <w:p w:rsidR="00C36A24" w:rsidRPr="00EE003F" w:rsidRDefault="00C36A24" w:rsidP="00C36A24">
            <w:pPr>
              <w:spacing w:after="0" w:line="240" w:lineRule="auto"/>
              <w:jc w:val="center"/>
              <w:rPr>
                <w:rFonts w:ascii="Arial Narrow" w:eastAsia="Times New Roman" w:hAnsi="Arial Narrow" w:cs="Times New Roman"/>
                <w:sz w:val="16"/>
                <w:szCs w:val="16"/>
                <w:lang w:eastAsia="es-PE"/>
              </w:rPr>
            </w:pPr>
            <w:r w:rsidRPr="00EE003F">
              <w:rPr>
                <w:rFonts w:ascii="Arial Narrow" w:eastAsia="Times New Roman" w:hAnsi="Arial Narrow" w:cs="Times New Roman"/>
                <w:sz w:val="16"/>
                <w:szCs w:val="16"/>
                <w:lang w:val="es-ES_tradnl" w:eastAsia="es-PE"/>
              </w:rPr>
              <w:t>1.90%</w:t>
            </w:r>
          </w:p>
        </w:tc>
      </w:tr>
    </w:tbl>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Fuente: EIU</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A pesar de la desaceleración de China, India y los países de la Asociación de Naciones </w:t>
      </w:r>
      <w:r w:rsidR="002152AC" w:rsidRPr="00EE003F">
        <w:rPr>
          <w:rFonts w:ascii="Arial Narrow" w:hAnsi="Arial Narrow" w:cs="FrutigerLTStd-BlackCn"/>
          <w:sz w:val="24"/>
          <w:szCs w:val="24"/>
        </w:rPr>
        <w:t>de</w:t>
      </w:r>
      <w:r w:rsidRPr="00EE003F">
        <w:rPr>
          <w:rFonts w:ascii="Arial Narrow" w:hAnsi="Arial Narrow" w:cs="FrutigerLTStd-BlackCn"/>
          <w:sz w:val="24"/>
          <w:szCs w:val="24"/>
        </w:rPr>
        <w:t xml:space="preserve">l Sudeste Asiático (ASEAN, en sus siglas en inglés) liderarán el crecimiento económico de las economías emergentes y ello permitirá sacar a decenas de millones de personas de la pobreza. Según </w:t>
      </w:r>
      <w:sdt>
        <w:sdtPr>
          <w:rPr>
            <w:rFonts w:ascii="Arial Narrow" w:hAnsi="Arial Narrow" w:cs="FrutigerLTStd-BlackCn"/>
            <w:sz w:val="24"/>
            <w:szCs w:val="24"/>
          </w:rPr>
          <w:id w:val="-376937982"/>
          <w:citation/>
        </w:sdtPr>
        <w:sdtEndPr/>
        <w:sdtContent>
          <w:r w:rsidRPr="00EE003F">
            <w:rPr>
              <w:rFonts w:ascii="Arial Narrow" w:hAnsi="Arial Narrow" w:cs="FrutigerLTStd-BlackCn"/>
              <w:sz w:val="24"/>
              <w:szCs w:val="24"/>
            </w:rPr>
            <w:fldChar w:fldCharType="begin"/>
          </w:r>
          <w:r w:rsidRPr="00EE003F">
            <w:rPr>
              <w:rFonts w:ascii="Arial Narrow" w:hAnsi="Arial Narrow" w:cs="FrutigerLTStd-BlackCn"/>
              <w:sz w:val="24"/>
              <w:szCs w:val="24"/>
            </w:rPr>
            <w:instrText xml:space="preserve"> CITATION Bit14 \l 10250 </w:instrText>
          </w:r>
          <w:r w:rsidRPr="00EE003F">
            <w:rPr>
              <w:rFonts w:ascii="Arial Narrow" w:hAnsi="Arial Narrow" w:cs="FrutigerLTStd-BlackCn"/>
              <w:sz w:val="24"/>
              <w:szCs w:val="24"/>
            </w:rPr>
            <w:fldChar w:fldCharType="separate"/>
          </w:r>
          <w:r w:rsidRPr="00EE003F">
            <w:rPr>
              <w:rFonts w:ascii="Arial Narrow" w:hAnsi="Arial Narrow" w:cs="FrutigerLTStd-BlackCn"/>
              <w:noProof/>
              <w:sz w:val="24"/>
              <w:szCs w:val="24"/>
            </w:rPr>
            <w:t>(Bitar, 2014)</w:t>
          </w:r>
          <w:r w:rsidRPr="00EE003F">
            <w:rPr>
              <w:rFonts w:ascii="Arial Narrow" w:hAnsi="Arial Narrow" w:cs="FrutigerLTStd-BlackCn"/>
              <w:sz w:val="24"/>
              <w:szCs w:val="24"/>
            </w:rPr>
            <w:fldChar w:fldCharType="end"/>
          </w:r>
        </w:sdtContent>
      </w:sdt>
      <w:r w:rsidRPr="00EE003F">
        <w:rPr>
          <w:rFonts w:ascii="Arial Narrow" w:hAnsi="Arial Narrow" w:cs="FrutigerLTStd-BlackCn"/>
          <w:sz w:val="24"/>
          <w:szCs w:val="24"/>
        </w:rPr>
        <w:t xml:space="preserve">, en el año 2020, la suma de las economías de los siete principales países emergentes  respecto al PBI mundial (China, India, Brasil, Rusia, México, Indonesia y Turquía) superará al actual G7 (Estados Unidos, Japón, Alemania, Reino Unido, Francia, Italia y Canadá), siendo 64% mayor que la participación del G7 hacia el año 2050. No obstante, al año 2020 estas economías se ubicarán aún como economías de ingresos medios. Por tal motivo, los procesos de producción intensivos en mano de obra seguirán realizándose en países en desarrollo. </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En este contexto, durante el periodo de transición de estas economías, el Perú tiene oportunidades y desafíos frente a este nuevo escenario global. La relación con Asia, en particular, debe ser profundizada: a) con una participación más activa en el Foro de Cooperación Asia Pacífico (APEC, por sus siglas en inglés), haciendo uso efectivo de los programas de cooperación que ofrece el Foro, en aspectos políticos, sociales, ambientales, tecnológicos y económicos;  b) con un desarrollo rápido y planificado de la Alianza del Pacífico (que llevamos adelante con Colombia, México y Chile) en la cual se aproveche en forma equitativa los beneficios y oportunidades que se derivan de estar localizado en el corredor económico más dinámico del planeta; c) con el desarrollo del MILA como verdadero mercado regional de capitales conjunto, que permita </w:t>
      </w:r>
      <w:r w:rsidR="00DA3923" w:rsidRPr="00EE003F">
        <w:rPr>
          <w:rFonts w:ascii="Arial Narrow" w:hAnsi="Arial Narrow" w:cs="FrutigerLTStd-BlackCn"/>
          <w:sz w:val="24"/>
          <w:szCs w:val="24"/>
        </w:rPr>
        <w:t xml:space="preserve">consolidar la generación de un ahorro interno regional importante entre los países miembros y </w:t>
      </w:r>
      <w:r w:rsidRPr="00EE003F">
        <w:rPr>
          <w:rFonts w:ascii="Arial Narrow" w:hAnsi="Arial Narrow" w:cs="FrutigerLTStd-BlackCn"/>
          <w:sz w:val="24"/>
          <w:szCs w:val="24"/>
        </w:rPr>
        <w:t>atraer inversiones de todos los países desarrollados</w:t>
      </w:r>
      <w:r w:rsidR="00DA3923" w:rsidRPr="00EE003F">
        <w:rPr>
          <w:rFonts w:ascii="Arial Narrow" w:hAnsi="Arial Narrow" w:cs="FrutigerLTStd-BlackCn"/>
          <w:sz w:val="24"/>
          <w:szCs w:val="24"/>
        </w:rPr>
        <w:t>, especialmente</w:t>
      </w:r>
      <w:r w:rsidRPr="00EE003F">
        <w:rPr>
          <w:rFonts w:ascii="Arial Narrow" w:hAnsi="Arial Narrow" w:cs="FrutigerLTStd-BlackCn"/>
          <w:sz w:val="24"/>
          <w:szCs w:val="24"/>
        </w:rPr>
        <w:t xml:space="preserve"> hacia el Perú.</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p>
    <w:p w:rsidR="00970D1C" w:rsidRPr="00EE003F" w:rsidRDefault="00970D1C" w:rsidP="004843F2">
      <w:pPr>
        <w:rPr>
          <w:rFonts w:ascii="Arial Narrow" w:hAnsi="Arial Narrow" w:cs="FrutigerLTStd-BlackCn"/>
          <w:b/>
          <w:sz w:val="24"/>
          <w:szCs w:val="24"/>
        </w:rPr>
      </w:pPr>
      <w:r w:rsidRPr="00EE003F">
        <w:rPr>
          <w:rFonts w:ascii="Arial Narrow" w:hAnsi="Arial Narrow" w:cs="FrutigerLTStd-BlackCn"/>
          <w:b/>
          <w:sz w:val="24"/>
          <w:szCs w:val="24"/>
        </w:rPr>
        <w:t>Demografía</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El mundo está cambiando rápidamente, tanto en número como en composición de la población. En el año 2021, bajo un escenario de fertilidad media, que podría ser resultado del crecimiento acelerado de Asia y África y la desaceleración de Europa y América, habrá cerca de 7,8 miles de millones de personas en el planeta.</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cs="FrutigerLTStd-BlackCn"/>
          <w:noProof/>
          <w:sz w:val="24"/>
          <w:szCs w:val="24"/>
          <w:lang w:eastAsia="es-PE"/>
        </w:rPr>
        <w:drawing>
          <wp:inline distT="0" distB="0" distL="0" distR="0" wp14:anchorId="4674BB29" wp14:editId="073CEC63">
            <wp:extent cx="5057753" cy="3194022"/>
            <wp:effectExtent l="0" t="0" r="0" b="698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0921" cy="3196023"/>
                    </a:xfrm>
                    <a:prstGeom prst="rect">
                      <a:avLst/>
                    </a:prstGeom>
                    <a:noFill/>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Bajo ese escenario, en el 2021,</w:t>
      </w:r>
      <w:r w:rsidR="00480B0C" w:rsidRPr="00EE003F">
        <w:rPr>
          <w:rFonts w:ascii="Arial Narrow" w:hAnsi="Arial Narrow" w:cs="FrutigerLTStd-BlackCn"/>
          <w:sz w:val="24"/>
          <w:szCs w:val="24"/>
        </w:rPr>
        <w:t xml:space="preserve"> </w:t>
      </w:r>
      <w:r w:rsidRPr="00EE003F">
        <w:rPr>
          <w:rFonts w:ascii="Arial Narrow" w:hAnsi="Arial Narrow" w:cs="FrutigerLTStd-BlackCn"/>
          <w:sz w:val="24"/>
          <w:szCs w:val="24"/>
        </w:rPr>
        <w:t>la mitad de la población mundial estará concentrada en Asia, que pese a todo caerá en participación con respecto al año 2000, cuando tenía aproximadamente dos tercios del total de habitantes del planeta, aportando alrededor del 50% de ese crecimiento. El mayor crecimiento poblacional se dará en las economías en desarrollo, con un énfasis especial en los países del África subsahariana. Por ejemplo, en el 2050 se espera que Nigeria y Tanzania ocupen el tercer y quinto lugar en el r</w:t>
      </w:r>
      <w:r w:rsidR="00480B0C" w:rsidRPr="00EE003F">
        <w:rPr>
          <w:rFonts w:ascii="Arial Narrow" w:hAnsi="Arial Narrow" w:cs="FrutigerLTStd-BlackCn"/>
          <w:sz w:val="24"/>
          <w:szCs w:val="24"/>
        </w:rPr>
        <w:t>a</w:t>
      </w:r>
      <w:r w:rsidRPr="00EE003F">
        <w:rPr>
          <w:rFonts w:ascii="Arial Narrow" w:hAnsi="Arial Narrow" w:cs="FrutigerLTStd-BlackCn"/>
          <w:sz w:val="24"/>
          <w:szCs w:val="24"/>
        </w:rPr>
        <w:t>nking de países más poblados del mundo. Así también, en el 2021 China estará cerca de alcanzar su nivel máximo histórico de población y se espera en el 2025 una cifra de 1400 millones de personas, poco más de 20% de la población mundial de dicho periodo.</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Adicionalmente, en el mundo hay un claro cambio de estructura etaria de la población, fenómeno que continuará en los próximos años, con foco en los países desarrollados. De las estadísticas poblacionales de Naciones Unidas, se observa que la mediana de la edad de la población mundial en el 2021 estará en torno a los 30,7 años, mientras que en el 2050 alcanzará los 36,1 años.</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noProof/>
          <w:sz w:val="24"/>
          <w:szCs w:val="24"/>
          <w:lang w:eastAsia="es-PE"/>
        </w:rPr>
        <w:drawing>
          <wp:inline distT="0" distB="0" distL="0" distR="0" wp14:anchorId="4745594C" wp14:editId="4A7F8F73">
            <wp:extent cx="4563745" cy="2552065"/>
            <wp:effectExtent l="0" t="0" r="8255" b="63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3745" cy="2552065"/>
                    </a:xfrm>
                    <a:prstGeom prst="rect">
                      <a:avLst/>
                    </a:prstGeom>
                    <a:noFill/>
                    <a:ln>
                      <a:noFill/>
                    </a:ln>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En cuanto a los países desarrollados, Estados Unidos tendrá, desde el punto de vista económico, un mejor perfil demográfico (más jóvenes que adultos mayores) que las economías europeas o Japón, lo cual afectará el desarrollo y composición del PBI mundial. Todo lo anterior tiene implicancias para el Perú, dado que si bien la población en promedio también está envejeciendo, aún es joven y permitirá contar con un bono demográfico que debe ser aprovechado.</w:t>
      </w:r>
    </w:p>
    <w:p w:rsidR="00A9203A" w:rsidRPr="00EE003F" w:rsidRDefault="00A9203A" w:rsidP="008E508F">
      <w:pPr>
        <w:autoSpaceDE w:val="0"/>
        <w:autoSpaceDN w:val="0"/>
        <w:adjustRightInd w:val="0"/>
        <w:spacing w:before="120"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En este sentido, se espera que en el 2025 exista al menos 30 mega ciudades de más de 10 millones de habitantes, en comparación con las dos que existían en 1950 (Nueva York y Tokio). Bajo esta caracterización, el Perú actualmente no cuenta con una </w:t>
      </w:r>
      <w:proofErr w:type="spellStart"/>
      <w:r w:rsidRPr="00EE003F">
        <w:rPr>
          <w:rFonts w:ascii="Arial Narrow" w:hAnsi="Arial Narrow" w:cs="FrutigerLTStd-BlackCn"/>
          <w:sz w:val="24"/>
          <w:szCs w:val="24"/>
        </w:rPr>
        <w:t>megaciudad</w:t>
      </w:r>
      <w:proofErr w:type="spellEnd"/>
      <w:r w:rsidRPr="00EE003F">
        <w:rPr>
          <w:rFonts w:ascii="Arial Narrow" w:hAnsi="Arial Narrow" w:cs="FrutigerLTStd-BlackCn"/>
          <w:sz w:val="24"/>
          <w:szCs w:val="24"/>
        </w:rPr>
        <w:t xml:space="preserve">, ya que Lima se halla ligeramente por debajo de los 10 millones de habitantes. No obstante, las Naciones Unidas consideran que hacia el 2020 Lima se convertirá en una </w:t>
      </w:r>
      <w:proofErr w:type="spellStart"/>
      <w:r w:rsidRPr="00EE003F">
        <w:rPr>
          <w:rFonts w:ascii="Arial Narrow" w:hAnsi="Arial Narrow" w:cs="FrutigerLTStd-BlackCn"/>
          <w:sz w:val="24"/>
          <w:szCs w:val="24"/>
        </w:rPr>
        <w:t>megaciudad</w:t>
      </w:r>
      <w:proofErr w:type="spellEnd"/>
      <w:r w:rsidRPr="00EE003F">
        <w:rPr>
          <w:rFonts w:ascii="Arial Narrow" w:hAnsi="Arial Narrow" w:cs="FrutigerLTStd-BlackCn"/>
          <w:sz w:val="24"/>
          <w:szCs w:val="24"/>
        </w:rPr>
        <w:t>, será la única de esta clase en el Perú y se sumará a Buenos Aires, Sao Paulo y Ciudad de México en la región latinoamericana. Así, bajo esta tendencia, se espera que hacia el 2050 el 70% de la población mundial viva en ciudades; es decir, 6500 millones de personas (el equivalente a la población total del mundo en el 2005).</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Plataforma logística mundial</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A9203A"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La globalización y la</w:t>
      </w:r>
      <w:r w:rsidR="00432DF7" w:rsidRPr="00EE003F">
        <w:rPr>
          <w:rFonts w:ascii="Arial Narrow" w:hAnsi="Arial Narrow" w:cs="FrutigerLTStd-BlackCn"/>
          <w:sz w:val="24"/>
          <w:szCs w:val="24"/>
        </w:rPr>
        <w:t xml:space="preserve"> difusión de las cadenas de valor generarán que los procesos productivos se realice</w:t>
      </w:r>
      <w:r w:rsidRPr="00EE003F">
        <w:rPr>
          <w:rFonts w:ascii="Arial Narrow" w:hAnsi="Arial Narrow" w:cs="FrutigerLTStd-BlackCn"/>
          <w:sz w:val="24"/>
          <w:szCs w:val="24"/>
        </w:rPr>
        <w:t>n cada vez más en diversas partes del mundo en simultáneo y</w:t>
      </w:r>
      <w:r w:rsidR="00432DF7" w:rsidRPr="00EE003F">
        <w:rPr>
          <w:rFonts w:ascii="Arial Narrow" w:hAnsi="Arial Narrow" w:cs="FrutigerLTStd-BlackCn"/>
          <w:sz w:val="24"/>
          <w:szCs w:val="24"/>
        </w:rPr>
        <w:t xml:space="preserve"> por lo tanto</w:t>
      </w:r>
      <w:r w:rsidRPr="00EE003F">
        <w:rPr>
          <w:rFonts w:ascii="Arial Narrow" w:hAnsi="Arial Narrow" w:cs="FrutigerLTStd-BlackCn"/>
          <w:sz w:val="24"/>
          <w:szCs w:val="24"/>
        </w:rPr>
        <w:t xml:space="preserve"> la colaboración entre equipos de trabajo</w:t>
      </w:r>
      <w:r w:rsidR="00432DF7" w:rsidRPr="00EE003F">
        <w:rPr>
          <w:rFonts w:ascii="Arial Narrow" w:hAnsi="Arial Narrow" w:cs="FrutigerLTStd-BlackCn"/>
          <w:sz w:val="24"/>
          <w:szCs w:val="24"/>
        </w:rPr>
        <w:t>,</w:t>
      </w:r>
      <w:r w:rsidRPr="00EE003F">
        <w:rPr>
          <w:rFonts w:ascii="Arial Narrow" w:hAnsi="Arial Narrow" w:cs="FrutigerLTStd-BlackCn"/>
          <w:sz w:val="24"/>
          <w:szCs w:val="24"/>
        </w:rPr>
        <w:t xml:space="preserve"> se volverá una habilidad muy valorada. En el desarrollo de las plataformas logísticas mundiales juega un papel fundamental el progreso de la infraestructura global de tecnologías de información y comunicación (TIC) y de banda ancha, que favorecen la transmisión simultánea de grandes flujos de información necesaria para la producción de bienes y servicios. </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Los conceptos de tele presencia, reuniones virtuales y fabricación remota cobran cada vez más vigencia. Los capitales fluyen en forma libre por una gran proporción del globo. Hoy es cosa de todos los días financiar, por ejemplo, proyectos tecnológicos en Singapur con dinero de fondos de pensiones japoneses, administrados por un banco alemán en Nueva York. A medida que disminuyan las barreras financieras (vía una sofisticación tecnológica en los controles de movimientos de capitales) esta tendencia se profundizará.</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Esto representa una gran oportunidad para las PYME de alta productividad de todo el mundo, incluidas las peruanas, dada la posibilidad de estar conectadas con cadenas de valor globales, para la producción de insumos o para brindar servicios requeridos para el desarrollo de productos complejos. Por esta razón, cobra importancia alcanzar mayores sinergias y encadenamientos productivos intrarregionales que permitan innovar los productos del país, para insertarlos con éxito a competir en el escenario internacional.</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Cambio en los patrones de consumo: la personalización</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Los consumidores valoran cada vez más el precio y la calidad, pero sobretodo la personalización de la producción. Esta será cada vez más importante como tendencia de un mercado global y segmentado al mismo tiempo, donde se brindarán productos y servicios diferenciados en función a la demanda que se presente. Esto brinda múltiples posibilidades no sólo a clientes finales sino también a pequeños emprendedores e innovadoras, así como la posibilidad de contar con tecnología diseñada a la medida de sus requerimientos, lo cual brinda amplias posibilidades de poder competir con las grandes industrias. Para ello resulta vital el fomento de los </w:t>
      </w:r>
      <w:proofErr w:type="spellStart"/>
      <w:r w:rsidRPr="00EE003F">
        <w:rPr>
          <w:rFonts w:ascii="Arial Narrow" w:hAnsi="Arial Narrow" w:cs="FrutigerLTStd-BlackCn"/>
          <w:sz w:val="24"/>
          <w:szCs w:val="24"/>
        </w:rPr>
        <w:t>start</w:t>
      </w:r>
      <w:proofErr w:type="spellEnd"/>
      <w:r w:rsidRPr="00EE003F">
        <w:rPr>
          <w:rFonts w:ascii="Arial Narrow" w:hAnsi="Arial Narrow" w:cs="FrutigerLTStd-BlackCn"/>
          <w:sz w:val="24"/>
          <w:szCs w:val="24"/>
        </w:rPr>
        <w:t xml:space="preserve"> up y el movimiento de capitales (semilla o ángeles) a fin de promover pequeños negocios e ideas innovadores. Con este objetivo, el PNDP ha incluido diversos programas de apoyo a la diversificación enfocados sobre todo en el acceso al capital, la generación de innovación y la </w:t>
      </w:r>
      <w:proofErr w:type="spellStart"/>
      <w:r w:rsidRPr="00EE003F">
        <w:rPr>
          <w:rFonts w:ascii="Arial Narrow" w:hAnsi="Arial Narrow" w:cs="FrutigerLTStd-BlackCn"/>
          <w:sz w:val="24"/>
          <w:szCs w:val="24"/>
        </w:rPr>
        <w:t>clusterización</w:t>
      </w:r>
      <w:proofErr w:type="spellEnd"/>
      <w:r w:rsidRPr="00EE003F">
        <w:rPr>
          <w:rFonts w:ascii="Arial Narrow" w:hAnsi="Arial Narrow" w:cs="FrutigerLTStd-BlackCn"/>
          <w:sz w:val="24"/>
          <w:szCs w:val="24"/>
        </w:rPr>
        <w:t>.</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Un ejemplo de lo que sería posible alcanzar con la implementación </w:t>
      </w:r>
      <w:r w:rsidR="00A9203A" w:rsidRPr="00EE003F">
        <w:rPr>
          <w:rFonts w:ascii="Arial Narrow" w:hAnsi="Arial Narrow" w:cs="FrutigerLTStd-BlackCn"/>
          <w:sz w:val="24"/>
          <w:szCs w:val="24"/>
        </w:rPr>
        <w:t xml:space="preserve">de políticas de esta índole es </w:t>
      </w:r>
      <w:r w:rsidRPr="00EE003F">
        <w:rPr>
          <w:rFonts w:ascii="Arial Narrow" w:hAnsi="Arial Narrow" w:cs="FrutigerLTStd-BlackCn"/>
          <w:sz w:val="24"/>
          <w:szCs w:val="24"/>
        </w:rPr>
        <w:t>el posicionamiento de la impresión 3D como difusor de la manufactura en punto de venta o en el hogar, que promoverá que cada individuo pueda diseñar en su propia casa una variedad de productos (finales e intermedios). Se espera que esta nueva tecnología, basada en la manipulación de átomos y moléculas para formar nuevos objetos, revolucione la producción de bienes y la producción en masa en las próximas dos décadas.</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Impacto de la tecnología en las empresas y en la generación de conocimiento</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La tecnología en general, propicia cada vez más la automatización de procesos simples. Esto libera recursos a las empresas, que podrán concentrarse en el propio negocio (procesos desde innovación hasta atención personalizada). Se dará mucho más peso a la ganancia de productividad laboral vía el uso de tecnología de todo tipo. En los próximos años se dará mucho más énfasis al entrenamiento y desarrollo de habilidades blandas y al cambio organizacional. En el campo de la administración del conocimiento y de la información, el análisis de grandes fuentes de datos se convertirá en una herramienta de uso diario, frente a los inmensos volúmenes de información y al acceso universal a medios. Asimismo, el conocimiento será generado no sólo por individuos, sino que será cada vez más común el conocimiento generado en grupo por colaboración abierta distribuida (del inglés </w:t>
      </w:r>
      <w:proofErr w:type="spellStart"/>
      <w:r w:rsidRPr="00EE003F">
        <w:rPr>
          <w:rFonts w:ascii="Arial Narrow" w:hAnsi="Arial Narrow" w:cs="FrutigerLTStd-BlackCn"/>
          <w:sz w:val="24"/>
          <w:szCs w:val="24"/>
        </w:rPr>
        <w:t>Crowdsourcing</w:t>
      </w:r>
      <w:proofErr w:type="spellEnd"/>
      <w:r w:rsidRPr="00EE003F">
        <w:rPr>
          <w:rFonts w:ascii="Arial Narrow" w:hAnsi="Arial Narrow" w:cs="FrutigerLTStd-BlackCn"/>
          <w:sz w:val="24"/>
          <w:szCs w:val="24"/>
        </w:rPr>
        <w:t>). Esta forma de trabajo no sólo es empleada hoy en día informalmente, sino que es un método de trabajo que está siendo empleado por grupos de científicos globales en temas como el estudio del genoma humano.</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En la misma línea, la tecnología de la comunicación (fija y móvil) avanzará a pasos agigantados en esta década, reforzando las industrias de servicios a través de mayor eficiencia. Por ello, los países de la OCDE seguirán manteniendo importantes ventajas frente al resto de países debido al uso intensivo de las TIC, y no será sino hasta pasado el 2040 que los países en desarrollo alcanzarán el nivel de valor agregado que generan las industrias en el mundo desarrollado. Así, hoy en día ya es una realidad la banca electrónica y en los próximos años la banca móvil y la billetera virtual modificarán la forma en que el ciudadano promedio realiza transacciones comerciales. </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Resulta necesario mencionar que la verificación de estas tendencias mundiales de mediano plazo dará una mejor perspectiva para las proyecciones hechas por los planes de desarrollo. Sin embargo, es necesario ver cómo es que estas tendencias mundiales se engarzan con la situación actual del país y permiten ver cuáles son las estrategias de crecimiento de largo plazo que deben ser reforzadas para tener un desarrollo sostenible en el tiempo. En tal sentido, se presenta un análisis de cómo se encontrará el Perú en el 2021 respecto a algunas variables relevantes, en relación a otros países del globo y de la región</w:t>
      </w:r>
      <w:r w:rsidR="008E508F" w:rsidRPr="00EE003F">
        <w:rPr>
          <w:rFonts w:ascii="Arial Narrow" w:hAnsi="Arial Narrow" w:cs="FrutigerLTStd-BlackCn"/>
          <w:sz w:val="24"/>
          <w:szCs w:val="24"/>
        </w:rPr>
        <w:t>.</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Un mundo con recursos escasos</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El mundo viene afrontando una serie de riesgos en relación al aseguramiento futuro de los recursos hídricos, agrícolas y energéticos, producto del aumento de la población mundial y los nuevos patrones de consumo de una clase media en expansión. El posible incremento en la demanda de alimentos, debido al incremento de la población, no sólo generará una presión sobre las tierras cultivables sino que incrementará la demanda de agua para actividades agrícolas.</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En general, la escasez presente y futura de estos es cada vez más evidente, y es un asunto de preocupación y debate internacional. Así, desde la reducción sistemática de las tierras de cultivo, las dificultades de acceso al agua dulce, hasta las aparentes limitaciones que vienen experimentando los países en cuanto al abastecimiento energético producto de combustibles fósiles, vienen generando importantes niveles de incertidumbre.</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Diversos factores contribuyen a la inestabilidad de las principales regiones productoras y abastecedoras de estos recursos; entre ellos el hecho que más de 4 mil millones de personas viven hoy en día al límite con el suministro de los recursos, principalmente agua y alimentos, siendo foco de potenciales conflictos; así como las preocupaciones sobre la capacidad de los bosques y océanos del mundo para absorber carbono. Por ello, esta era de restricción de recursos representa importantes riesgos a la vida social y económica, razón de importancia para observar el futuro y tratar de implementar medidas paliativas tales como la reducción del uso de determinados recursos, o la búsqueda de una mayor eficiencia energética. De este modo, tras poco más de dos siglos de explotación intensiva, resulta necesario considerar las consecuencias.</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En el informe de la FAO (2015), este organismo ha expresado su preocupación por la agricultura. La causa subyacente de esta problemática es que se percibe una creciente demanda de productos agrícolas que ponen presión sobre los recursos naturales finitos, como la tierra</w:t>
      </w:r>
      <w:r w:rsidRPr="00EE003F">
        <w:rPr>
          <w:rStyle w:val="Refdenotaalpie"/>
          <w:rFonts w:ascii="Arial Narrow" w:hAnsi="Arial Narrow" w:cs="FrutigerLTStd-BlackCn"/>
          <w:sz w:val="24"/>
          <w:szCs w:val="24"/>
        </w:rPr>
        <w:footnoteReference w:id="11"/>
      </w:r>
      <w:r w:rsidRPr="00EE003F">
        <w:rPr>
          <w:rFonts w:ascii="Arial Narrow" w:hAnsi="Arial Narrow" w:cs="FrutigerLTStd-BlackCn"/>
          <w:sz w:val="24"/>
          <w:szCs w:val="24"/>
        </w:rPr>
        <w:t>.  De otro lado, uno de los recursos bajo circunstancias de presión y escasez es el agua. Asimismo, con miras hacia el 2030, los principales impulsores del desafío del agua en el mundo estarán ligados al crecimiento económico y la expansión del desarrollo en el mundo urbano (urbanización e industria) y en el mundo rural (expansión agrícola). Con mayor énfasis en este último, en tanto hoy en día el 71% del agua que se extrae en el mundo se destina al agro, el 16% a la industria y el 13% al uso doméstico. De este modo, se observa que al 2020 la mayor parte de zonas donde se registra estrés hídrico se ubicarán en el mundo en desarrollo, principalmente África, Medio Oriente, China e India.</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Igualmente, la energía producto de fuentes no renovables se proyecta como un bien escaso donde ya se perciben importantes signos de agotamiento del recurso. Esto se debe principalmente al declive en la producción de petróleo y gas en el mundo, además de las condiciones de volatilidad social y política de los países productores, lo cual pone en riesgo las rutas de abastecimiento energético; además, gran parte de este crecimiento se producirá fuera de países de la OCDE, que verán el incremento de sus necesidades de energía en 90% hacia dicho periodo.</w:t>
      </w:r>
    </w:p>
    <w:p w:rsidR="005822CE"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El país no es ajeno a este contexto, debido a que la expectativa de un menor precio del </w:t>
      </w:r>
      <w:r w:rsidR="005822CE" w:rsidRPr="00EE003F">
        <w:rPr>
          <w:rFonts w:ascii="Arial Narrow" w:hAnsi="Arial Narrow" w:cs="FrutigerLTStd-BlackCn"/>
          <w:sz w:val="24"/>
          <w:szCs w:val="24"/>
        </w:rPr>
        <w:t xml:space="preserve">petróleo generará </w:t>
      </w:r>
      <w:r w:rsidRPr="00EE003F">
        <w:rPr>
          <w:rFonts w:ascii="Arial Narrow" w:hAnsi="Arial Narrow" w:cs="FrutigerLTStd-BlackCn"/>
          <w:sz w:val="24"/>
          <w:szCs w:val="24"/>
        </w:rPr>
        <w:t xml:space="preserve">un impacto en las alternativas de inversión futuras. </w:t>
      </w:r>
      <w:r w:rsidR="005822CE" w:rsidRPr="00EE003F">
        <w:rPr>
          <w:rFonts w:ascii="Arial Narrow" w:hAnsi="Arial Narrow" w:cs="FrutigerLTStd-BlackCn"/>
          <w:sz w:val="24"/>
          <w:szCs w:val="24"/>
        </w:rPr>
        <w:t xml:space="preserve">Esto podría limitar la </w:t>
      </w:r>
      <w:r w:rsidRPr="00EE003F">
        <w:rPr>
          <w:rFonts w:ascii="Arial Narrow" w:hAnsi="Arial Narrow" w:cs="FrutigerLTStd-BlackCn"/>
          <w:sz w:val="24"/>
          <w:szCs w:val="24"/>
        </w:rPr>
        <w:t xml:space="preserve"> diversificación de la matriz energética. </w:t>
      </w:r>
    </w:p>
    <w:p w:rsidR="00970D1C" w:rsidRPr="00EE003F" w:rsidRDefault="005822CE"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Ante la escasez d</w:t>
      </w:r>
      <w:r w:rsidR="00970D1C" w:rsidRPr="00EE003F">
        <w:rPr>
          <w:rFonts w:ascii="Arial Narrow" w:hAnsi="Arial Narrow" w:cs="FrutigerLTStd-BlackCn"/>
          <w:sz w:val="24"/>
          <w:szCs w:val="24"/>
        </w:rPr>
        <w:t>e</w:t>
      </w:r>
      <w:r w:rsidRPr="00EE003F">
        <w:rPr>
          <w:rFonts w:ascii="Arial Narrow" w:hAnsi="Arial Narrow" w:cs="FrutigerLTStd-BlackCn"/>
          <w:sz w:val="24"/>
          <w:szCs w:val="24"/>
        </w:rPr>
        <w:t xml:space="preserve"> los recursos naturales, re</w:t>
      </w:r>
      <w:r w:rsidR="00970D1C" w:rsidRPr="00EE003F">
        <w:rPr>
          <w:rFonts w:ascii="Arial Narrow" w:hAnsi="Arial Narrow" w:cs="FrutigerLTStd-BlackCn"/>
          <w:sz w:val="24"/>
          <w:szCs w:val="24"/>
        </w:rPr>
        <w:t xml:space="preserve">sulta urgente y necesario asumir mayores responsabilidades nacionales en cuanto al aprovechamiento y sostenibilidad de todos los activos del Estado, en especial </w:t>
      </w:r>
      <w:r w:rsidRPr="00EE003F">
        <w:rPr>
          <w:rFonts w:ascii="Arial Narrow" w:hAnsi="Arial Narrow" w:cs="FrutigerLTStd-BlackCn"/>
          <w:sz w:val="24"/>
          <w:szCs w:val="24"/>
        </w:rPr>
        <w:t xml:space="preserve">de </w:t>
      </w:r>
      <w:r w:rsidR="00970D1C" w:rsidRPr="00EE003F">
        <w:rPr>
          <w:rFonts w:ascii="Arial Narrow" w:hAnsi="Arial Narrow" w:cs="FrutigerLTStd-BlackCn"/>
          <w:sz w:val="24"/>
          <w:szCs w:val="24"/>
        </w:rPr>
        <w:t>estos recursos. Asimismo</w:t>
      </w:r>
      <w:r w:rsidR="00A355A6" w:rsidRPr="00EE003F">
        <w:rPr>
          <w:rFonts w:ascii="Arial Narrow" w:hAnsi="Arial Narrow" w:cs="FrutigerLTStd-BlackCn"/>
          <w:sz w:val="24"/>
          <w:szCs w:val="24"/>
        </w:rPr>
        <w:t xml:space="preserve"> resulta vital </w:t>
      </w:r>
      <w:r w:rsidR="00970D1C" w:rsidRPr="00EE003F">
        <w:rPr>
          <w:rFonts w:ascii="Arial Narrow" w:hAnsi="Arial Narrow" w:cs="FrutigerLTStd-BlackCn"/>
          <w:sz w:val="24"/>
          <w:szCs w:val="24"/>
        </w:rPr>
        <w:t>fortalecer las iniciativas de diversificación productiva y menor dependencia de la economía de los recursos primarios</w:t>
      </w:r>
      <w:r w:rsidR="00A355A6" w:rsidRPr="00EE003F">
        <w:rPr>
          <w:rFonts w:ascii="Arial Narrow" w:hAnsi="Arial Narrow" w:cs="FrutigerLTStd-BlackCn"/>
          <w:sz w:val="24"/>
          <w:szCs w:val="24"/>
        </w:rPr>
        <w:t>.</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El cambio climático y las evidencias del cambio</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Los retos del medio ambiente son cada vez más complejos, globales y de efecto prolongado. La utilización masiva de combustibles fósiles, la ganadería y agricultura intensiva/extensiva, la desaparición acelerada de los bosques y selvas, así como la gran expansión urbana han disparado los indicadores medioambientales, principalmente los relacionados a los gases de efecto invernadero (CO</w:t>
      </w:r>
      <w:r w:rsidRPr="00EE003F">
        <w:rPr>
          <w:rFonts w:ascii="Arial Narrow" w:hAnsi="Arial Narrow" w:cs="FrutigerLTStd-BlackCn"/>
          <w:sz w:val="24"/>
          <w:szCs w:val="24"/>
          <w:vertAlign w:val="subscript"/>
        </w:rPr>
        <w:t>2</w:t>
      </w:r>
      <w:r w:rsidRPr="00EE003F">
        <w:rPr>
          <w:rFonts w:ascii="Arial Narrow" w:hAnsi="Arial Narrow" w:cs="FrutigerLTStd-BlackCn"/>
          <w:sz w:val="24"/>
          <w:szCs w:val="24"/>
        </w:rPr>
        <w:t>, CFC, metano y otros), y han llevado a una serie de alteraciones y desequilibrios en el entorno en pocas décadas.</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Los efectos ya son evidentes e incluso persistentes en muchas regiones en las que los efectos se perciben con mayor frecuencia e intensidad. La vulnerabilidad de las poblaciones afectadas, así como la de los ecosistemas tendrá influencia en la magnitud de las consecuencias del cambio climático. Así, los ingresos crecientes y las aspiraciones a mejores niveles de vida incrementarán la presión sobre los recursos; igualmente lo harán las mejores perspectivas económicas de muchos países hoy en transición y amenazados no solo por el deterioro de sus recursos, sino por las exigencias sociales para su obtención. En este sentido, la gestión del entorno se vuelve relevante y los gobiernos deberán aprender a hacerlo de manera sostenible y con visión de futuro.</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Las causas y efectos del cambio climático son múltiples, no obstante una de las variables que mejor traduce los esfuerzos para mitigar sus efectos es la composición de la matriz energética global y los cambios que la afectan. El análisis de la matriz energética hacia el año 2030, muestra que gran parte de la energía global continuará proviniendo de fuentes no renovables como el carbón, gas natural y petróleo, representando cerca del 80% de la energía consumida.</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Otra variable que se relaciona directamente con el cambio climático son las emisiones de CO</w:t>
      </w:r>
      <w:r w:rsidRPr="00EE003F">
        <w:rPr>
          <w:rFonts w:ascii="Arial Narrow" w:hAnsi="Arial Narrow" w:cs="FrutigerLTStd-BlackCn"/>
          <w:sz w:val="24"/>
          <w:szCs w:val="24"/>
          <w:vertAlign w:val="subscript"/>
        </w:rPr>
        <w:t>2</w:t>
      </w:r>
      <w:r w:rsidRPr="00EE003F">
        <w:rPr>
          <w:rFonts w:ascii="Arial Narrow" w:hAnsi="Arial Narrow" w:cs="FrutigerLTStd-BlackCn"/>
          <w:sz w:val="24"/>
          <w:szCs w:val="24"/>
        </w:rPr>
        <w:t xml:space="preserve"> producto de la actividad de los países. En el mundo se estima que las emisiones de CO</w:t>
      </w:r>
      <w:r w:rsidRPr="00EE003F">
        <w:rPr>
          <w:rFonts w:ascii="Arial Narrow" w:hAnsi="Arial Narrow" w:cs="FrutigerLTStd-BlackCn"/>
          <w:sz w:val="24"/>
          <w:szCs w:val="24"/>
          <w:vertAlign w:val="subscript"/>
        </w:rPr>
        <w:t>2</w:t>
      </w:r>
      <w:r w:rsidRPr="00EE003F">
        <w:rPr>
          <w:rFonts w:ascii="Arial Narrow" w:hAnsi="Arial Narrow" w:cs="FrutigerLTStd-BlackCn"/>
          <w:sz w:val="24"/>
          <w:szCs w:val="24"/>
        </w:rPr>
        <w:t xml:space="preserve"> producto de la generación de energía se incrementarán de 31,2 billones de TM métricas en el año 2010 a 36 billones de TM métricas en el año 2020 y a 45,5 billones de TM métricas en año 2040, lo que representa un incremento del 46% en un periodo de poco menos de 30 años. Esto se verá impulsado por el fuerte crecimiento económico de los países en desarrollo, principalmente a los de menores ingresos, y la mayor dependencia del uso de combustibles fósiles producto de un marco legal permisivo.</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Si b</w:t>
      </w:r>
      <w:r w:rsidR="008E508F" w:rsidRPr="00EE003F">
        <w:rPr>
          <w:rFonts w:ascii="Arial Narrow" w:hAnsi="Arial Narrow" w:cs="FrutigerLTStd-BlackCn"/>
          <w:sz w:val="24"/>
          <w:szCs w:val="24"/>
        </w:rPr>
        <w:t>i</w:t>
      </w:r>
      <w:r w:rsidRPr="00EE003F">
        <w:rPr>
          <w:rFonts w:ascii="Arial Narrow" w:hAnsi="Arial Narrow" w:cs="FrutigerLTStd-BlackCn"/>
          <w:sz w:val="24"/>
          <w:szCs w:val="24"/>
        </w:rPr>
        <w:t>en el Perú no es un gran país emisor de CO</w:t>
      </w:r>
      <w:r w:rsidRPr="00EE003F">
        <w:rPr>
          <w:rFonts w:ascii="Arial Narrow" w:hAnsi="Arial Narrow" w:cs="FrutigerLTStd-BlackCn"/>
          <w:sz w:val="24"/>
          <w:szCs w:val="24"/>
          <w:vertAlign w:val="subscript"/>
        </w:rPr>
        <w:t>2</w:t>
      </w:r>
      <w:r w:rsidRPr="00EE003F">
        <w:rPr>
          <w:rFonts w:ascii="Arial Narrow" w:hAnsi="Arial Narrow" w:cs="FrutigerLTStd-BlackCn"/>
          <w:sz w:val="24"/>
          <w:szCs w:val="24"/>
        </w:rPr>
        <w:t>, se estima que pasado el 2030 podría alcanzar niveles de entre 5,7 y 8 toneladas de CO</w:t>
      </w:r>
      <w:r w:rsidRPr="00EE003F">
        <w:rPr>
          <w:rFonts w:ascii="Arial Narrow" w:hAnsi="Arial Narrow" w:cs="FrutigerLTStd-BlackCn"/>
          <w:sz w:val="24"/>
          <w:szCs w:val="24"/>
          <w:vertAlign w:val="subscript"/>
        </w:rPr>
        <w:t>2</w:t>
      </w:r>
      <w:r w:rsidRPr="00EE003F">
        <w:rPr>
          <w:rFonts w:ascii="Arial Narrow" w:hAnsi="Arial Narrow" w:cs="FrutigerLTStd-BlackCn"/>
          <w:sz w:val="24"/>
          <w:szCs w:val="24"/>
        </w:rPr>
        <w:t xml:space="preserve"> por persona. Tales valores se acercarían al límite de los países desarrollados, situado en 7 toneladas per cápita debido al incremento del PBI prácticamente por cuatro hacia el 2050 y a la mejora en los ingresos per cápita.</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Finalmente, la evolución de la superficie forestal en el mundo indica que, en general, en las regiones industrializadas esta aumentará entre los años 2000 y 2050 en alrededor de 170 millones de hectáreas. Al mismo tiempo, la superficie forestal en las regiones en desarrollo se reducirá entre 200 y 490 millones de hectáreas, lo que se verá acentuado, además, por las plagas, incendios y fenómenos climáticos de mayor intensidad producto del cambio climático. Tan solo en el periodo 2000-2010 se calcula que la superficie de bosques se redujo en 123 millones de hectáreas, dándose las mayores reducciones en África (-57 millones de hectáreas) y Sudamérica (-55 millones hectáreas).</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Frente a ello, el Proyecto de Planificación ante el Cambio Climático para el Perú (</w:t>
      </w:r>
      <w:proofErr w:type="spellStart"/>
      <w:r w:rsidRPr="00EE003F">
        <w:rPr>
          <w:rFonts w:ascii="Arial Narrow" w:hAnsi="Arial Narrow" w:cs="FrutigerLTStd-BlackCn"/>
          <w:sz w:val="24"/>
          <w:szCs w:val="24"/>
        </w:rPr>
        <w:t>PlanCC</w:t>
      </w:r>
      <w:proofErr w:type="spellEnd"/>
      <w:r w:rsidRPr="00EE003F">
        <w:rPr>
          <w:rFonts w:ascii="Arial Narrow" w:hAnsi="Arial Narrow" w:cs="FrutigerLTStd-BlackCn"/>
          <w:sz w:val="24"/>
          <w:szCs w:val="24"/>
        </w:rPr>
        <w:t>) incide en la importancia de manejar adecuadamente los bosques e implementar medidas de contención que permitan: evitar la pérdida de 2,4 millones de hectáreas</w:t>
      </w:r>
      <w:r w:rsidRPr="00EE003F">
        <w:rPr>
          <w:rStyle w:val="Refdenotaalpie"/>
          <w:rFonts w:ascii="Arial Narrow" w:hAnsi="Arial Narrow" w:cs="FrutigerLTStd-BlackCn"/>
          <w:sz w:val="24"/>
          <w:szCs w:val="24"/>
        </w:rPr>
        <w:footnoteReference w:id="12"/>
      </w:r>
      <w:r w:rsidRPr="00EE003F">
        <w:rPr>
          <w:rFonts w:ascii="Arial Narrow" w:hAnsi="Arial Narrow" w:cs="FrutigerLTStd-BlackCn"/>
          <w:sz w:val="24"/>
          <w:szCs w:val="24"/>
        </w:rPr>
        <w:t xml:space="preserve"> hacia el 2050; otorgar valor a entre 0,5 y 1,9 millones de hectáreas anuales hasta el 2050; e impulsar una serie de industrias conexas que antes estaban subvaloradas o no eran rentables bajo las normativas de desarrollo empresarial</w:t>
      </w:r>
    </w:p>
    <w:p w:rsidR="008E508F" w:rsidRPr="00EE003F" w:rsidRDefault="008E508F" w:rsidP="00970D1C">
      <w:pPr>
        <w:autoSpaceDE w:val="0"/>
        <w:autoSpaceDN w:val="0"/>
        <w:adjustRightInd w:val="0"/>
        <w:spacing w:after="0" w:line="240" w:lineRule="auto"/>
        <w:jc w:val="both"/>
        <w:rPr>
          <w:rFonts w:ascii="Arial Narrow" w:hAnsi="Arial Narrow" w:cs="RotisSemiSans"/>
          <w:sz w:val="24"/>
          <w:szCs w:val="24"/>
          <w:lang w:val="es-ES_tradnl"/>
        </w:rPr>
      </w:pPr>
    </w:p>
    <w:p w:rsidR="00970D1C" w:rsidRPr="00EE003F" w:rsidRDefault="00970D1C" w:rsidP="00970D1C">
      <w:pPr>
        <w:autoSpaceDE w:val="0"/>
        <w:autoSpaceDN w:val="0"/>
        <w:adjustRightInd w:val="0"/>
        <w:spacing w:after="0" w:line="240" w:lineRule="auto"/>
        <w:jc w:val="both"/>
        <w:rPr>
          <w:rFonts w:cs="RotisSemiSans"/>
          <w:b/>
          <w:sz w:val="28"/>
          <w:szCs w:val="24"/>
          <w:lang w:val="es-ES_tradnl"/>
        </w:rPr>
      </w:pPr>
      <w:r w:rsidRPr="00EE003F">
        <w:rPr>
          <w:rFonts w:cs="RotisSemiSans"/>
          <w:b/>
          <w:sz w:val="28"/>
          <w:szCs w:val="24"/>
          <w:lang w:val="es-ES_tradnl"/>
        </w:rPr>
        <w:t>El Perú del 2021 en el contexto de la economía mundial y regional</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A pesar de la caída de los precios de los </w:t>
      </w:r>
      <w:proofErr w:type="spellStart"/>
      <w:r w:rsidRPr="00EE003F">
        <w:rPr>
          <w:rFonts w:ascii="Arial Narrow" w:hAnsi="Arial Narrow" w:cs="FrutigerLTStd-BlackCn"/>
          <w:sz w:val="24"/>
          <w:szCs w:val="24"/>
        </w:rPr>
        <w:t>commodities</w:t>
      </w:r>
      <w:proofErr w:type="spellEnd"/>
      <w:r w:rsidRPr="00EE003F">
        <w:rPr>
          <w:rFonts w:ascii="Arial Narrow" w:hAnsi="Arial Narrow" w:cs="FrutigerLTStd-BlackCn"/>
          <w:sz w:val="24"/>
          <w:szCs w:val="24"/>
        </w:rPr>
        <w:t>, según la EIU</w:t>
      </w:r>
      <w:r w:rsidRPr="00EE003F">
        <w:rPr>
          <w:rStyle w:val="Refdenotaalpie"/>
          <w:rFonts w:ascii="Arial Narrow" w:hAnsi="Arial Narrow" w:cs="FrutigerLTStd-BlackCn"/>
          <w:sz w:val="24"/>
          <w:szCs w:val="24"/>
        </w:rPr>
        <w:footnoteReference w:id="13"/>
      </w:r>
      <w:r w:rsidRPr="00EE003F">
        <w:rPr>
          <w:rFonts w:ascii="Arial Narrow" w:hAnsi="Arial Narrow" w:cs="FrutigerLTStd-BlackCn"/>
          <w:sz w:val="24"/>
          <w:szCs w:val="24"/>
        </w:rPr>
        <w:t xml:space="preserve">, la fortaleza de la política fiscal, la política cambiaria, el foco en el incremento de exportaciones no tradicionales, así como la política de diversificación productiva, serían los que mantendrían a flote el crecimiento de países como el Perú, que aún basan su crecimiento en la exportación de materias primas. Asimismo, de acuerdo con la revista británica </w:t>
      </w:r>
      <w:proofErr w:type="spellStart"/>
      <w:r w:rsidRPr="00EE003F">
        <w:rPr>
          <w:rFonts w:ascii="Arial Narrow" w:hAnsi="Arial Narrow" w:cs="FrutigerLTStd-BlackCn"/>
          <w:i/>
          <w:sz w:val="24"/>
          <w:szCs w:val="24"/>
        </w:rPr>
        <w:t>The</w:t>
      </w:r>
      <w:proofErr w:type="spellEnd"/>
      <w:r w:rsidRPr="00EE003F">
        <w:rPr>
          <w:rFonts w:ascii="Arial Narrow" w:hAnsi="Arial Narrow" w:cs="FrutigerLTStd-BlackCn"/>
          <w:i/>
          <w:sz w:val="24"/>
          <w:szCs w:val="24"/>
        </w:rPr>
        <w:t xml:space="preserve"> </w:t>
      </w:r>
      <w:proofErr w:type="spellStart"/>
      <w:r w:rsidRPr="00EE003F">
        <w:rPr>
          <w:rFonts w:ascii="Arial Narrow" w:hAnsi="Arial Narrow" w:cs="FrutigerLTStd-BlackCn"/>
          <w:i/>
          <w:sz w:val="24"/>
          <w:szCs w:val="24"/>
        </w:rPr>
        <w:t>Economist</w:t>
      </w:r>
      <w:proofErr w:type="spellEnd"/>
      <w:r w:rsidRPr="00EE003F">
        <w:rPr>
          <w:rFonts w:ascii="Arial Narrow" w:hAnsi="Arial Narrow" w:cs="FrutigerLTStd-BlackCn"/>
          <w:sz w:val="24"/>
          <w:szCs w:val="24"/>
        </w:rPr>
        <w:t xml:space="preserve">, la economía mundial en el año 2020 será dos tercios más grande de lo que era en el año 2005. La participación de Asia no variará significativamente entre el 2015 y el 2021, representando 23,0% </w:t>
      </w:r>
      <w:r w:rsidR="00C4574E" w:rsidRPr="00EE003F">
        <w:rPr>
          <w:rFonts w:ascii="Arial Narrow" w:hAnsi="Arial Narrow" w:cs="FrutigerLTStd-BlackCn"/>
          <w:sz w:val="24"/>
          <w:szCs w:val="24"/>
        </w:rPr>
        <w:t>del PBI mundial en el 2021 (0.2 puntos porcentuales</w:t>
      </w:r>
      <w:r w:rsidRPr="00EE003F">
        <w:rPr>
          <w:rFonts w:ascii="Arial Narrow" w:hAnsi="Arial Narrow" w:cs="FrutigerLTStd-BlackCn"/>
          <w:sz w:val="24"/>
          <w:szCs w:val="24"/>
        </w:rPr>
        <w:t xml:space="preserve"> menos).</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482535" w:rsidRPr="00EE003F" w:rsidRDefault="00482535"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cs="FrutigerLTStd-BlackCn"/>
          <w:noProof/>
          <w:sz w:val="24"/>
          <w:szCs w:val="24"/>
          <w:lang w:eastAsia="es-PE"/>
        </w:rPr>
        <w:drawing>
          <wp:inline distT="0" distB="0" distL="0" distR="0" wp14:anchorId="1AAF1CA0" wp14:editId="4AE9E48A">
            <wp:extent cx="5041408" cy="2794958"/>
            <wp:effectExtent l="0" t="0" r="6985"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184" cy="2793725"/>
                    </a:xfrm>
                    <a:prstGeom prst="rect">
                      <a:avLst/>
                    </a:prstGeom>
                    <a:noFill/>
                  </pic:spPr>
                </pic:pic>
              </a:graphicData>
            </a:graphic>
          </wp:inline>
        </w:drawing>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Así, el PBI global crecería un total acumulado de 19,8% entre el 2015 y el 2021, impulsado principalmente por China e India, con crecimiento acumulado de 3</w:t>
      </w:r>
      <w:r w:rsidR="00482535" w:rsidRPr="00EE003F">
        <w:rPr>
          <w:rFonts w:ascii="Arial Narrow" w:hAnsi="Arial Narrow" w:cs="FrutigerLTStd-BlackCn"/>
          <w:sz w:val="24"/>
          <w:szCs w:val="24"/>
        </w:rPr>
        <w:t>4,7</w:t>
      </w:r>
      <w:r w:rsidRPr="00EE003F">
        <w:rPr>
          <w:rFonts w:ascii="Arial Narrow" w:hAnsi="Arial Narrow" w:cs="FrutigerLTStd-BlackCn"/>
          <w:sz w:val="24"/>
          <w:szCs w:val="24"/>
        </w:rPr>
        <w:t>% en el mismo periodo. En segundo lugar, África se consolidaría como la segunda región de mayor crecimiento (27</w:t>
      </w:r>
      <w:r w:rsidR="00482535" w:rsidRPr="00EE003F">
        <w:rPr>
          <w:rFonts w:ascii="Arial Narrow" w:hAnsi="Arial Narrow" w:cs="FrutigerLTStd-BlackCn"/>
          <w:sz w:val="24"/>
          <w:szCs w:val="24"/>
        </w:rPr>
        <w:t>,3</w:t>
      </w:r>
      <w:r w:rsidRPr="00EE003F">
        <w:rPr>
          <w:rFonts w:ascii="Arial Narrow" w:hAnsi="Arial Narrow" w:cs="FrutigerLTStd-BlackCn"/>
          <w:sz w:val="24"/>
          <w:szCs w:val="24"/>
        </w:rPr>
        <w:t xml:space="preserve">% acumulado), impulsado no sólo por el crecimiento de la población sino por la inversión en infraestructura que vienen realizando. América del Sur crecería a una velocidad promedio cercana al </w:t>
      </w:r>
      <w:r w:rsidR="00482535" w:rsidRPr="00EE003F">
        <w:rPr>
          <w:rFonts w:ascii="Arial Narrow" w:hAnsi="Arial Narrow" w:cs="FrutigerLTStd-BlackCn"/>
          <w:sz w:val="24"/>
          <w:szCs w:val="24"/>
        </w:rPr>
        <w:t>2,2</w:t>
      </w:r>
      <w:r w:rsidRPr="00EE003F">
        <w:rPr>
          <w:rFonts w:ascii="Arial Narrow" w:hAnsi="Arial Narrow" w:cs="FrutigerLTStd-BlackCn"/>
          <w:sz w:val="24"/>
          <w:szCs w:val="24"/>
        </w:rPr>
        <w:t xml:space="preserve">% anual, lo que hace un total acumulado de </w:t>
      </w:r>
      <w:r w:rsidR="00482535" w:rsidRPr="00EE003F">
        <w:rPr>
          <w:rFonts w:ascii="Arial Narrow" w:hAnsi="Arial Narrow" w:cs="FrutigerLTStd-BlackCn"/>
          <w:sz w:val="24"/>
          <w:szCs w:val="24"/>
        </w:rPr>
        <w:t>13,7</w:t>
      </w:r>
      <w:r w:rsidRPr="00EE003F">
        <w:rPr>
          <w:rFonts w:ascii="Arial Narrow" w:hAnsi="Arial Narrow" w:cs="FrutigerLTStd-BlackCn"/>
          <w:sz w:val="24"/>
          <w:szCs w:val="24"/>
        </w:rPr>
        <w:t>% entre los años 201</w:t>
      </w:r>
      <w:r w:rsidR="00482535" w:rsidRPr="00EE003F">
        <w:rPr>
          <w:rFonts w:ascii="Arial Narrow" w:hAnsi="Arial Narrow" w:cs="FrutigerLTStd-BlackCn"/>
          <w:sz w:val="24"/>
          <w:szCs w:val="24"/>
        </w:rPr>
        <w:t>5</w:t>
      </w:r>
      <w:r w:rsidRPr="00EE003F">
        <w:rPr>
          <w:rFonts w:ascii="Arial Narrow" w:hAnsi="Arial Narrow" w:cs="FrutigerLTStd-BlackCn"/>
          <w:sz w:val="24"/>
          <w:szCs w:val="24"/>
        </w:rPr>
        <w:t xml:space="preserve"> y 2021. </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El Perú: una economía en fuerte expansión a nivel regional</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Hacia el 2021, Brasil seguirá siendo la mayor economía de la región sudamericana, con un PBI de US$ 34</w:t>
      </w:r>
      <w:r w:rsidR="00A547C9" w:rsidRPr="00EE003F">
        <w:rPr>
          <w:rFonts w:ascii="Arial Narrow" w:hAnsi="Arial Narrow" w:cs="FrutigerLTStd-BlackCn"/>
          <w:sz w:val="24"/>
          <w:szCs w:val="24"/>
        </w:rPr>
        <w:t>00</w:t>
      </w:r>
      <w:r w:rsidRPr="00EE003F">
        <w:rPr>
          <w:rFonts w:ascii="Arial Narrow" w:hAnsi="Arial Narrow" w:cs="FrutigerLTStd-BlackCn"/>
          <w:sz w:val="24"/>
          <w:szCs w:val="24"/>
        </w:rPr>
        <w:t xml:space="preserve"> </w:t>
      </w:r>
      <w:r w:rsidR="00A547C9" w:rsidRPr="00EE003F">
        <w:rPr>
          <w:rFonts w:ascii="Arial Narrow" w:hAnsi="Arial Narrow" w:cs="FrutigerLTStd-BlackCn"/>
          <w:sz w:val="24"/>
          <w:szCs w:val="24"/>
        </w:rPr>
        <w:t xml:space="preserve">miles de millones </w:t>
      </w:r>
      <w:r w:rsidRPr="00EE003F">
        <w:rPr>
          <w:rFonts w:ascii="Arial Narrow" w:hAnsi="Arial Narrow" w:cs="FrutigerLTStd-BlackCn"/>
          <w:sz w:val="24"/>
          <w:szCs w:val="24"/>
        </w:rPr>
        <w:t>de dólares (PPP, dólares de 2011). Por su parte, el Perú probablemente tendrá un PBI cercano a los US$ 476 miles de millones (PPP, dólares de 2011).</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3869E9" w:rsidRPr="00EE003F" w:rsidRDefault="003869E9"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cs="FrutigerLTStd-BlackCn"/>
          <w:noProof/>
          <w:sz w:val="24"/>
          <w:szCs w:val="24"/>
          <w:lang w:eastAsia="es-PE"/>
        </w:rPr>
        <w:drawing>
          <wp:inline distT="0" distB="0" distL="0" distR="0" wp14:anchorId="09F167BD" wp14:editId="0D257CD4">
            <wp:extent cx="5331124" cy="2375858"/>
            <wp:effectExtent l="0" t="0" r="3175"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2787" cy="2376599"/>
                    </a:xfrm>
                    <a:prstGeom prst="rect">
                      <a:avLst/>
                    </a:prstGeom>
                    <a:noFill/>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18"/>
          <w:szCs w:val="18"/>
        </w:rPr>
      </w:pPr>
      <w:r w:rsidRPr="00EE003F">
        <w:rPr>
          <w:rFonts w:ascii="Arial Narrow" w:hAnsi="Arial Narrow" w:cs="FrutigerLTStd-BlackCn"/>
          <w:sz w:val="18"/>
          <w:szCs w:val="18"/>
        </w:rPr>
        <w:t xml:space="preserve">Fuente: </w:t>
      </w:r>
      <w:r w:rsidR="003869E9" w:rsidRPr="00EE003F">
        <w:rPr>
          <w:rFonts w:ascii="Arial Narrow" w:hAnsi="Arial Narrow" w:cs="FrutigerLTStd-BlackCn"/>
          <w:sz w:val="18"/>
          <w:szCs w:val="18"/>
        </w:rPr>
        <w:t xml:space="preserve">Banco Mundial, </w:t>
      </w:r>
      <w:r w:rsidRPr="00EE003F">
        <w:rPr>
          <w:rFonts w:ascii="Arial Narrow" w:hAnsi="Arial Narrow" w:cs="FrutigerLTStd-BlackCn"/>
          <w:sz w:val="18"/>
          <w:szCs w:val="18"/>
        </w:rPr>
        <w:t xml:space="preserve">Modelo </w:t>
      </w:r>
      <w:proofErr w:type="spellStart"/>
      <w:r w:rsidRPr="00EE003F">
        <w:rPr>
          <w:rFonts w:ascii="Arial Narrow" w:hAnsi="Arial Narrow" w:cs="FrutigerLTStd-BlackCn"/>
          <w:sz w:val="18"/>
          <w:szCs w:val="18"/>
        </w:rPr>
        <w:t>IFs</w:t>
      </w:r>
      <w:proofErr w:type="spellEnd"/>
      <w:r w:rsidRPr="00EE003F">
        <w:rPr>
          <w:rFonts w:ascii="Arial Narrow" w:hAnsi="Arial Narrow" w:cs="FrutigerLTStd-BlackCn"/>
          <w:sz w:val="18"/>
          <w:szCs w:val="18"/>
        </w:rPr>
        <w:t xml:space="preserve">- </w:t>
      </w:r>
      <w:proofErr w:type="spellStart"/>
      <w:r w:rsidRPr="00EE003F">
        <w:rPr>
          <w:rFonts w:ascii="Arial Narrow" w:hAnsi="Arial Narrow" w:cs="FrutigerLTStd-BlackCn"/>
          <w:sz w:val="18"/>
          <w:szCs w:val="18"/>
        </w:rPr>
        <w:t>Ceplan</w:t>
      </w:r>
      <w:proofErr w:type="spellEnd"/>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El gráfico anterior muestra que la economía del Perú será la primera más dinámica de la región hasta el año 2021, con un crecimiento acumulado de 30%, seguido por  Bolivia (28%) y Colombia (21%). En general, los países de la región no modificarán su posición de participación. </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El crecimiento económico y la productividad de los factores del Perú en el 2021</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El Perú, desde 1990, ha comenzado a exhibir tasas de crecimiento más dinámicas y sostenibles a lo largo del tiempo. Después de la estrepitosa caída del PBI real en la década de los ochentas el país ha recuperado su dinamismo con tasas de crecimiento promedio alrededor del 5% entre 1990 y 2010. Así también, se espera que para la presente década el Perú tenga una tasa de crecimiento promedio de 4,3%, superior al crecimiento promedio de Sudamérica (3,3%).</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E952A6"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cs="FrutigerLTStd-BlackCn"/>
          <w:noProof/>
          <w:sz w:val="24"/>
          <w:szCs w:val="24"/>
          <w:lang w:eastAsia="es-PE"/>
        </w:rPr>
        <w:drawing>
          <wp:inline distT="0" distB="0" distL="0" distR="0" wp14:anchorId="72328936" wp14:editId="17C6BF4D">
            <wp:extent cx="5350864" cy="2053087"/>
            <wp:effectExtent l="0" t="0" r="254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2393" cy="2053674"/>
                    </a:xfrm>
                    <a:prstGeom prst="rect">
                      <a:avLst/>
                    </a:prstGeom>
                    <a:noFill/>
                  </pic:spPr>
                </pic:pic>
              </a:graphicData>
            </a:graphic>
          </wp:inline>
        </w:drawing>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No obstante el crecimiento exhibido por la economía, resulta fundamental analizar cuánto de ese crecimiento proyectado proviene por ganancias en la productividad de los factores. Al respecto, la teoría económica clásica sostiene que el crecimiento económico de los países proviene de tres fuentes importantes: el trabajo, medido por el empleo; el capital, medido por la capacidad instalada en la economía (por ejemplo, fábricas, maquinaria, infraestructura, etc.); y el restante del crecimiento proviene de la productividad que los factores productivos aportan al crecimiento impulsados por las mejoras tecnológicas (residuo de </w:t>
      </w:r>
      <w:proofErr w:type="spellStart"/>
      <w:r w:rsidRPr="00EE003F">
        <w:rPr>
          <w:rFonts w:ascii="Arial Narrow" w:hAnsi="Arial Narrow" w:cs="FrutigerLTStd-BlackCn"/>
          <w:sz w:val="24"/>
          <w:szCs w:val="24"/>
        </w:rPr>
        <w:t>Solow</w:t>
      </w:r>
      <w:proofErr w:type="spellEnd"/>
      <w:r w:rsidRPr="00EE003F">
        <w:rPr>
          <w:rFonts w:ascii="Arial Narrow" w:hAnsi="Arial Narrow" w:cs="FrutigerLTStd-BlackCn"/>
          <w:sz w:val="24"/>
          <w:szCs w:val="24"/>
        </w:rPr>
        <w:t>).</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Históricamente se ha observado que el PBI en Paridad de Poder Adquisitivo, en dólares constantes del 2011</w:t>
      </w:r>
      <w:r w:rsidR="00A355A6" w:rsidRPr="00EE003F">
        <w:rPr>
          <w:rFonts w:ascii="Arial Narrow" w:hAnsi="Arial Narrow" w:cs="FrutigerLTStd-BlackCn"/>
          <w:sz w:val="24"/>
          <w:szCs w:val="24"/>
        </w:rPr>
        <w:t>,</w:t>
      </w:r>
      <w:r w:rsidRPr="00EE003F">
        <w:rPr>
          <w:rFonts w:ascii="Arial Narrow" w:hAnsi="Arial Narrow" w:cs="FrutigerLTStd-BlackCn"/>
          <w:sz w:val="24"/>
          <w:szCs w:val="24"/>
        </w:rPr>
        <w:t xml:space="preserve"> ha crecido entre el año 1990 y 2014 en </w:t>
      </w:r>
      <w:r w:rsidR="00E952A6" w:rsidRPr="00EE003F">
        <w:rPr>
          <w:rFonts w:ascii="Arial Narrow" w:hAnsi="Arial Narrow" w:cs="FrutigerLTStd-BlackCn"/>
          <w:sz w:val="24"/>
          <w:szCs w:val="24"/>
        </w:rPr>
        <w:t>157</w:t>
      </w:r>
      <w:r w:rsidRPr="00EE003F">
        <w:rPr>
          <w:rFonts w:ascii="Arial Narrow" w:hAnsi="Arial Narrow" w:cs="FrutigerLTStd-BlackCn"/>
          <w:sz w:val="24"/>
          <w:szCs w:val="24"/>
        </w:rPr>
        <w:t xml:space="preserve">% (PPP), pasando de </w:t>
      </w:r>
      <w:r w:rsidR="00E952A6" w:rsidRPr="00EE003F">
        <w:rPr>
          <w:rFonts w:ascii="Arial Narrow" w:hAnsi="Arial Narrow" w:cs="FrutigerLTStd-BlackCn"/>
          <w:sz w:val="24"/>
          <w:szCs w:val="24"/>
        </w:rPr>
        <w:t xml:space="preserve">138 </w:t>
      </w:r>
      <w:r w:rsidRPr="00EE003F">
        <w:rPr>
          <w:rFonts w:ascii="Arial Narrow" w:hAnsi="Arial Narrow" w:cs="FrutigerLTStd-BlackCn"/>
          <w:sz w:val="24"/>
          <w:szCs w:val="24"/>
        </w:rPr>
        <w:t>mil millones de dólares a 35</w:t>
      </w:r>
      <w:r w:rsidR="00E952A6" w:rsidRPr="00EE003F">
        <w:rPr>
          <w:rFonts w:ascii="Arial Narrow" w:hAnsi="Arial Narrow" w:cs="FrutigerLTStd-BlackCn"/>
          <w:sz w:val="24"/>
          <w:szCs w:val="24"/>
        </w:rPr>
        <w:t>4</w:t>
      </w:r>
      <w:r w:rsidRPr="00EE003F">
        <w:rPr>
          <w:rFonts w:ascii="Arial Narrow" w:hAnsi="Arial Narrow" w:cs="FrutigerLTStd-BlackCn"/>
          <w:sz w:val="24"/>
          <w:szCs w:val="24"/>
        </w:rPr>
        <w:t xml:space="preserve"> mil millones de dólares. Este crecimiento del </w:t>
      </w:r>
      <w:r w:rsidR="00A355A6" w:rsidRPr="00EE003F">
        <w:rPr>
          <w:rFonts w:ascii="Arial Narrow" w:hAnsi="Arial Narrow" w:cs="FrutigerLTStd-BlackCn"/>
          <w:sz w:val="24"/>
          <w:szCs w:val="24"/>
        </w:rPr>
        <w:t>PBI</w:t>
      </w:r>
      <w:r w:rsidRPr="00EE003F">
        <w:rPr>
          <w:rFonts w:ascii="Arial Narrow" w:hAnsi="Arial Narrow" w:cs="FrutigerLTStd-BlackCn"/>
          <w:sz w:val="24"/>
          <w:szCs w:val="24"/>
        </w:rPr>
        <w:t xml:space="preserve"> es consecuencia del crecimiento del mercado con la liberalización de la economía, el favorable contexto internacional que creó las condiciones necesarias para que las actividades económicas del país comiencen un proceso de crecimiento dinámico y estable, lo que tuvo como resultado un aumento en las necesidades de empleo. </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spacing w:line="240" w:lineRule="auto"/>
        <w:jc w:val="both"/>
        <w:rPr>
          <w:rFonts w:ascii="Arial Narrow" w:hAnsi="Arial Narrow"/>
          <w:b/>
          <w:sz w:val="24"/>
          <w:szCs w:val="24"/>
        </w:rPr>
      </w:pPr>
      <w:r w:rsidRPr="00EE003F">
        <w:rPr>
          <w:rFonts w:ascii="Arial Narrow" w:hAnsi="Arial Narrow"/>
          <w:b/>
          <w:sz w:val="24"/>
          <w:szCs w:val="24"/>
        </w:rPr>
        <w:t>Contabilidad del crecimiento</w:t>
      </w:r>
    </w:p>
    <w:p w:rsidR="00970D1C" w:rsidRPr="00EE003F" w:rsidRDefault="00970D1C" w:rsidP="008E508F">
      <w:pPr>
        <w:spacing w:before="120" w:after="0" w:line="240" w:lineRule="auto"/>
        <w:jc w:val="both"/>
        <w:rPr>
          <w:rFonts w:ascii="Arial Narrow" w:hAnsi="Arial Narrow"/>
          <w:sz w:val="24"/>
          <w:szCs w:val="24"/>
        </w:rPr>
      </w:pPr>
      <w:r w:rsidRPr="00EE003F">
        <w:rPr>
          <w:rFonts w:ascii="Arial Narrow" w:hAnsi="Arial Narrow"/>
          <w:sz w:val="24"/>
          <w:szCs w:val="24"/>
        </w:rPr>
        <w:t xml:space="preserve">Una descomposición sencilla del crecimiento en acciones de capital, trabajo y la productividad total de los factores (PTF) muestra que, en los últimos cincuenta años, los aportes de capital y trabajo se han mantenido relativamente estables, mientras que la PTF presenta una volatilidad considerable. Si bien existen oportunidades para un crecimiento significativo del capital y la productividad del trabajo, ambos están altamente marcados por la </w:t>
      </w:r>
      <w:r w:rsidR="00AC328D" w:rsidRPr="00EE003F">
        <w:rPr>
          <w:rFonts w:ascii="Arial Narrow" w:hAnsi="Arial Narrow"/>
          <w:sz w:val="24"/>
          <w:szCs w:val="24"/>
        </w:rPr>
        <w:t xml:space="preserve">tendencia </w:t>
      </w:r>
      <w:r w:rsidRPr="00EE003F">
        <w:rPr>
          <w:rFonts w:ascii="Arial Narrow" w:hAnsi="Arial Narrow"/>
          <w:sz w:val="24"/>
          <w:szCs w:val="24"/>
        </w:rPr>
        <w:t>histórica. Según el siguiente gráfico, a partir de inicios de los noventa, las contribuciones de la productividad agregada al crecimiento económico han seguido una tendencia creciente.</w:t>
      </w:r>
    </w:p>
    <w:p w:rsidR="008E508F" w:rsidRPr="00EE003F" w:rsidRDefault="008E508F" w:rsidP="008E508F">
      <w:pPr>
        <w:spacing w:before="120" w:after="0" w:line="240" w:lineRule="auto"/>
        <w:jc w:val="both"/>
        <w:rPr>
          <w:rFonts w:ascii="Arial Narrow" w:hAnsi="Arial Narrow"/>
          <w:sz w:val="24"/>
          <w:szCs w:val="24"/>
        </w:rPr>
      </w:pPr>
    </w:p>
    <w:p w:rsidR="00970D1C" w:rsidRPr="00EE003F" w:rsidRDefault="00970D1C" w:rsidP="00970D1C">
      <w:pPr>
        <w:spacing w:line="240" w:lineRule="auto"/>
        <w:rPr>
          <w:rFonts w:ascii="Arial Narrow" w:hAnsi="Arial Narrow"/>
          <w:sz w:val="24"/>
          <w:szCs w:val="24"/>
        </w:rPr>
      </w:pPr>
      <w:r w:rsidRPr="00EE003F">
        <w:rPr>
          <w:rFonts w:ascii="Arial Narrow" w:hAnsi="Arial Narrow"/>
          <w:noProof/>
          <w:sz w:val="24"/>
          <w:szCs w:val="24"/>
          <w:lang w:eastAsia="es-PE"/>
        </w:rPr>
        <w:drawing>
          <wp:inline distT="0" distB="0" distL="0" distR="0" wp14:anchorId="3EA5A8FE" wp14:editId="7450DEB4">
            <wp:extent cx="4253865" cy="2981960"/>
            <wp:effectExtent l="0" t="0" r="0" b="889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3865" cy="2981960"/>
                    </a:xfrm>
                    <a:prstGeom prst="rect">
                      <a:avLst/>
                    </a:prstGeom>
                    <a:noFill/>
                    <a:ln>
                      <a:noFill/>
                    </a:ln>
                  </pic:spPr>
                </pic:pic>
              </a:graphicData>
            </a:graphic>
          </wp:inline>
        </w:drawing>
      </w:r>
    </w:p>
    <w:p w:rsidR="00970D1C" w:rsidRPr="00EE003F" w:rsidRDefault="00970D1C" w:rsidP="00970D1C">
      <w:pPr>
        <w:spacing w:line="240" w:lineRule="auto"/>
        <w:rPr>
          <w:rFonts w:ascii="Arial Narrow" w:hAnsi="Arial Narrow"/>
          <w:b/>
          <w:sz w:val="24"/>
          <w:szCs w:val="24"/>
        </w:rPr>
      </w:pPr>
      <w:r w:rsidRPr="00EE003F">
        <w:rPr>
          <w:rFonts w:ascii="Arial Narrow" w:hAnsi="Arial Narrow"/>
          <w:b/>
          <w:sz w:val="24"/>
          <w:szCs w:val="24"/>
        </w:rPr>
        <w:t>Contribución al crecimiento de la productividad total de los factores (PTF)</w:t>
      </w:r>
    </w:p>
    <w:p w:rsidR="00970D1C" w:rsidRPr="00EE003F" w:rsidRDefault="00970D1C" w:rsidP="008E508F">
      <w:pPr>
        <w:spacing w:before="120" w:after="0" w:line="240" w:lineRule="auto"/>
        <w:jc w:val="both"/>
        <w:rPr>
          <w:rFonts w:ascii="Arial Narrow" w:hAnsi="Arial Narrow"/>
          <w:sz w:val="24"/>
          <w:szCs w:val="24"/>
        </w:rPr>
      </w:pPr>
      <w:r w:rsidRPr="00EE003F">
        <w:rPr>
          <w:rFonts w:ascii="Arial Narrow" w:hAnsi="Arial Narrow"/>
          <w:sz w:val="24"/>
          <w:szCs w:val="24"/>
        </w:rPr>
        <w:t>Usualmente, los cambios en la productividad total de los factores son atribuidos a efectos que impactan en la tecnología. Sin embargo, las mejoras en la eficiencia institucional, el conocimiento, el incremento en el capital humano, el acceso a la energía, la sofisticación económica, la mejora del empleo formal, entre otros, pueden repercutir positivamente en la productividad total de los factores. Por ello, el Plan Estratégico de Desarrollo Nacional se alinea con el Plan Nacional de Diversificación Productiva, el cual tiene como objetivo principal impulsar el crecimiento de mediano y largo plazo a través de una mejora en la capacidad productiva. Así, bajo procesos de innovación y políticas de diversificación productiva, se puede mantener el crecimiento económico sostenido a largo plazo.</w:t>
      </w:r>
    </w:p>
    <w:p w:rsidR="00970D1C" w:rsidRPr="00EE003F" w:rsidRDefault="00970D1C" w:rsidP="00970D1C">
      <w:pPr>
        <w:spacing w:line="240" w:lineRule="auto"/>
        <w:rPr>
          <w:rFonts w:ascii="Arial Narrow" w:hAnsi="Arial Narrow"/>
          <w:sz w:val="24"/>
          <w:szCs w:val="24"/>
        </w:rPr>
      </w:pPr>
    </w:p>
    <w:tbl>
      <w:tblPr>
        <w:tblStyle w:val="Tablaconcuadrcula"/>
        <w:tblW w:w="0" w:type="auto"/>
        <w:tblLook w:val="04A0" w:firstRow="1" w:lastRow="0" w:firstColumn="1" w:lastColumn="0" w:noHBand="0" w:noVBand="1"/>
      </w:tblPr>
      <w:tblGrid>
        <w:gridCol w:w="8721"/>
      </w:tblGrid>
      <w:tr w:rsidR="006E3336" w:rsidRPr="00EE003F" w:rsidTr="00970D1C">
        <w:tc>
          <w:tcPr>
            <w:tcW w:w="8978" w:type="dxa"/>
          </w:tcPr>
          <w:p w:rsidR="00970D1C" w:rsidRPr="00EE003F" w:rsidRDefault="00970D1C" w:rsidP="00970D1C">
            <w:pPr>
              <w:jc w:val="center"/>
              <w:rPr>
                <w:rFonts w:ascii="Arial Narrow" w:hAnsi="Arial Narrow"/>
                <w:b/>
                <w:sz w:val="24"/>
                <w:szCs w:val="24"/>
              </w:rPr>
            </w:pPr>
            <w:r w:rsidRPr="00EE003F">
              <w:rPr>
                <w:rFonts w:ascii="Arial Narrow" w:hAnsi="Arial Narrow"/>
                <w:b/>
                <w:sz w:val="24"/>
                <w:szCs w:val="24"/>
              </w:rPr>
              <w:t>Descomposición del crecimiento</w:t>
            </w:r>
          </w:p>
          <w:p w:rsidR="00970D1C" w:rsidRPr="00EE003F" w:rsidRDefault="00970D1C" w:rsidP="00970D1C">
            <w:pPr>
              <w:jc w:val="center"/>
              <w:rPr>
                <w:rFonts w:ascii="Arial Narrow" w:hAnsi="Arial Narrow"/>
                <w:b/>
                <w:sz w:val="24"/>
                <w:szCs w:val="24"/>
              </w:rPr>
            </w:pPr>
          </w:p>
          <w:p w:rsidR="00970D1C" w:rsidRPr="00EE003F" w:rsidRDefault="00970D1C" w:rsidP="00970D1C">
            <w:pPr>
              <w:rPr>
                <w:rFonts w:ascii="Arial Narrow" w:hAnsi="Arial Narrow"/>
                <w:sz w:val="24"/>
                <w:szCs w:val="24"/>
              </w:rPr>
            </w:pPr>
            <w:r w:rsidRPr="00EE003F">
              <w:rPr>
                <w:rFonts w:ascii="Arial Narrow" w:hAnsi="Arial Narrow"/>
                <w:sz w:val="24"/>
                <w:szCs w:val="24"/>
              </w:rPr>
              <w:t xml:space="preserve">La función de producción </w:t>
            </w:r>
            <w:proofErr w:type="spellStart"/>
            <w:r w:rsidRPr="00EE003F">
              <w:rPr>
                <w:rFonts w:ascii="Arial Narrow" w:hAnsi="Arial Narrow"/>
                <w:sz w:val="24"/>
                <w:szCs w:val="24"/>
              </w:rPr>
              <w:t>Cobb</w:t>
            </w:r>
            <w:proofErr w:type="spellEnd"/>
            <w:r w:rsidRPr="00EE003F">
              <w:rPr>
                <w:rFonts w:ascii="Arial Narrow" w:hAnsi="Arial Narrow"/>
                <w:sz w:val="24"/>
                <w:szCs w:val="24"/>
              </w:rPr>
              <w:t>-Douglas asume que el crecimiento económico depende del capital, trabajo y la productividad de los factores; formalmente viene dado por la siguiente ecuación:</w:t>
            </w:r>
          </w:p>
          <w:p w:rsidR="00970D1C" w:rsidRPr="00EE003F" w:rsidRDefault="00970D1C" w:rsidP="00970D1C">
            <w:pPr>
              <w:rPr>
                <w:rFonts w:ascii="Arial Narrow" w:hAnsi="Arial Narrow"/>
                <w:sz w:val="24"/>
                <w:szCs w:val="24"/>
              </w:rPr>
            </w:pPr>
          </w:p>
          <w:p w:rsidR="00970D1C" w:rsidRPr="00EE003F" w:rsidRDefault="00505193" w:rsidP="00970D1C">
            <w:pPr>
              <w:jc w:val="center"/>
              <w:rPr>
                <w:rFonts w:ascii="Arial Narrow" w:hAnsi="Arial Narrow"/>
                <w:sz w:val="24"/>
                <w:szCs w:val="24"/>
              </w:rPr>
            </w:pPr>
            <m:oMath>
              <m:r>
                <w:rPr>
                  <w:rFonts w:ascii="Cambria Math" w:hAnsi="Cambria Math"/>
                  <w:sz w:val="24"/>
                  <w:szCs w:val="24"/>
                </w:rPr>
                <m:t>Y=A</m:t>
              </m:r>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cs="Cambria Math"/>
                      <w:sz w:val="24"/>
                      <w:szCs w:val="24"/>
                    </w:rPr>
                    <m:t>α</m:t>
                  </m:r>
                </m:sup>
              </m:sSup>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cs="Calibri"/>
                      <w:sz w:val="24"/>
                      <w:szCs w:val="24"/>
                    </w:rPr>
                    <m:t>β</m:t>
                  </m:r>
                </m:sup>
              </m:sSup>
            </m:oMath>
            <w:r w:rsidRPr="00EE003F">
              <w:rPr>
                <w:rFonts w:ascii="Arial Narrow" w:hAnsi="Arial Narrow"/>
                <w:sz w:val="24"/>
                <w:szCs w:val="24"/>
              </w:rPr>
              <w:t xml:space="preserve"> </w:t>
            </w:r>
          </w:p>
          <w:p w:rsidR="00970D1C" w:rsidRPr="00EE003F" w:rsidRDefault="00970D1C" w:rsidP="00970D1C">
            <w:pPr>
              <w:jc w:val="center"/>
              <w:rPr>
                <w:rFonts w:ascii="Arial Narrow" w:hAnsi="Arial Narrow"/>
                <w:sz w:val="24"/>
                <w:szCs w:val="24"/>
              </w:rPr>
            </w:pPr>
          </w:p>
          <w:p w:rsidR="00970D1C" w:rsidRPr="00EE003F" w:rsidRDefault="00970D1C" w:rsidP="00970D1C">
            <w:pPr>
              <w:rPr>
                <w:rFonts w:ascii="Arial Narrow" w:hAnsi="Arial Narrow"/>
                <w:sz w:val="24"/>
                <w:szCs w:val="24"/>
              </w:rPr>
            </w:pPr>
            <w:proofErr w:type="gramStart"/>
            <w:r w:rsidRPr="00EE003F">
              <w:rPr>
                <w:rFonts w:ascii="Arial Narrow" w:hAnsi="Arial Narrow"/>
                <w:sz w:val="24"/>
                <w:szCs w:val="24"/>
              </w:rPr>
              <w:t>donde</w:t>
            </w:r>
            <w:proofErr w:type="gramEnd"/>
            <w:r w:rsidRPr="00EE003F">
              <w:rPr>
                <w:rFonts w:ascii="Arial Narrow" w:hAnsi="Arial Narrow"/>
                <w:sz w:val="24"/>
                <w:szCs w:val="24"/>
              </w:rPr>
              <w:t xml:space="preserve"> Y es el PBI, K y L son el capital y el trabajo, respectivamente, y A es el residuo de </w:t>
            </w:r>
            <w:proofErr w:type="spellStart"/>
            <w:r w:rsidRPr="00EE003F">
              <w:rPr>
                <w:rFonts w:ascii="Arial Narrow" w:hAnsi="Arial Narrow"/>
                <w:sz w:val="24"/>
                <w:szCs w:val="24"/>
              </w:rPr>
              <w:t>Solow</w:t>
            </w:r>
            <w:proofErr w:type="spellEnd"/>
            <w:r w:rsidRPr="00EE003F">
              <w:rPr>
                <w:rFonts w:ascii="Arial Narrow" w:hAnsi="Arial Narrow"/>
                <w:sz w:val="24"/>
                <w:szCs w:val="24"/>
              </w:rPr>
              <w:t>, en representación de la productividad total de los factores (PTF). La función anterior supone rendimientos constantes a escala de manera que la participación del capital (</w:t>
            </w:r>
            <m:oMath>
              <m:r>
                <w:rPr>
                  <w:rFonts w:ascii="Cambria Math" w:hAnsi="Cambria Math" w:cs="Cambria Math"/>
                  <w:sz w:val="24"/>
                  <w:szCs w:val="24"/>
                </w:rPr>
                <m:t>α</m:t>
              </m:r>
            </m:oMath>
            <w:r w:rsidRPr="00EE003F">
              <w:rPr>
                <w:rFonts w:ascii="Arial Narrow" w:hAnsi="Arial Narrow"/>
                <w:sz w:val="24"/>
                <w:szCs w:val="24"/>
              </w:rPr>
              <w:t>) se encuentra entre 0 y 1, y la participaci</w:t>
            </w:r>
            <w:r w:rsidRPr="00EE003F">
              <w:rPr>
                <w:rFonts w:ascii="Arial Narrow" w:hAnsi="Arial Narrow" w:cs="Calibri"/>
                <w:sz w:val="24"/>
                <w:szCs w:val="24"/>
              </w:rPr>
              <w:t>ó</w:t>
            </w:r>
            <w:r w:rsidRPr="00EE003F">
              <w:rPr>
                <w:rFonts w:ascii="Arial Narrow" w:hAnsi="Arial Narrow"/>
                <w:sz w:val="24"/>
                <w:szCs w:val="24"/>
              </w:rPr>
              <w:t>n del capital (</w:t>
            </w:r>
            <m:oMath>
              <m:r>
                <w:rPr>
                  <w:rFonts w:ascii="Cambria Math" w:hAnsi="Cambria Math" w:cs="Calibri"/>
                  <w:sz w:val="24"/>
                  <w:szCs w:val="24"/>
                </w:rPr>
                <m:t>β</m:t>
              </m:r>
            </m:oMath>
            <w:r w:rsidRPr="00EE003F">
              <w:rPr>
                <w:rFonts w:ascii="Arial Narrow" w:hAnsi="Arial Narrow"/>
                <w:sz w:val="24"/>
                <w:szCs w:val="24"/>
              </w:rPr>
              <w:t xml:space="preserve">) es igual a 1 - </w:t>
            </w:r>
            <m:oMath>
              <m:r>
                <w:rPr>
                  <w:rFonts w:ascii="Cambria Math" w:hAnsi="Cambria Math"/>
                  <w:sz w:val="24"/>
                  <w:szCs w:val="24"/>
                </w:rPr>
                <m:t>α</m:t>
              </m:r>
            </m:oMath>
            <w:r w:rsidRPr="00EE003F">
              <w:rPr>
                <w:rFonts w:ascii="Arial Narrow" w:hAnsi="Arial Narrow"/>
                <w:sz w:val="24"/>
                <w:szCs w:val="24"/>
              </w:rPr>
              <w:t>.</w:t>
            </w:r>
          </w:p>
          <w:p w:rsidR="00970D1C" w:rsidRPr="00EE003F" w:rsidRDefault="00970D1C" w:rsidP="00970D1C">
            <w:pPr>
              <w:rPr>
                <w:rFonts w:ascii="Arial Narrow" w:hAnsi="Arial Narrow"/>
                <w:sz w:val="24"/>
                <w:szCs w:val="24"/>
              </w:rPr>
            </w:pPr>
          </w:p>
          <w:p w:rsidR="00970D1C" w:rsidRPr="00EE003F" w:rsidRDefault="00970D1C" w:rsidP="00970D1C">
            <w:pPr>
              <w:rPr>
                <w:rFonts w:ascii="Arial Narrow" w:hAnsi="Arial Narrow"/>
                <w:sz w:val="24"/>
                <w:szCs w:val="24"/>
              </w:rPr>
            </w:pPr>
            <w:r w:rsidRPr="00EE003F">
              <w:rPr>
                <w:rFonts w:ascii="Arial Narrow" w:hAnsi="Arial Narrow"/>
                <w:sz w:val="24"/>
                <w:szCs w:val="24"/>
              </w:rPr>
              <w:t xml:space="preserve">De ello se desprende que la variación porcentual del crecimiento se puede expresar mediante la adopción de los logaritmos naturales y diferencias; formalmente: </w:t>
            </w:r>
          </w:p>
          <w:p w:rsidR="00970D1C" w:rsidRPr="00EE003F" w:rsidRDefault="00970D1C" w:rsidP="00970D1C">
            <w:pPr>
              <w:rPr>
                <w:rFonts w:ascii="Arial Narrow" w:hAnsi="Arial Narrow"/>
                <w:sz w:val="24"/>
                <w:szCs w:val="24"/>
              </w:rPr>
            </w:pPr>
          </w:p>
          <w:p w:rsidR="00970D1C" w:rsidRPr="00EE003F" w:rsidRDefault="00970D1C" w:rsidP="00970D1C">
            <w:pPr>
              <w:jc w:val="center"/>
              <w:rPr>
                <w:rFonts w:ascii="Arial Narrow" w:hAnsi="Arial Narrow"/>
                <w:sz w:val="24"/>
                <w:szCs w:val="24"/>
              </w:rPr>
            </w:pPr>
            <w:r w:rsidRPr="00EE003F">
              <w:rPr>
                <w:rFonts w:ascii="Arial Narrow" w:hAnsi="Arial Narrow"/>
                <w:sz w:val="24"/>
                <w:szCs w:val="24"/>
              </w:rPr>
              <w:t xml:space="preserve">Δ%Y=Δ%A + </w:t>
            </w:r>
            <w:proofErr w:type="gramStart"/>
            <w:r w:rsidRPr="00EE003F">
              <w:rPr>
                <w:rFonts w:ascii="Cambria Math" w:hAnsi="Cambria Math" w:cs="Cambria Math"/>
                <w:sz w:val="24"/>
                <w:szCs w:val="24"/>
              </w:rPr>
              <w:t>∝</w:t>
            </w:r>
            <w:r w:rsidRPr="00EE003F">
              <w:rPr>
                <w:rFonts w:ascii="Arial Narrow" w:hAnsi="Arial Narrow"/>
                <w:sz w:val="24"/>
                <w:szCs w:val="24"/>
              </w:rPr>
              <w:t>(</w:t>
            </w:r>
            <w:proofErr w:type="gramEnd"/>
            <w:r w:rsidRPr="00EE003F">
              <w:rPr>
                <w:rFonts w:ascii="Arial Narrow" w:hAnsi="Arial Narrow" w:cs="Calibri"/>
                <w:sz w:val="24"/>
                <w:szCs w:val="24"/>
              </w:rPr>
              <w:t>Δ</w:t>
            </w:r>
            <w:r w:rsidRPr="00EE003F">
              <w:rPr>
                <w:rFonts w:ascii="Arial Narrow" w:hAnsi="Arial Narrow"/>
                <w:sz w:val="24"/>
                <w:szCs w:val="24"/>
              </w:rPr>
              <w:t xml:space="preserve">%K)+ </w:t>
            </w:r>
            <w:r w:rsidRPr="00EE003F">
              <w:rPr>
                <w:rFonts w:ascii="Arial Narrow" w:hAnsi="Arial Narrow" w:cs="Calibri"/>
                <w:sz w:val="24"/>
                <w:szCs w:val="24"/>
              </w:rPr>
              <w:t>β</w:t>
            </w:r>
            <w:r w:rsidRPr="00EE003F">
              <w:rPr>
                <w:rFonts w:ascii="Arial Narrow" w:hAnsi="Arial Narrow"/>
                <w:sz w:val="24"/>
                <w:szCs w:val="24"/>
              </w:rPr>
              <w:t>(</w:t>
            </w:r>
            <w:r w:rsidRPr="00EE003F">
              <w:rPr>
                <w:rFonts w:ascii="Arial Narrow" w:hAnsi="Arial Narrow" w:cs="Calibri"/>
                <w:sz w:val="24"/>
                <w:szCs w:val="24"/>
              </w:rPr>
              <w:t>Δ</w:t>
            </w:r>
            <w:r w:rsidRPr="00EE003F">
              <w:rPr>
                <w:rFonts w:ascii="Arial Narrow" w:hAnsi="Arial Narrow"/>
                <w:sz w:val="24"/>
                <w:szCs w:val="24"/>
              </w:rPr>
              <w:t>%L) .</w:t>
            </w:r>
          </w:p>
          <w:p w:rsidR="00970D1C" w:rsidRPr="00EE003F" w:rsidRDefault="00970D1C" w:rsidP="00970D1C">
            <w:pPr>
              <w:rPr>
                <w:rFonts w:ascii="Arial Narrow" w:hAnsi="Arial Narrow"/>
                <w:sz w:val="24"/>
                <w:szCs w:val="24"/>
              </w:rPr>
            </w:pPr>
          </w:p>
          <w:p w:rsidR="00970D1C" w:rsidRPr="00EE003F" w:rsidRDefault="00970D1C" w:rsidP="00970D1C">
            <w:pPr>
              <w:rPr>
                <w:rFonts w:ascii="Arial Narrow" w:hAnsi="Arial Narrow"/>
                <w:sz w:val="24"/>
                <w:szCs w:val="24"/>
              </w:rPr>
            </w:pPr>
            <w:r w:rsidRPr="00EE003F">
              <w:rPr>
                <w:rFonts w:ascii="Arial Narrow" w:hAnsi="Arial Narrow"/>
                <w:sz w:val="24"/>
                <w:szCs w:val="24"/>
              </w:rPr>
              <w:t xml:space="preserve">En la ecuación anterior, la tasa de crecimiento económico es igual a la suma del cambio porcentual en el residuo de </w:t>
            </w:r>
            <w:proofErr w:type="spellStart"/>
            <w:r w:rsidRPr="00EE003F">
              <w:rPr>
                <w:rFonts w:ascii="Arial Narrow" w:hAnsi="Arial Narrow"/>
                <w:sz w:val="24"/>
                <w:szCs w:val="24"/>
              </w:rPr>
              <w:t>Solow</w:t>
            </w:r>
            <w:proofErr w:type="spellEnd"/>
            <w:r w:rsidRPr="00EE003F">
              <w:rPr>
                <w:rFonts w:ascii="Arial Narrow" w:hAnsi="Arial Narrow"/>
                <w:sz w:val="24"/>
                <w:szCs w:val="24"/>
              </w:rPr>
              <w:t xml:space="preserve"> (PTF) y la variación porcentual de factores de producción por sus respectivas elasticidades.</w:t>
            </w:r>
          </w:p>
          <w:p w:rsidR="00970D1C" w:rsidRPr="00EE003F" w:rsidRDefault="00970D1C" w:rsidP="00970D1C">
            <w:pPr>
              <w:rPr>
                <w:rFonts w:ascii="Arial Narrow" w:hAnsi="Arial Narrow"/>
                <w:sz w:val="24"/>
                <w:szCs w:val="24"/>
              </w:rPr>
            </w:pPr>
          </w:p>
          <w:p w:rsidR="00970D1C" w:rsidRPr="00EE003F" w:rsidRDefault="00970D1C" w:rsidP="00970D1C">
            <w:pPr>
              <w:rPr>
                <w:rFonts w:ascii="Arial Narrow" w:hAnsi="Arial Narrow"/>
                <w:sz w:val="24"/>
                <w:szCs w:val="24"/>
              </w:rPr>
            </w:pPr>
            <w:r w:rsidRPr="00EE003F">
              <w:rPr>
                <w:rFonts w:ascii="Arial Narrow" w:hAnsi="Arial Narrow"/>
                <w:sz w:val="24"/>
                <w:szCs w:val="24"/>
              </w:rPr>
              <w:t>Por tanto, con ello se pueden conocer los cambios en el PBI, sobre la base del capital (K) y el trabajo (L), y principalmente, con estos datos, la contribución de la productividad total de los factores (PTF) se puede calcular como residual, de manera que:</w:t>
            </w:r>
          </w:p>
          <w:p w:rsidR="00970D1C" w:rsidRPr="00EE003F" w:rsidRDefault="00970D1C" w:rsidP="00970D1C">
            <w:pPr>
              <w:rPr>
                <w:rFonts w:ascii="Arial Narrow" w:hAnsi="Arial Narrow"/>
                <w:sz w:val="24"/>
                <w:szCs w:val="24"/>
              </w:rPr>
            </w:pPr>
          </w:p>
          <w:p w:rsidR="00970D1C" w:rsidRPr="00EE003F" w:rsidRDefault="00970D1C" w:rsidP="00970D1C">
            <w:pPr>
              <w:jc w:val="center"/>
              <w:rPr>
                <w:rFonts w:ascii="Arial Narrow" w:hAnsi="Arial Narrow"/>
                <w:sz w:val="24"/>
                <w:szCs w:val="24"/>
              </w:rPr>
            </w:pPr>
            <w:r w:rsidRPr="00EE003F">
              <w:rPr>
                <w:rFonts w:ascii="Arial Narrow" w:hAnsi="Arial Narrow"/>
                <w:sz w:val="24"/>
                <w:szCs w:val="24"/>
              </w:rPr>
              <w:t xml:space="preserve">Δ%A=Δ%Y - </w:t>
            </w:r>
            <w:proofErr w:type="gramStart"/>
            <w:r w:rsidRPr="00EE003F">
              <w:rPr>
                <w:rFonts w:ascii="Cambria Math" w:hAnsi="Cambria Math" w:cs="Cambria Math"/>
                <w:sz w:val="24"/>
                <w:szCs w:val="24"/>
              </w:rPr>
              <w:t>∝</w:t>
            </w:r>
            <w:r w:rsidRPr="00EE003F">
              <w:rPr>
                <w:rFonts w:ascii="Arial Narrow" w:hAnsi="Arial Narrow"/>
                <w:sz w:val="24"/>
                <w:szCs w:val="24"/>
              </w:rPr>
              <w:t>(</w:t>
            </w:r>
            <w:proofErr w:type="gramEnd"/>
            <w:r w:rsidRPr="00EE003F">
              <w:rPr>
                <w:rFonts w:ascii="Arial Narrow" w:hAnsi="Arial Narrow" w:cs="Calibri"/>
                <w:sz w:val="24"/>
                <w:szCs w:val="24"/>
              </w:rPr>
              <w:t>Δ</w:t>
            </w:r>
            <w:r w:rsidRPr="00EE003F">
              <w:rPr>
                <w:rFonts w:ascii="Arial Narrow" w:hAnsi="Arial Narrow"/>
                <w:sz w:val="24"/>
                <w:szCs w:val="24"/>
              </w:rPr>
              <w:t xml:space="preserve">%K)- </w:t>
            </w:r>
            <w:r w:rsidRPr="00EE003F">
              <w:rPr>
                <w:rFonts w:ascii="Arial Narrow" w:hAnsi="Arial Narrow" w:cs="Calibri"/>
                <w:sz w:val="24"/>
                <w:szCs w:val="24"/>
              </w:rPr>
              <w:t>β</w:t>
            </w:r>
            <w:r w:rsidRPr="00EE003F">
              <w:rPr>
                <w:rFonts w:ascii="Arial Narrow" w:hAnsi="Arial Narrow"/>
                <w:sz w:val="24"/>
                <w:szCs w:val="24"/>
              </w:rPr>
              <w:t>(</w:t>
            </w:r>
            <w:r w:rsidRPr="00EE003F">
              <w:rPr>
                <w:rFonts w:ascii="Arial Narrow" w:hAnsi="Arial Narrow" w:cs="Calibri"/>
                <w:sz w:val="24"/>
                <w:szCs w:val="24"/>
              </w:rPr>
              <w:t>Δ</w:t>
            </w:r>
            <w:r w:rsidRPr="00EE003F">
              <w:rPr>
                <w:rFonts w:ascii="Arial Narrow" w:hAnsi="Arial Narrow"/>
                <w:sz w:val="24"/>
                <w:szCs w:val="24"/>
              </w:rPr>
              <w:t>%L) .</w:t>
            </w:r>
          </w:p>
          <w:p w:rsidR="00970D1C" w:rsidRPr="00EE003F" w:rsidRDefault="00970D1C" w:rsidP="00970D1C">
            <w:pPr>
              <w:rPr>
                <w:rFonts w:ascii="Arial Narrow" w:hAnsi="Arial Narrow"/>
                <w:sz w:val="24"/>
                <w:szCs w:val="24"/>
              </w:rPr>
            </w:pPr>
          </w:p>
        </w:tc>
      </w:tr>
    </w:tbl>
    <w:p w:rsidR="00970D1C" w:rsidRPr="00EE003F" w:rsidRDefault="00970D1C" w:rsidP="00970D1C">
      <w:pPr>
        <w:spacing w:line="240" w:lineRule="auto"/>
        <w:rPr>
          <w:rFonts w:ascii="Arial Narrow" w:hAnsi="Arial Narrow"/>
          <w:sz w:val="24"/>
          <w:szCs w:val="24"/>
        </w:rPr>
      </w:pPr>
      <w:r w:rsidRPr="00EE003F">
        <w:rPr>
          <w:rFonts w:ascii="Arial Narrow" w:hAnsi="Arial Narrow"/>
          <w:sz w:val="24"/>
          <w:szCs w:val="24"/>
        </w:rPr>
        <w:t xml:space="preserve">Fuente: Modelo </w:t>
      </w:r>
      <w:proofErr w:type="spellStart"/>
      <w:r w:rsidRPr="00EE003F">
        <w:rPr>
          <w:rFonts w:ascii="Arial Narrow" w:hAnsi="Arial Narrow"/>
          <w:sz w:val="24"/>
          <w:szCs w:val="24"/>
        </w:rPr>
        <w:t>IFs</w:t>
      </w:r>
      <w:proofErr w:type="spellEnd"/>
      <w:r w:rsidRPr="00EE003F">
        <w:rPr>
          <w:rFonts w:ascii="Arial Narrow" w:hAnsi="Arial Narrow"/>
          <w:sz w:val="24"/>
          <w:szCs w:val="24"/>
        </w:rPr>
        <w:t xml:space="preserve"> - Universidad de Denver</w:t>
      </w:r>
      <w:r w:rsidR="00AC328D" w:rsidRPr="00EE003F">
        <w:rPr>
          <w:rFonts w:ascii="Arial Narrow" w:hAnsi="Arial Narrow"/>
          <w:sz w:val="24"/>
          <w:szCs w:val="24"/>
        </w:rPr>
        <w:t xml:space="preserve"> (Pardee Center)-CEPLAN</w:t>
      </w:r>
    </w:p>
    <w:p w:rsidR="00970D1C" w:rsidRPr="00EE003F" w:rsidRDefault="00970D1C" w:rsidP="008E508F">
      <w:pPr>
        <w:spacing w:before="120" w:after="0" w:line="240" w:lineRule="auto"/>
        <w:jc w:val="both"/>
        <w:rPr>
          <w:rFonts w:ascii="Arial Narrow" w:hAnsi="Arial Narrow"/>
          <w:sz w:val="24"/>
          <w:szCs w:val="24"/>
        </w:rPr>
      </w:pPr>
      <w:r w:rsidRPr="00EE003F">
        <w:rPr>
          <w:rFonts w:ascii="Arial Narrow" w:hAnsi="Arial Narrow"/>
          <w:sz w:val="24"/>
          <w:szCs w:val="24"/>
        </w:rPr>
        <w:t>Aun cuando los cambios en el nivel de los precios relativos de los componentes del PBI reflejan los patrones de los términos de intercambio, estos no implican necesariamente efectos positivos en la productividad. De esta manera, por ejemplo, un aumento en los precios de los productos energéticos importados, no solo tendría un efecto significativo en los precios relativos, sino también en el PBI. Este efecto, podría reducir la producción de algunas industrias que dependen fuertemente de la energía.</w:t>
      </w:r>
    </w:p>
    <w:p w:rsidR="008E508F" w:rsidRPr="00EE003F" w:rsidRDefault="008E508F" w:rsidP="008E508F">
      <w:pPr>
        <w:spacing w:before="120" w:after="0" w:line="240" w:lineRule="auto"/>
        <w:jc w:val="both"/>
        <w:rPr>
          <w:rFonts w:ascii="Arial Narrow" w:hAnsi="Arial Narrow"/>
          <w:sz w:val="24"/>
          <w:szCs w:val="24"/>
        </w:rPr>
      </w:pPr>
    </w:p>
    <w:p w:rsidR="00970D1C" w:rsidRPr="00EE003F" w:rsidRDefault="00970D1C" w:rsidP="00970D1C">
      <w:pPr>
        <w:spacing w:line="240" w:lineRule="auto"/>
        <w:jc w:val="both"/>
        <w:rPr>
          <w:rFonts w:ascii="Arial Narrow" w:hAnsi="Arial Narrow"/>
          <w:b/>
          <w:sz w:val="24"/>
          <w:szCs w:val="24"/>
        </w:rPr>
      </w:pPr>
      <w:r w:rsidRPr="00EE003F">
        <w:rPr>
          <w:rFonts w:ascii="Arial Narrow" w:hAnsi="Arial Narrow"/>
          <w:b/>
          <w:sz w:val="24"/>
          <w:szCs w:val="24"/>
        </w:rPr>
        <w:t>Aportes del factor capital en el crecimiento</w:t>
      </w:r>
    </w:p>
    <w:p w:rsidR="00970D1C" w:rsidRPr="00EE003F" w:rsidRDefault="00970D1C" w:rsidP="008E508F">
      <w:pPr>
        <w:spacing w:before="120" w:after="0" w:line="240" w:lineRule="auto"/>
        <w:jc w:val="both"/>
        <w:rPr>
          <w:rFonts w:ascii="Arial Narrow" w:hAnsi="Arial Narrow"/>
          <w:sz w:val="24"/>
          <w:szCs w:val="24"/>
        </w:rPr>
      </w:pPr>
      <w:r w:rsidRPr="00EE003F">
        <w:rPr>
          <w:rFonts w:ascii="Arial Narrow" w:hAnsi="Arial Narrow"/>
          <w:sz w:val="24"/>
          <w:szCs w:val="24"/>
        </w:rPr>
        <w:t>El Gobierno peruano ha propuesto una serie de proyectos que tienen por objetivo impulsar la inversión a través de asociaciones público-privadas (APP), donde la mayoría de los proyectos se enfocan en infraestructura de transporte, telecomunicaciones, salud, educación  y el sector energético. Además, existe un banco de proyectos de infraestructura que se centran en el aumento del acceso a las TIC, así como mayores carreteras y puertos. Así, como consecuencia de los nuevos proyectos, el mayor gasto en capital contribuye directamente al crecimiento, lo cual incentiva mayores inversiones y puede mejorar la eficiencia laboral y tecnológica; sin embargo, los rendimientos de este tipo de proyectos se observan, usualmente, en el largo plazo.</w:t>
      </w:r>
    </w:p>
    <w:p w:rsidR="008E508F" w:rsidRPr="00EE003F" w:rsidRDefault="008E508F" w:rsidP="00970D1C">
      <w:pPr>
        <w:spacing w:line="240" w:lineRule="auto"/>
        <w:jc w:val="both"/>
        <w:rPr>
          <w:rFonts w:ascii="Arial Narrow" w:hAnsi="Arial Narrow"/>
          <w:b/>
          <w:sz w:val="24"/>
          <w:szCs w:val="24"/>
        </w:rPr>
      </w:pPr>
    </w:p>
    <w:p w:rsidR="00970D1C" w:rsidRPr="00EE003F" w:rsidRDefault="00970D1C" w:rsidP="00970D1C">
      <w:pPr>
        <w:spacing w:line="240" w:lineRule="auto"/>
        <w:jc w:val="both"/>
        <w:rPr>
          <w:rFonts w:ascii="Arial Narrow" w:hAnsi="Arial Narrow"/>
          <w:b/>
          <w:sz w:val="24"/>
          <w:szCs w:val="24"/>
        </w:rPr>
      </w:pPr>
      <w:r w:rsidRPr="00EE003F">
        <w:rPr>
          <w:rFonts w:ascii="Arial Narrow" w:hAnsi="Arial Narrow"/>
          <w:b/>
          <w:sz w:val="24"/>
          <w:szCs w:val="24"/>
        </w:rPr>
        <w:t>Aportes del factor trabajo en el crecimiento</w:t>
      </w:r>
    </w:p>
    <w:p w:rsidR="00970D1C" w:rsidRPr="00EE003F" w:rsidRDefault="00970D1C" w:rsidP="008E508F">
      <w:pPr>
        <w:spacing w:before="120" w:after="0" w:line="240" w:lineRule="auto"/>
        <w:jc w:val="both"/>
        <w:rPr>
          <w:rFonts w:ascii="Arial Narrow" w:hAnsi="Arial Narrow"/>
          <w:sz w:val="24"/>
          <w:szCs w:val="24"/>
        </w:rPr>
      </w:pPr>
      <w:r w:rsidRPr="00EE003F">
        <w:rPr>
          <w:rFonts w:ascii="Arial Narrow" w:hAnsi="Arial Narrow"/>
          <w:sz w:val="24"/>
          <w:szCs w:val="24"/>
        </w:rPr>
        <w:t>Con una gran proporción de la población en edad de trabajar en el Perú que participan en el mercado informal (60% de acuerdo a la definición de la OIT), se da la posibilidad de un aumento sustancial de la productividad del trabajo si existe esa transición al sector formal. Las tendencias actuales, sin embargo, no indican mucho movimiento en esa dirección.</w:t>
      </w:r>
    </w:p>
    <w:p w:rsidR="00970D1C" w:rsidRPr="00EE003F" w:rsidRDefault="00970D1C" w:rsidP="008E508F">
      <w:pPr>
        <w:spacing w:before="120" w:after="0" w:line="240" w:lineRule="auto"/>
        <w:jc w:val="both"/>
        <w:rPr>
          <w:rFonts w:ascii="Arial Narrow" w:hAnsi="Arial Narrow"/>
          <w:sz w:val="24"/>
          <w:szCs w:val="24"/>
        </w:rPr>
      </w:pPr>
      <w:r w:rsidRPr="00EE003F">
        <w:rPr>
          <w:rFonts w:ascii="Arial Narrow" w:hAnsi="Arial Narrow"/>
          <w:sz w:val="24"/>
          <w:szCs w:val="24"/>
        </w:rPr>
        <w:t>Por otro lado, tal como se observa en la siguiente figura, el Perú está experimentando un cambio en la distribución demográfica, en el que la población en edad de trabajar es cada vez mayor con respecto a la población económicamente activa. Con las oportunas adaptaciones, el Perú tiene un fuerte potencial para aprovechar este crecimiento de la demanda laboral, que debe llegar a su punto máximo a principios de la década del 2030. Sin embargo, sin los adecuados cambios estructurales, a fin de emplear la mano de obra disponible actualmente, la transición podría también tener un efecto negativo en el aumento del desempleo.</w:t>
      </w:r>
    </w:p>
    <w:p w:rsidR="00970D1C" w:rsidRPr="00EE003F" w:rsidRDefault="00970D1C" w:rsidP="00970D1C">
      <w:pPr>
        <w:keepNext/>
        <w:keepLines/>
        <w:spacing w:line="240" w:lineRule="auto"/>
        <w:rPr>
          <w:rFonts w:ascii="Arial Narrow" w:hAnsi="Arial Narrow"/>
          <w:b/>
          <w:sz w:val="24"/>
          <w:szCs w:val="24"/>
        </w:rPr>
      </w:pPr>
      <w:r w:rsidRPr="00EE003F">
        <w:rPr>
          <w:rFonts w:ascii="Arial Narrow" w:hAnsi="Arial Narrow"/>
          <w:b/>
          <w:sz w:val="24"/>
          <w:szCs w:val="24"/>
        </w:rPr>
        <w:t>Pronóstico para el crecimiento económico: hacia el 2021</w:t>
      </w:r>
    </w:p>
    <w:p w:rsidR="00970D1C" w:rsidRPr="00EE003F" w:rsidRDefault="00970D1C" w:rsidP="008E508F">
      <w:pPr>
        <w:keepNext/>
        <w:keepLines/>
        <w:spacing w:after="120" w:line="240" w:lineRule="auto"/>
        <w:jc w:val="both"/>
        <w:rPr>
          <w:rFonts w:ascii="Arial Narrow" w:hAnsi="Arial Narrow"/>
          <w:sz w:val="24"/>
          <w:szCs w:val="24"/>
        </w:rPr>
      </w:pPr>
      <w:r w:rsidRPr="00EE003F">
        <w:rPr>
          <w:rFonts w:ascii="Arial Narrow" w:hAnsi="Arial Narrow"/>
          <w:sz w:val="24"/>
          <w:szCs w:val="24"/>
        </w:rPr>
        <w:t xml:space="preserve">El pronóstico del caso base </w:t>
      </w:r>
      <w:proofErr w:type="spellStart"/>
      <w:r w:rsidRPr="00EE003F">
        <w:rPr>
          <w:rFonts w:ascii="Arial Narrow" w:hAnsi="Arial Narrow"/>
          <w:sz w:val="24"/>
          <w:szCs w:val="24"/>
        </w:rPr>
        <w:t>IFs</w:t>
      </w:r>
      <w:proofErr w:type="spellEnd"/>
      <w:r w:rsidRPr="00EE003F">
        <w:rPr>
          <w:rFonts w:ascii="Arial Narrow" w:hAnsi="Arial Narrow"/>
          <w:sz w:val="24"/>
          <w:szCs w:val="24"/>
        </w:rPr>
        <w:t xml:space="preserve"> también indica un papel importante de la PTF en el crecimiento económico de Perú para el 2016 y para el 2021. La siguiente figura ilustra el PBI de Perú, previsto por el modelo de los fondos de inversión, con valores de crecimiento anual para los años 2016 y 2021.</w:t>
      </w:r>
    </w:p>
    <w:p w:rsidR="00970D1C" w:rsidRPr="00EE003F" w:rsidRDefault="00970D1C" w:rsidP="008E508F">
      <w:pPr>
        <w:spacing w:after="120" w:line="240" w:lineRule="auto"/>
        <w:jc w:val="both"/>
        <w:rPr>
          <w:rFonts w:ascii="Arial Narrow" w:hAnsi="Arial Narrow"/>
          <w:sz w:val="24"/>
          <w:szCs w:val="24"/>
        </w:rPr>
      </w:pPr>
      <w:r w:rsidRPr="00EE003F">
        <w:rPr>
          <w:rFonts w:ascii="Arial Narrow" w:hAnsi="Arial Narrow"/>
          <w:sz w:val="24"/>
          <w:szCs w:val="24"/>
        </w:rPr>
        <w:t xml:space="preserve">A lo largo de los años se muestran las contribuciones positivas o negativas a los cambios en la tasa de crecimiento económico atribuibles al trabajo, el capital y la PTF. Según las previsiones del Caso Base </w:t>
      </w:r>
      <w:proofErr w:type="spellStart"/>
      <w:r w:rsidRPr="00EE003F">
        <w:rPr>
          <w:rFonts w:ascii="Arial Narrow" w:hAnsi="Arial Narrow"/>
          <w:sz w:val="24"/>
          <w:szCs w:val="24"/>
        </w:rPr>
        <w:t>IFs</w:t>
      </w:r>
      <w:proofErr w:type="spellEnd"/>
      <w:r w:rsidRPr="00EE003F">
        <w:rPr>
          <w:rFonts w:ascii="Arial Narrow" w:hAnsi="Arial Narrow"/>
          <w:sz w:val="24"/>
          <w:szCs w:val="24"/>
        </w:rPr>
        <w:t>, la tasa de crecimiento económico comenzaría a recuperarse a partir del año 2021, debido en parte a que las contribuciones de la PTF serían positivas. El pronóstico indica una vez más que la PTF es el elemento con mayor incertidumbre (y el punto focal para las intervenciones) en los próximos años.</w:t>
      </w:r>
    </w:p>
    <w:p w:rsidR="00970D1C" w:rsidRPr="00EE003F" w:rsidRDefault="00970D1C" w:rsidP="00970D1C">
      <w:pPr>
        <w:spacing w:line="240" w:lineRule="auto"/>
        <w:jc w:val="both"/>
        <w:rPr>
          <w:rFonts w:ascii="Arial Narrow" w:hAnsi="Arial Narrow"/>
          <w:b/>
          <w:sz w:val="24"/>
          <w:szCs w:val="24"/>
        </w:rPr>
      </w:pPr>
      <w:r w:rsidRPr="00EE003F">
        <w:rPr>
          <w:rFonts w:ascii="Arial Narrow" w:hAnsi="Arial Narrow"/>
          <w:b/>
          <w:sz w:val="24"/>
          <w:szCs w:val="24"/>
        </w:rPr>
        <w:t>Descomposición del crecimiento del PBI, 201</w:t>
      </w:r>
      <w:r w:rsidR="00F011B6" w:rsidRPr="00EE003F">
        <w:rPr>
          <w:rFonts w:ascii="Arial Narrow" w:hAnsi="Arial Narrow"/>
          <w:b/>
          <w:sz w:val="24"/>
          <w:szCs w:val="24"/>
        </w:rPr>
        <w:t>6</w:t>
      </w:r>
      <w:r w:rsidRPr="00EE003F">
        <w:rPr>
          <w:rFonts w:ascii="Arial Narrow" w:hAnsi="Arial Narrow"/>
          <w:b/>
          <w:sz w:val="24"/>
          <w:szCs w:val="24"/>
        </w:rPr>
        <w:t>-2021</w:t>
      </w:r>
    </w:p>
    <w:p w:rsidR="00970D1C" w:rsidRPr="00EE003F" w:rsidRDefault="00970D1C" w:rsidP="00970D1C">
      <w:pPr>
        <w:spacing w:line="240" w:lineRule="auto"/>
        <w:rPr>
          <w:rFonts w:ascii="Arial Narrow" w:hAnsi="Arial Narrow"/>
          <w:sz w:val="24"/>
          <w:szCs w:val="24"/>
        </w:rPr>
      </w:pPr>
    </w:p>
    <w:p w:rsidR="00FA2DD8" w:rsidRPr="00EE003F" w:rsidRDefault="00F011B6" w:rsidP="00970D1C">
      <w:pPr>
        <w:spacing w:line="240" w:lineRule="auto"/>
        <w:jc w:val="both"/>
        <w:rPr>
          <w:rFonts w:ascii="Arial Narrow" w:hAnsi="Arial Narrow"/>
          <w:sz w:val="24"/>
          <w:szCs w:val="24"/>
        </w:rPr>
      </w:pPr>
      <w:r w:rsidRPr="00EE003F">
        <w:rPr>
          <w:rFonts w:ascii="Arial Narrow" w:hAnsi="Arial Narrow"/>
          <w:noProof/>
          <w:sz w:val="24"/>
          <w:szCs w:val="24"/>
          <w:lang w:eastAsia="es-PE"/>
        </w:rPr>
        <w:drawing>
          <wp:inline distT="0" distB="0" distL="0" distR="0" wp14:anchorId="21DBEF29" wp14:editId="0234ED91">
            <wp:extent cx="4452731" cy="250390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3273" cy="2509828"/>
                    </a:xfrm>
                    <a:prstGeom prst="rect">
                      <a:avLst/>
                    </a:prstGeom>
                    <a:noFill/>
                  </pic:spPr>
                </pic:pic>
              </a:graphicData>
            </a:graphic>
          </wp:inline>
        </w:drawing>
      </w:r>
    </w:p>
    <w:p w:rsidR="00970D1C" w:rsidRPr="00EE003F" w:rsidRDefault="00970D1C" w:rsidP="00970D1C">
      <w:pPr>
        <w:spacing w:line="240" w:lineRule="auto"/>
        <w:jc w:val="both"/>
        <w:rPr>
          <w:rFonts w:ascii="Arial Narrow" w:hAnsi="Arial Narrow"/>
          <w:sz w:val="24"/>
          <w:szCs w:val="24"/>
        </w:rPr>
      </w:pPr>
      <w:r w:rsidRPr="00EE003F">
        <w:rPr>
          <w:rFonts w:ascii="Arial Narrow" w:hAnsi="Arial Narrow"/>
          <w:sz w:val="24"/>
          <w:szCs w:val="24"/>
        </w:rPr>
        <w:t xml:space="preserve">Fuente: </w:t>
      </w:r>
      <w:proofErr w:type="spellStart"/>
      <w:r w:rsidRPr="00EE003F">
        <w:rPr>
          <w:rFonts w:ascii="Arial Narrow" w:hAnsi="Arial Narrow"/>
          <w:sz w:val="24"/>
          <w:szCs w:val="24"/>
        </w:rPr>
        <w:t>IFs</w:t>
      </w:r>
      <w:proofErr w:type="spellEnd"/>
      <w:r w:rsidRPr="00EE003F">
        <w:rPr>
          <w:rFonts w:ascii="Arial Narrow" w:hAnsi="Arial Narrow"/>
          <w:sz w:val="24"/>
          <w:szCs w:val="24"/>
        </w:rPr>
        <w:t xml:space="preserve"> – </w:t>
      </w:r>
      <w:proofErr w:type="spellStart"/>
      <w:r w:rsidRPr="00EE003F">
        <w:rPr>
          <w:rFonts w:ascii="Arial Narrow" w:hAnsi="Arial Narrow"/>
          <w:sz w:val="24"/>
          <w:szCs w:val="24"/>
        </w:rPr>
        <w:t>Ceplan</w:t>
      </w:r>
      <w:proofErr w:type="spellEnd"/>
      <w:r w:rsidRPr="00EE003F">
        <w:rPr>
          <w:rFonts w:ascii="Arial Narrow" w:hAnsi="Arial Narrow"/>
          <w:sz w:val="24"/>
          <w:szCs w:val="24"/>
        </w:rPr>
        <w:t>.</w:t>
      </w:r>
    </w:p>
    <w:p w:rsidR="00970D1C" w:rsidRPr="00EE003F" w:rsidRDefault="00970D1C" w:rsidP="008E508F">
      <w:pPr>
        <w:spacing w:before="120" w:after="0" w:line="240" w:lineRule="auto"/>
        <w:jc w:val="both"/>
        <w:rPr>
          <w:rFonts w:ascii="Arial Narrow" w:hAnsi="Arial Narrow"/>
          <w:sz w:val="24"/>
          <w:szCs w:val="24"/>
        </w:rPr>
      </w:pPr>
      <w:r w:rsidRPr="00EE003F">
        <w:rPr>
          <w:rFonts w:ascii="Arial Narrow" w:hAnsi="Arial Narrow"/>
          <w:sz w:val="24"/>
          <w:szCs w:val="24"/>
        </w:rPr>
        <w:t>Un simple ejercicio de contabilidad del crecimiento indica que las principales fuentes históricas que han explicado la variación del crecimiento económico han sido la productividad total de los factores (PTF) y la acumulación del capital</w:t>
      </w:r>
      <w:r w:rsidR="00DE0C64" w:rsidRPr="00EE003F">
        <w:rPr>
          <w:rFonts w:ascii="Arial Narrow" w:hAnsi="Arial Narrow"/>
          <w:sz w:val="24"/>
          <w:szCs w:val="24"/>
        </w:rPr>
        <w:t xml:space="preserve">. De no continuar las políticas iniciadas por este Gobierno se corre el riesgo de tener el escenario presentado en el gráfico anterior (2016-2021). </w:t>
      </w:r>
      <w:r w:rsidRPr="00EE003F">
        <w:rPr>
          <w:rFonts w:ascii="Arial Narrow" w:hAnsi="Arial Narrow"/>
          <w:sz w:val="24"/>
          <w:szCs w:val="24"/>
        </w:rPr>
        <w:t>El crecimiento de la PTF permitirá niveles más altos de producción con determinados niveles de factores de producción. Para ello, el impacto de las reformas estructurales impulsadas por el Gobierno en los sectores Educación y Salud, así como las estrategias de diversificación productiva, serán los nuevos motores del crecimiento económico.</w:t>
      </w:r>
    </w:p>
    <w:p w:rsidR="00970D1C" w:rsidRPr="00EE003F" w:rsidRDefault="00970D1C" w:rsidP="008E508F">
      <w:pPr>
        <w:spacing w:before="120" w:after="0" w:line="240" w:lineRule="auto"/>
        <w:jc w:val="both"/>
        <w:rPr>
          <w:rFonts w:ascii="Arial Narrow" w:hAnsi="Arial Narrow"/>
          <w:sz w:val="24"/>
          <w:szCs w:val="24"/>
        </w:rPr>
      </w:pPr>
      <w:r w:rsidRPr="00EE003F">
        <w:rPr>
          <w:rFonts w:ascii="Arial Narrow" w:hAnsi="Arial Narrow"/>
          <w:sz w:val="24"/>
          <w:szCs w:val="24"/>
        </w:rPr>
        <w:t>Así, el mayor capital ligado a los nuevos proyectos de infraestructura podría contribuir a un mayor nivel de productividad. Del mismo modo, el mercado de trabajo informal, que registran niveles por encima del 60%, y el continuo crecimiento demográfico presentan oportunidades para un aumento sustancial en las contribuciones al crecimiento de la mano de obra del país, aunque la transición del trabajo informal de los mercados, ha sido históricamente lenta en el Perú.</w:t>
      </w:r>
    </w:p>
    <w:p w:rsidR="00970D1C" w:rsidRPr="00EE003F" w:rsidRDefault="00970D1C" w:rsidP="008E508F">
      <w:pPr>
        <w:spacing w:before="120" w:after="0" w:line="240" w:lineRule="auto"/>
        <w:jc w:val="both"/>
        <w:rPr>
          <w:rFonts w:ascii="Arial Narrow" w:hAnsi="Arial Narrow"/>
          <w:sz w:val="24"/>
          <w:szCs w:val="24"/>
        </w:rPr>
      </w:pPr>
      <w:r w:rsidRPr="00EE003F">
        <w:rPr>
          <w:rFonts w:ascii="Arial Narrow" w:hAnsi="Arial Narrow"/>
          <w:sz w:val="24"/>
          <w:szCs w:val="24"/>
        </w:rPr>
        <w:t xml:space="preserve">Todo el análisis anterior utiliza el sistema propuesto por el modelo </w:t>
      </w:r>
      <w:proofErr w:type="spellStart"/>
      <w:r w:rsidRPr="00EE003F">
        <w:rPr>
          <w:rFonts w:ascii="Arial Narrow" w:hAnsi="Arial Narrow"/>
          <w:sz w:val="24"/>
          <w:szCs w:val="24"/>
        </w:rPr>
        <w:t>IFs</w:t>
      </w:r>
      <w:proofErr w:type="spellEnd"/>
      <w:r w:rsidRPr="00EE003F">
        <w:rPr>
          <w:rFonts w:ascii="Arial Narrow" w:hAnsi="Arial Narrow"/>
          <w:sz w:val="24"/>
          <w:szCs w:val="24"/>
        </w:rPr>
        <w:t>. El estudio además, construye escenarios que se enmarcan en torno a la combinación de las incertidumbres que implican la inversión extranjera directa, los términos de intercambio y la tasa de actividad económica formal.</w:t>
      </w:r>
    </w:p>
    <w:p w:rsidR="00970D1C" w:rsidRPr="00EE003F" w:rsidRDefault="00970D1C" w:rsidP="00970D1C">
      <w:pPr>
        <w:spacing w:line="240" w:lineRule="auto"/>
        <w:jc w:val="both"/>
        <w:rPr>
          <w:rFonts w:ascii="Arial Narrow" w:hAnsi="Arial Narrow"/>
          <w:sz w:val="24"/>
          <w:szCs w:val="24"/>
        </w:rPr>
      </w:pPr>
    </w:p>
    <w:p w:rsidR="00970D1C" w:rsidRPr="00EE003F" w:rsidRDefault="00970D1C" w:rsidP="00970D1C">
      <w:pPr>
        <w:spacing w:line="240" w:lineRule="auto"/>
        <w:rPr>
          <w:rFonts w:ascii="Arial Narrow" w:hAnsi="Arial Narrow"/>
          <w:b/>
          <w:sz w:val="24"/>
          <w:szCs w:val="24"/>
        </w:rPr>
      </w:pPr>
      <w:r w:rsidRPr="00EE003F">
        <w:rPr>
          <w:rFonts w:ascii="Arial Narrow" w:hAnsi="Arial Narrow"/>
          <w:b/>
          <w:sz w:val="24"/>
          <w:szCs w:val="24"/>
        </w:rPr>
        <w:t>Escenario Apuesta</w:t>
      </w:r>
    </w:p>
    <w:p w:rsidR="00E41F0E" w:rsidRPr="00EE003F" w:rsidRDefault="00970D1C" w:rsidP="008E508F">
      <w:pPr>
        <w:spacing w:before="120" w:after="0" w:line="240" w:lineRule="auto"/>
        <w:jc w:val="both"/>
        <w:rPr>
          <w:rFonts w:ascii="Arial Narrow" w:hAnsi="Arial Narrow"/>
          <w:b/>
          <w:sz w:val="24"/>
          <w:szCs w:val="24"/>
        </w:rPr>
      </w:pPr>
      <w:r w:rsidRPr="00EE003F">
        <w:rPr>
          <w:rFonts w:ascii="Arial Narrow" w:hAnsi="Arial Narrow"/>
          <w:sz w:val="24"/>
          <w:szCs w:val="24"/>
        </w:rPr>
        <w:t xml:space="preserve">El escenario apuesta considera las proyecciones del PBI del </w:t>
      </w:r>
      <w:r w:rsidR="00511B14" w:rsidRPr="00EE003F">
        <w:rPr>
          <w:rFonts w:ascii="Arial Narrow" w:hAnsi="Arial Narrow"/>
          <w:sz w:val="24"/>
          <w:szCs w:val="24"/>
        </w:rPr>
        <w:t>Marco Macroeconómico Multianual 2017-2019</w:t>
      </w:r>
      <w:r w:rsidRPr="00EE003F">
        <w:rPr>
          <w:rFonts w:ascii="Arial Narrow" w:hAnsi="Arial Narrow"/>
          <w:sz w:val="24"/>
          <w:szCs w:val="24"/>
        </w:rPr>
        <w:t xml:space="preserve"> y se compara con las proyecciones del Modelo </w:t>
      </w:r>
      <w:proofErr w:type="spellStart"/>
      <w:r w:rsidRPr="00EE003F">
        <w:rPr>
          <w:rFonts w:ascii="Arial Narrow" w:hAnsi="Arial Narrow"/>
          <w:sz w:val="24"/>
          <w:szCs w:val="24"/>
        </w:rPr>
        <w:t>IFs</w:t>
      </w:r>
      <w:proofErr w:type="spellEnd"/>
      <w:r w:rsidRPr="00EE003F">
        <w:rPr>
          <w:rFonts w:ascii="Arial Narrow" w:hAnsi="Arial Narrow"/>
          <w:sz w:val="24"/>
          <w:szCs w:val="24"/>
        </w:rPr>
        <w:t>, el cual constituye el escenario exploratorio para el periodo 2016-2021. Basado en esos documentos, el crecimiento de la economía peruana estará sustentado en cuatro “motores”: (i) una mayor oferta de sectores primarios, (ii) la ejecución de los proyectos de infraestructura ya concesionados, (iii) el dinamismo del consumo de las familias y (iv) medidas de política.</w:t>
      </w:r>
    </w:p>
    <w:p w:rsidR="00970D1C" w:rsidRPr="00EE003F" w:rsidRDefault="00970D1C" w:rsidP="004843F2">
      <w:pPr>
        <w:pStyle w:val="Ttulo2"/>
        <w:jc w:val="left"/>
        <w:rPr>
          <w:rFonts w:asciiTheme="minorHAnsi" w:hAnsiTheme="minorHAnsi"/>
          <w:lang w:val="es-ES_tradnl"/>
        </w:rPr>
      </w:pPr>
      <w:bookmarkStart w:id="20" w:name="_Toc453004661"/>
      <w:r w:rsidRPr="00EE003F">
        <w:rPr>
          <w:rFonts w:asciiTheme="minorHAnsi" w:hAnsiTheme="minorHAnsi"/>
          <w:lang w:val="es-ES_tradnl"/>
        </w:rPr>
        <w:t xml:space="preserve">Caso Base </w:t>
      </w:r>
      <w:proofErr w:type="spellStart"/>
      <w:r w:rsidRPr="00EE003F">
        <w:rPr>
          <w:rFonts w:asciiTheme="minorHAnsi" w:hAnsiTheme="minorHAnsi"/>
          <w:lang w:val="es-ES_tradnl"/>
        </w:rPr>
        <w:t>IFs</w:t>
      </w:r>
      <w:proofErr w:type="spellEnd"/>
      <w:r w:rsidRPr="00EE003F">
        <w:rPr>
          <w:rFonts w:asciiTheme="minorHAnsi" w:hAnsiTheme="minorHAnsi"/>
          <w:lang w:val="es-ES_tradnl"/>
        </w:rPr>
        <w:t xml:space="preserve"> y escenarios de crecimiento</w:t>
      </w:r>
      <w:bookmarkEnd w:id="20"/>
    </w:p>
    <w:p w:rsidR="00970D1C" w:rsidRPr="00EE003F" w:rsidRDefault="00970D1C" w:rsidP="00970D1C">
      <w:pPr>
        <w:spacing w:line="240" w:lineRule="auto"/>
        <w:rPr>
          <w:rFonts w:ascii="Arial Narrow" w:hAnsi="Arial Narrow"/>
          <w:sz w:val="24"/>
          <w:szCs w:val="24"/>
        </w:rPr>
      </w:pPr>
    </w:p>
    <w:p w:rsidR="003869E9" w:rsidRPr="00EE003F" w:rsidRDefault="008E57AB" w:rsidP="00970D1C">
      <w:pPr>
        <w:spacing w:line="240" w:lineRule="auto"/>
        <w:rPr>
          <w:rFonts w:ascii="Arial Narrow" w:hAnsi="Arial Narrow"/>
          <w:sz w:val="24"/>
          <w:szCs w:val="24"/>
        </w:rPr>
      </w:pPr>
      <w:r w:rsidRPr="00EE003F">
        <w:rPr>
          <w:rFonts w:ascii="Arial Narrow" w:hAnsi="Arial Narrow"/>
          <w:noProof/>
          <w:sz w:val="24"/>
          <w:szCs w:val="24"/>
          <w:lang w:eastAsia="es-PE"/>
        </w:rPr>
        <w:drawing>
          <wp:inline distT="0" distB="0" distL="0" distR="0" wp14:anchorId="6C9D5985" wp14:editId="6B8028B1">
            <wp:extent cx="4327109" cy="2870421"/>
            <wp:effectExtent l="0" t="0" r="0" b="635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5338" cy="2869246"/>
                    </a:xfrm>
                    <a:prstGeom prst="rect">
                      <a:avLst/>
                    </a:prstGeom>
                    <a:noFill/>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Para que el escenario apuesta sea alcanzado, las políticas de incremento productivo deberán implementarse con el fin de generar competitividad regional, más allá de Lima. Al respecto, el PNDP indica que en términos agregados aún el país se halla rezagado en relación a otros países de la región como México, Chile y Uruguay, y la principal barrera las brechas internas de productividad que existen entre las regiones, lo que se traduce en mayores inequidades y desigualdad de oportunidades e ingresos entre los peruanos.</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En el siguiente gráfico, se muestran los resultados del crecimiento acumulado de sectores con gran potencialidad para el caso peruano. Dentro de los sectores más dinámicos y con mayor potencial de crecimiento en productividad destaca el sector servicios (45,7%) por encima del resto, el cual influirá positivamente en la transformación de la estructura productiva del Perú al 2021. En base al Plan de Diversificación Productiva, es necesario impulsar herramientas de calidad con el fin de generar condiciones favorables para los aumentos de productividad y competitividad en sectores como comercio, transporte, entre otros.</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noProof/>
          <w:sz w:val="24"/>
          <w:szCs w:val="24"/>
          <w:lang w:eastAsia="es-PE"/>
        </w:rPr>
        <w:drawing>
          <wp:inline distT="0" distB="0" distL="0" distR="0" wp14:anchorId="2EA6055D" wp14:editId="32288C64">
            <wp:extent cx="4413250" cy="2313940"/>
            <wp:effectExtent l="0" t="0" r="635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3250" cy="2313940"/>
                    </a:xfrm>
                    <a:prstGeom prst="rect">
                      <a:avLst/>
                    </a:prstGeom>
                    <a:noFill/>
                    <a:ln>
                      <a:noFill/>
                    </a:ln>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Respecto de ello, el Perú vive un proceso de transformación de la distribución poblacional. En 1960, el Perú era 53% rural, con 5,3 millones de personas viviendo en las zonas rurales, en comparación con los 4,7 millones de personas que habitaban las zonas urbanas. Esta configuración demográfica cambió drásticamente en el 2010, año en donde el 76% de la población ya era urbana, con aproximadamente 22,4 millones de personas, mientras que el 24% de la población (6,9 millones de personas) aún vivía en las zonas rurales. Según la </w:t>
      </w:r>
      <w:sdt>
        <w:sdtPr>
          <w:rPr>
            <w:rFonts w:ascii="Arial Narrow" w:hAnsi="Arial Narrow" w:cs="FrutigerLTStd-BlackCn"/>
            <w:sz w:val="24"/>
            <w:szCs w:val="24"/>
          </w:rPr>
          <w:id w:val="-1835602902"/>
          <w:citation/>
        </w:sdtPr>
        <w:sdtEndPr/>
        <w:sdtContent>
          <w:r w:rsidRPr="00EE003F">
            <w:rPr>
              <w:rFonts w:ascii="Arial Narrow" w:hAnsi="Arial Narrow" w:cs="FrutigerLTStd-BlackCn"/>
              <w:sz w:val="24"/>
              <w:szCs w:val="24"/>
            </w:rPr>
            <w:fldChar w:fldCharType="begin"/>
          </w:r>
          <w:r w:rsidRPr="00EE003F">
            <w:rPr>
              <w:rFonts w:ascii="Arial Narrow" w:hAnsi="Arial Narrow" w:cs="FrutigerLTStd-BlackCn"/>
              <w:sz w:val="24"/>
              <w:szCs w:val="24"/>
            </w:rPr>
            <w:instrText xml:space="preserve">CITATION CEP \l 10250 </w:instrText>
          </w:r>
          <w:r w:rsidRPr="00EE003F">
            <w:rPr>
              <w:rFonts w:ascii="Arial Narrow" w:hAnsi="Arial Narrow" w:cs="FrutigerLTStd-BlackCn"/>
              <w:sz w:val="24"/>
              <w:szCs w:val="24"/>
            </w:rPr>
            <w:fldChar w:fldCharType="separate"/>
          </w:r>
          <w:r w:rsidRPr="00EE003F">
            <w:rPr>
              <w:rFonts w:ascii="Arial Narrow" w:hAnsi="Arial Narrow" w:cs="FrutigerLTStd-BlackCn"/>
              <w:noProof/>
              <w:sz w:val="24"/>
              <w:szCs w:val="24"/>
            </w:rPr>
            <w:t>(CEPAL, 2015)</w:t>
          </w:r>
          <w:r w:rsidRPr="00EE003F">
            <w:rPr>
              <w:rFonts w:ascii="Arial Narrow" w:hAnsi="Arial Narrow" w:cs="FrutigerLTStd-BlackCn"/>
              <w:sz w:val="24"/>
              <w:szCs w:val="24"/>
            </w:rPr>
            <w:fldChar w:fldCharType="end"/>
          </w:r>
        </w:sdtContent>
      </w:sdt>
      <w:r w:rsidRPr="00EE003F">
        <w:rPr>
          <w:rFonts w:ascii="Arial Narrow" w:hAnsi="Arial Narrow" w:cs="FrutigerLTStd-BlackCn"/>
          <w:sz w:val="24"/>
          <w:szCs w:val="24"/>
        </w:rPr>
        <w:t>, se espera que para el año 2021, el proceso de urbanización se desacelere y la población urbana constituya el 78% del total de la población peruana (26,3 millones de personas) y el 22% rural.</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noProof/>
          <w:sz w:val="24"/>
          <w:szCs w:val="24"/>
          <w:lang w:eastAsia="es-PE"/>
        </w:rPr>
        <w:drawing>
          <wp:inline distT="0" distB="0" distL="0" distR="0" wp14:anchorId="589E965E" wp14:editId="56FB7D46">
            <wp:extent cx="4373245" cy="2568575"/>
            <wp:effectExtent l="0" t="0" r="8255" b="317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73245" cy="2568575"/>
                    </a:xfrm>
                    <a:prstGeom prst="rect">
                      <a:avLst/>
                    </a:prstGeom>
                    <a:noFill/>
                    <a:ln>
                      <a:noFill/>
                    </a:ln>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El crecimiento demográfico y la composición de la población que se espera tener en el país en los años venideros resulta ser fundamental para el proceso de desarrollo. En tanto, constituye uno de los factores productivos más importantes, determina el tamaño potencial del mercado interno, y también representa la evolución de la demanda por servicios como educación, salud, alimentos, entre otros. Naciones Unidas espera que para el 2025 más del 45% de la población peruana viva en ciudades con más de un millón de habitantes, y un 43% de la población en ciudades con menos de 500 mil habitantes. Conocer estos datos es fundamental para contar con un planeamiento urbano adecuado que incluya la satisfacción de demanda que se tendrá en los servicios públicos en cada una de las ciudades de acuerdo a su tamaño. Entre otros: colegios, hospitales, postas, agua y saneamiento, electricidad, etc. Todo proceso de urbanización ocasiona consecuencias importantes sobre la pirámide poblacional por edad. A su vez, se producen cambios sobre la economía, debido a que se modifican las relaciones entre los agentes económicos pertenecientes a las zonas rurales y urbanas.</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noProof/>
          <w:sz w:val="24"/>
          <w:szCs w:val="24"/>
          <w:lang w:eastAsia="es-PE"/>
        </w:rPr>
        <w:drawing>
          <wp:inline distT="0" distB="0" distL="0" distR="0" wp14:anchorId="0901BA34" wp14:editId="22511337">
            <wp:extent cx="4445000" cy="322834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45000" cy="3228340"/>
                    </a:xfrm>
                    <a:prstGeom prst="rect">
                      <a:avLst/>
                    </a:prstGeom>
                    <a:noFill/>
                    <a:ln>
                      <a:noFill/>
                    </a:ln>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noProof/>
          <w:sz w:val="24"/>
          <w:szCs w:val="24"/>
          <w:lang w:eastAsia="es-PE"/>
        </w:rPr>
        <w:drawing>
          <wp:inline distT="0" distB="0" distL="0" distR="0" wp14:anchorId="1B5AF2E9" wp14:editId="0B258487">
            <wp:extent cx="4563745" cy="3244215"/>
            <wp:effectExtent l="0" t="0" r="825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3745" cy="3244215"/>
                    </a:xfrm>
                    <a:prstGeom prst="rect">
                      <a:avLst/>
                    </a:prstGeom>
                    <a:noFill/>
                    <a:ln>
                      <a:noFill/>
                    </a:ln>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Las pirámides poblaciones muestran que en el año 2010 la población peruana estuvo compuesta mayoritariamente por jóvenes: una gran porción de la población se encontraba por debajo de los 25 años, particularmente hubo una amplia presencia de la población comprendida entre 0 y 20 años. Este hecho no se modifica de manera importante en el 2021, de manera natural se muestra que la mayor población se encuentre entre los 5 y 30 años pues son los grupos de edad con mayor población. Esto como parte del envejecimiento natural de la población. La importancia que tiene la estructura poblacional en la economía se manifiesta en  tener un bono demográfico importante en el Perú. Es decir, que la población al mantenerse joven o ser mayoritariamente joven constituye una fuente de recursos humanos importante que permite a la economía crecer de manera dinámica por muchos años en adelante. Muestra de la potencialidad demográfica existente en la evolución del bono demográfico es que para el 2021 se espera un aumento extraordinario de la población en edad de trabajar, personas entre 15 a 65 años. Es decir, existe un potencial importante de fuente de crecimiento económico para los años venideros.</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noProof/>
          <w:sz w:val="24"/>
          <w:szCs w:val="24"/>
          <w:lang w:eastAsia="es-PE"/>
        </w:rPr>
        <w:drawing>
          <wp:inline distT="0" distB="0" distL="0" distR="0" wp14:anchorId="3959E524" wp14:editId="48B87576">
            <wp:extent cx="4445000" cy="2584450"/>
            <wp:effectExtent l="0" t="0" r="0" b="635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5000" cy="2584450"/>
                    </a:xfrm>
                    <a:prstGeom prst="rect">
                      <a:avLst/>
                    </a:prstGeom>
                    <a:noFill/>
                    <a:ln>
                      <a:noFill/>
                    </a:ln>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Estos avances en el crecimiento demográfico y cambio en la configuración de la población urbano-rural, constituyen parte del posible crecimiento de la economía en el futuro, sobre todo si se considera que las ciudades son las principales impulsoras del crecimiento económico de acuerdo a UN-</w:t>
      </w:r>
      <w:proofErr w:type="spellStart"/>
      <w:r w:rsidRPr="00EE003F">
        <w:rPr>
          <w:rFonts w:ascii="Arial Narrow" w:hAnsi="Arial Narrow" w:cs="FrutigerLTStd-BlackCn"/>
          <w:sz w:val="24"/>
          <w:szCs w:val="24"/>
        </w:rPr>
        <w:t>Habitat</w:t>
      </w:r>
      <w:proofErr w:type="spellEnd"/>
      <w:r w:rsidRPr="00EE003F">
        <w:rPr>
          <w:rFonts w:ascii="Arial Narrow" w:hAnsi="Arial Narrow" w:cs="FrutigerLTStd-BlackCn"/>
          <w:sz w:val="24"/>
          <w:szCs w:val="24"/>
        </w:rPr>
        <w:t>. Sin embargo, resulta fundamental observar el crecimiento real de la demanda, comparándolo con las capacidades de compra de la población existente y la población futura potencial, tal como lo hacen los países de la OCDE en cuanto a la medición del potencial de sus clases consumidoras a futuro.</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El nacimiento de la sociedad consumo peruana</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Si se considera que un individuo que gana más de US$10 diarios, es decir más de US$3600 anuales, es capaz de consumir gran parte de esos ingresos en bienes que no sean únicamente alimentos y vestido, estamos frente a un fenómeno económico concreto: el nacimiento de una auténtica sociedad de consumo peruana</w:t>
      </w:r>
      <w:r w:rsidRPr="00EE003F">
        <w:rPr>
          <w:rStyle w:val="Refdenotaalpie"/>
          <w:rFonts w:ascii="Arial Narrow" w:hAnsi="Arial Narrow" w:cs="FrutigerLTStd-BlackCn"/>
          <w:sz w:val="24"/>
          <w:szCs w:val="24"/>
        </w:rPr>
        <w:footnoteReference w:id="14"/>
      </w:r>
      <w:r w:rsidRPr="00EE003F">
        <w:rPr>
          <w:rFonts w:ascii="Arial Narrow" w:hAnsi="Arial Narrow" w:cs="FrutigerLTStd-BlackCn"/>
          <w:sz w:val="24"/>
          <w:szCs w:val="24"/>
        </w:rPr>
        <w:t xml:space="preserve">. Se presentan escenarios de la evolución de la “clase consumidora” (ingreso superior a US$ 10 diarios) en el Perú con las proyecciones del PBI del Informe Pre-Electoral Administración 2011-2016 y el escenario exploratorio resultado de las interacciones del modelo </w:t>
      </w:r>
      <w:proofErr w:type="spellStart"/>
      <w:r w:rsidRPr="00EE003F">
        <w:rPr>
          <w:rFonts w:ascii="Arial Narrow" w:hAnsi="Arial Narrow" w:cs="FrutigerLTStd-BlackCn"/>
          <w:sz w:val="24"/>
          <w:szCs w:val="24"/>
        </w:rPr>
        <w:t>IFs</w:t>
      </w:r>
      <w:proofErr w:type="spellEnd"/>
      <w:r w:rsidRPr="00EE003F">
        <w:rPr>
          <w:rFonts w:ascii="Arial Narrow" w:hAnsi="Arial Narrow" w:cs="FrutigerLTStd-BlackCn"/>
          <w:sz w:val="24"/>
          <w:szCs w:val="24"/>
        </w:rPr>
        <w:t xml:space="preserve">, para los años 2021, 2030 y 2050. Los escenarios del 2030 y 2050 asumirán la tasa de crecimiento promedio de los periodos 2011-2021, según el Informe Pre-electoral y según el modelo </w:t>
      </w:r>
      <w:proofErr w:type="spellStart"/>
      <w:r w:rsidRPr="00EE003F">
        <w:rPr>
          <w:rFonts w:ascii="Arial Narrow" w:hAnsi="Arial Narrow" w:cs="FrutigerLTStd-BlackCn"/>
          <w:sz w:val="24"/>
          <w:szCs w:val="24"/>
        </w:rPr>
        <w:t>IFs</w:t>
      </w:r>
      <w:proofErr w:type="spellEnd"/>
      <w:r w:rsidRPr="00EE003F">
        <w:rPr>
          <w:rFonts w:ascii="Arial Narrow" w:hAnsi="Arial Narrow" w:cs="FrutigerLTStd-BlackCn"/>
          <w:sz w:val="24"/>
          <w:szCs w:val="24"/>
        </w:rPr>
        <w:t>, 4,6% y 5,0% respectivamente.</w:t>
      </w: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p>
    <w:p w:rsidR="00970D1C" w:rsidRPr="00EE003F" w:rsidRDefault="00970D1C" w:rsidP="008E508F">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Hacia el 2021, el escenario exploratorio optimista (5,4%) plantea que la clase consumidora sería 1,4 millones mayor que aquel del escenario apuesta (4,3%), representando 45% del total de la población. En cuanto a los escenarios del 2050, la clase consumidora del escenario apuesta estaría conformada por 28,1 millones de personas, mientras que bajo el escenario exploratorio optimista de 5,0% la clase consumidora sería 4 puntos porcentuales </w:t>
      </w:r>
      <w:proofErr w:type="gramStart"/>
      <w:r w:rsidRPr="00EE003F">
        <w:rPr>
          <w:rFonts w:ascii="Arial Narrow" w:hAnsi="Arial Narrow" w:cs="FrutigerLTStd-BlackCn"/>
          <w:sz w:val="24"/>
          <w:szCs w:val="24"/>
        </w:rPr>
        <w:t>mayor</w:t>
      </w:r>
      <w:proofErr w:type="gramEnd"/>
      <w:r w:rsidRPr="00EE003F">
        <w:rPr>
          <w:rFonts w:ascii="Arial Narrow" w:hAnsi="Arial Narrow" w:cs="FrutigerLTStd-BlackCn"/>
          <w:sz w:val="24"/>
          <w:szCs w:val="24"/>
        </w:rPr>
        <w:t>, es decir, el tamaño potencial de la clase consumidora alcanzaría los 30 millones de personas.</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cs="FrutigerLTStd-BlackCn"/>
          <w:noProof/>
          <w:sz w:val="24"/>
          <w:szCs w:val="24"/>
          <w:lang w:eastAsia="es-PE"/>
        </w:rPr>
        <w:drawing>
          <wp:inline distT="0" distB="0" distL="0" distR="0" wp14:anchorId="677F1279" wp14:editId="10F4874C">
            <wp:extent cx="5406887" cy="2607228"/>
            <wp:effectExtent l="0" t="0" r="3810" b="317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1580" cy="2604669"/>
                    </a:xfrm>
                    <a:prstGeom prst="rect">
                      <a:avLst/>
                    </a:prstGeom>
                    <a:noFill/>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CE447A">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Sin embargo, para alcanzar estos objetivos del escenario apuesta es necesario que se ejecuten políticas orientadas a incrementar y reforzar las condiciones del empleo en el país, priorizando la reducción de los alarmantes niveles de informalidad laboral con los que hoy contamos. En este sentido, el PNDP toma estos objetivos considerando que si bien el país ha logrado buenos indicadores de empleo como consecuencia del crecimiento, aún casi el 70% de los trabajadores urbanos permanecen dentro de la informalidad y con escasas capacidades técnicas</w:t>
      </w:r>
      <w:r w:rsidR="006E03D4" w:rsidRPr="00EE003F">
        <w:rPr>
          <w:rFonts w:ascii="Arial Narrow" w:hAnsi="Arial Narrow" w:cs="FrutigerLTStd-BlackCn"/>
          <w:sz w:val="24"/>
          <w:szCs w:val="24"/>
        </w:rPr>
        <w:t xml:space="preserve">. Esta situación </w:t>
      </w:r>
      <w:r w:rsidRPr="00EE003F">
        <w:rPr>
          <w:rFonts w:ascii="Arial Narrow" w:hAnsi="Arial Narrow" w:cs="FrutigerLTStd-BlackCn"/>
          <w:sz w:val="24"/>
          <w:szCs w:val="24"/>
        </w:rPr>
        <w:t xml:space="preserve">pone en riesgo </w:t>
      </w:r>
      <w:r w:rsidR="006E03D4" w:rsidRPr="00EE003F">
        <w:rPr>
          <w:rFonts w:ascii="Arial Narrow" w:hAnsi="Arial Narrow" w:cs="FrutigerLTStd-BlackCn"/>
          <w:sz w:val="24"/>
          <w:szCs w:val="24"/>
        </w:rPr>
        <w:t>a</w:t>
      </w:r>
      <w:r w:rsidRPr="00EE003F">
        <w:rPr>
          <w:rFonts w:ascii="Arial Narrow" w:hAnsi="Arial Narrow" w:cs="FrutigerLTStd-BlackCn"/>
          <w:sz w:val="24"/>
          <w:szCs w:val="24"/>
        </w:rPr>
        <w:t xml:space="preserve"> la productividad de las empresas y el país</w:t>
      </w:r>
      <w:r w:rsidR="006E03D4" w:rsidRPr="00EE003F">
        <w:rPr>
          <w:rFonts w:ascii="Arial Narrow" w:hAnsi="Arial Narrow" w:cs="FrutigerLTStd-BlackCn"/>
          <w:sz w:val="24"/>
          <w:szCs w:val="24"/>
        </w:rPr>
        <w:t xml:space="preserve">. Además, </w:t>
      </w:r>
      <w:r w:rsidR="00204CD4" w:rsidRPr="00EE003F">
        <w:rPr>
          <w:rFonts w:ascii="Arial Narrow" w:hAnsi="Arial Narrow" w:cs="FrutigerLTStd-BlackCn"/>
          <w:sz w:val="24"/>
          <w:szCs w:val="24"/>
        </w:rPr>
        <w:t>hace más difícil la consolidación de las</w:t>
      </w:r>
      <w:r w:rsidRPr="00EE003F">
        <w:rPr>
          <w:rFonts w:ascii="Arial Narrow" w:hAnsi="Arial Narrow" w:cs="FrutigerLTStd-BlackCn"/>
          <w:sz w:val="24"/>
          <w:szCs w:val="24"/>
        </w:rPr>
        <w:t xml:space="preserve"> clases consumidoras nacionales</w:t>
      </w:r>
      <w:r w:rsidR="00204CD4" w:rsidRPr="00EE003F">
        <w:rPr>
          <w:rFonts w:ascii="Arial Narrow" w:hAnsi="Arial Narrow" w:cs="FrutigerLTStd-BlackCn"/>
          <w:sz w:val="24"/>
          <w:szCs w:val="24"/>
        </w:rPr>
        <w:t xml:space="preserve"> porque son vulnerables a crisis internacionales.</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cs="RotisSemiSans"/>
          <w:b/>
          <w:sz w:val="28"/>
          <w:szCs w:val="28"/>
          <w:lang w:val="es-ES_tradnl"/>
        </w:rPr>
      </w:pPr>
      <w:r w:rsidRPr="00EE003F">
        <w:rPr>
          <w:rFonts w:cs="RotisSemiSans"/>
          <w:b/>
          <w:sz w:val="28"/>
          <w:szCs w:val="28"/>
          <w:lang w:val="es-ES_tradnl"/>
        </w:rPr>
        <w:t>Prioridades nacionales mirando el largo plazo</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Salud y educación</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CE447A">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En el Pacto de Desarrollo del Milenio, se sostiene que las primeras medidas a las que los países en desarrollo tienen que dar máxima prioridad para salir de la pobreza, son la salud y la educación pública. Todo esto en búsqueda del crecimiento económico de largo plazo que asegure el desarrollo humano. En lo que respecta al nivel de gasto público peruano en educación y salud, si las tendencias se mantienen, tendrían una participación en el 2021 de 6,1% </w:t>
      </w:r>
      <w:r w:rsidR="00204CD4" w:rsidRPr="00EE003F">
        <w:rPr>
          <w:rFonts w:ascii="Arial Narrow" w:hAnsi="Arial Narrow" w:cs="FrutigerLTStd-BlackCn"/>
          <w:sz w:val="24"/>
          <w:szCs w:val="24"/>
        </w:rPr>
        <w:t xml:space="preserve">del PBI </w:t>
      </w:r>
      <w:r w:rsidRPr="00EE003F">
        <w:rPr>
          <w:rFonts w:ascii="Arial Narrow" w:hAnsi="Arial Narrow" w:cs="FrutigerLTStd-BlackCn"/>
          <w:sz w:val="24"/>
          <w:szCs w:val="24"/>
        </w:rPr>
        <w:t>superior al 5,5% que presentaba en el 2010.</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noProof/>
          <w:sz w:val="24"/>
          <w:szCs w:val="24"/>
          <w:lang w:eastAsia="es-PE"/>
        </w:rPr>
        <w:drawing>
          <wp:inline distT="0" distB="0" distL="0" distR="0" wp14:anchorId="0FF73233" wp14:editId="194D7BDD">
            <wp:extent cx="4373245" cy="3140710"/>
            <wp:effectExtent l="0" t="0" r="8255" b="254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73245" cy="3140710"/>
                    </a:xfrm>
                    <a:prstGeom prst="rect">
                      <a:avLst/>
                    </a:prstGeom>
                    <a:noFill/>
                    <a:ln>
                      <a:noFill/>
                    </a:ln>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CE447A">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Debido a que la salud y la educación son fundamentales para el desarrollo, </w:t>
      </w:r>
      <w:r w:rsidR="00204CD4" w:rsidRPr="00EE003F">
        <w:rPr>
          <w:rFonts w:ascii="Arial Narrow" w:hAnsi="Arial Narrow" w:cs="FrutigerLTStd-BlackCn"/>
          <w:sz w:val="24"/>
          <w:szCs w:val="24"/>
        </w:rPr>
        <w:t xml:space="preserve">se espera que </w:t>
      </w:r>
      <w:r w:rsidR="008433AB" w:rsidRPr="00EE003F">
        <w:rPr>
          <w:rFonts w:ascii="Arial Narrow" w:hAnsi="Arial Narrow" w:cs="FrutigerLTStd-BlackCn"/>
          <w:sz w:val="24"/>
          <w:szCs w:val="24"/>
        </w:rPr>
        <w:t>la consolidación de las reformas desarrollada en estos sectores permita</w:t>
      </w:r>
      <w:r w:rsidR="00204CD4" w:rsidRPr="00EE003F">
        <w:rPr>
          <w:rFonts w:ascii="Arial Narrow" w:hAnsi="Arial Narrow" w:cs="FrutigerLTStd-BlackCn"/>
          <w:sz w:val="24"/>
          <w:szCs w:val="24"/>
        </w:rPr>
        <w:t xml:space="preserve"> un </w:t>
      </w:r>
      <w:r w:rsidRPr="00EE003F">
        <w:rPr>
          <w:rFonts w:ascii="Arial Narrow" w:hAnsi="Arial Narrow" w:cs="FrutigerLTStd-BlackCn"/>
          <w:sz w:val="24"/>
          <w:szCs w:val="24"/>
        </w:rPr>
        <w:t xml:space="preserve">incremento </w:t>
      </w:r>
      <w:r w:rsidR="008433AB" w:rsidRPr="00EE003F">
        <w:rPr>
          <w:rFonts w:ascii="Arial Narrow" w:hAnsi="Arial Narrow" w:cs="FrutigerLTStd-BlackCn"/>
          <w:sz w:val="24"/>
          <w:szCs w:val="24"/>
        </w:rPr>
        <w:t xml:space="preserve">de la </w:t>
      </w:r>
      <w:r w:rsidRPr="00EE003F">
        <w:rPr>
          <w:rFonts w:ascii="Arial Narrow" w:hAnsi="Arial Narrow" w:cs="FrutigerLTStd-BlackCn"/>
          <w:sz w:val="24"/>
          <w:szCs w:val="24"/>
        </w:rPr>
        <w:t>cobertura</w:t>
      </w:r>
      <w:r w:rsidR="00204CD4" w:rsidRPr="00EE003F">
        <w:rPr>
          <w:rFonts w:ascii="Arial Narrow" w:hAnsi="Arial Narrow" w:cs="FrutigerLTStd-BlackCn"/>
          <w:sz w:val="24"/>
          <w:szCs w:val="24"/>
        </w:rPr>
        <w:t xml:space="preserve"> y calidad</w:t>
      </w:r>
      <w:r w:rsidR="008433AB" w:rsidRPr="00EE003F">
        <w:rPr>
          <w:rFonts w:ascii="Arial Narrow" w:hAnsi="Arial Narrow" w:cs="FrutigerLTStd-BlackCn"/>
          <w:sz w:val="24"/>
          <w:szCs w:val="24"/>
        </w:rPr>
        <w:t xml:space="preserve"> de estos servicios</w:t>
      </w:r>
      <w:r w:rsidRPr="00EE003F">
        <w:rPr>
          <w:rFonts w:ascii="Arial Narrow" w:hAnsi="Arial Narrow" w:cs="FrutigerLTStd-BlackCn"/>
          <w:sz w:val="24"/>
          <w:szCs w:val="24"/>
        </w:rPr>
        <w:t>. Con estas medidas al 2021 se espera incrementar la inversión en educación hasta llegar al 6% del PBI, llegando a la meta planteada hace más de 10 años por el Acuerdo Nacional; de igual manera se espera incrementar la inversión en salud de manera significativa. Consolidar estas medidas nos permitirá al 2021 alcanzar los niveles de inversión de países como Argentina, Brasil, Chile y Colombia, cerrando así una brecha histórica con países de la región; del 2021 en adelante los esfuerzos se concentrarán en alcanzar los niveles de los países desarrollados (OCDE).</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Efectividad gubernamental</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CE447A">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De acuerdo al Banco Mundial y otras instituciones multilaterales, este índice mide la competencia de la burocracia pública de los diversos países y la calidad de la prestación de servicios públicos</w:t>
      </w:r>
      <w:r w:rsidRPr="00EE003F">
        <w:rPr>
          <w:rStyle w:val="Refdenotaalpie"/>
          <w:rFonts w:ascii="Arial Narrow" w:hAnsi="Arial Narrow" w:cs="FrutigerLTStd-BlackCn"/>
          <w:sz w:val="24"/>
          <w:szCs w:val="24"/>
        </w:rPr>
        <w:footnoteReference w:id="15"/>
      </w:r>
      <w:r w:rsidRPr="00EE003F">
        <w:rPr>
          <w:rFonts w:ascii="Arial Narrow" w:hAnsi="Arial Narrow" w:cs="FrutigerLTStd-BlackCn"/>
          <w:sz w:val="24"/>
          <w:szCs w:val="24"/>
        </w:rPr>
        <w:t>. Así mismo, está asociada a la capacidad de sus instituciones para ejercer la autoridad pública e impulsar un desarrollo económico, social y político duradero</w:t>
      </w:r>
      <w:r w:rsidRPr="00EE003F">
        <w:rPr>
          <w:rStyle w:val="Refdenotaalpie"/>
          <w:rFonts w:ascii="Arial Narrow" w:hAnsi="Arial Narrow" w:cs="FrutigerLTStd-BlackCn"/>
          <w:sz w:val="24"/>
          <w:szCs w:val="24"/>
        </w:rPr>
        <w:footnoteReference w:id="16"/>
      </w:r>
      <w:r w:rsidRPr="00EE003F">
        <w:rPr>
          <w:rFonts w:ascii="Arial Narrow" w:hAnsi="Arial Narrow" w:cs="FrutigerLTStd-BlackCn"/>
          <w:sz w:val="24"/>
          <w:szCs w:val="24"/>
        </w:rPr>
        <w:t>.</w:t>
      </w:r>
    </w:p>
    <w:p w:rsidR="00970D1C" w:rsidRPr="00EE003F" w:rsidRDefault="00970D1C" w:rsidP="00CE447A">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En lo que respecta a la efectividad gubernamental, el camino por recorrer es largo para nuestro país. Al seguir la tendencia marcada en el índice del Banco Mundial, re-escalado usando el rango de 0 a 5, se observa que el Perú para el 2021 alcanzaría el valor de 2.</w:t>
      </w:r>
      <w:r w:rsidR="005810FC" w:rsidRPr="00EE003F">
        <w:rPr>
          <w:rFonts w:ascii="Arial Narrow" w:hAnsi="Arial Narrow" w:cs="FrutigerLTStd-BlackCn"/>
          <w:sz w:val="24"/>
          <w:szCs w:val="24"/>
        </w:rPr>
        <w:t>4</w:t>
      </w:r>
      <w:r w:rsidR="008433AB" w:rsidRPr="00EE003F">
        <w:rPr>
          <w:rFonts w:ascii="Arial Narrow" w:hAnsi="Arial Narrow" w:cs="FrutigerLTStd-BlackCn"/>
          <w:sz w:val="24"/>
          <w:szCs w:val="24"/>
        </w:rPr>
        <w:t>.</w:t>
      </w:r>
      <w:r w:rsidRPr="00EE003F">
        <w:rPr>
          <w:rFonts w:ascii="Arial Narrow" w:hAnsi="Arial Narrow" w:cs="FrutigerLTStd-BlackCn"/>
          <w:sz w:val="24"/>
          <w:szCs w:val="24"/>
        </w:rPr>
        <w:t xml:space="preserve"> Cabe agregar que un valor de 2.</w:t>
      </w:r>
      <w:r w:rsidR="00EE0E00" w:rsidRPr="00EE003F">
        <w:rPr>
          <w:rFonts w:ascii="Arial Narrow" w:hAnsi="Arial Narrow" w:cs="FrutigerLTStd-BlackCn"/>
          <w:sz w:val="24"/>
          <w:szCs w:val="24"/>
        </w:rPr>
        <w:t>4</w:t>
      </w:r>
      <w:r w:rsidRPr="00EE003F">
        <w:rPr>
          <w:rFonts w:ascii="Arial Narrow" w:hAnsi="Arial Narrow" w:cs="FrutigerLTStd-BlackCn"/>
          <w:sz w:val="24"/>
          <w:szCs w:val="24"/>
        </w:rPr>
        <w:t xml:space="preserve"> en el índice implica que el país está </w:t>
      </w:r>
      <w:r w:rsidR="00EE0E00" w:rsidRPr="00EE003F">
        <w:rPr>
          <w:rFonts w:ascii="Arial Narrow" w:hAnsi="Arial Narrow" w:cs="FrutigerLTStd-BlackCn"/>
          <w:sz w:val="24"/>
          <w:szCs w:val="24"/>
        </w:rPr>
        <w:t>alrededor d</w:t>
      </w:r>
      <w:r w:rsidRPr="00EE003F">
        <w:rPr>
          <w:rFonts w:ascii="Arial Narrow" w:hAnsi="Arial Narrow" w:cs="FrutigerLTStd-BlackCn"/>
          <w:sz w:val="24"/>
          <w:szCs w:val="24"/>
        </w:rPr>
        <w:t>el promedio mundial, por lo cual, para el año 2010, Perú se encontraba muy por debajo de países de la región como Chile y Uruguay.</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5810F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cs="FrutigerLTStd-BlackCn"/>
          <w:noProof/>
          <w:sz w:val="24"/>
          <w:szCs w:val="24"/>
          <w:lang w:eastAsia="es-PE"/>
        </w:rPr>
        <w:drawing>
          <wp:inline distT="0" distB="0" distL="0" distR="0" wp14:anchorId="4C957CA4" wp14:editId="1DDB71A1">
            <wp:extent cx="5048250" cy="2228913"/>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7789" cy="2228710"/>
                    </a:xfrm>
                    <a:prstGeom prst="rect">
                      <a:avLst/>
                    </a:prstGeom>
                    <a:noFill/>
                  </pic:spPr>
                </pic:pic>
              </a:graphicData>
            </a:graphic>
          </wp:inline>
        </w:drawing>
      </w:r>
    </w:p>
    <w:p w:rsidR="005810FC" w:rsidRPr="00EE003F" w:rsidRDefault="005810FC" w:rsidP="00970D1C">
      <w:pPr>
        <w:autoSpaceDE w:val="0"/>
        <w:autoSpaceDN w:val="0"/>
        <w:adjustRightInd w:val="0"/>
        <w:spacing w:after="0" w:line="240" w:lineRule="auto"/>
        <w:jc w:val="both"/>
        <w:rPr>
          <w:rFonts w:ascii="Arial Narrow" w:hAnsi="Arial Narrow" w:cs="FrutigerLTStd-BlackCn"/>
          <w:sz w:val="18"/>
          <w:szCs w:val="18"/>
        </w:rPr>
      </w:pPr>
      <w:r w:rsidRPr="00EE003F">
        <w:rPr>
          <w:rFonts w:ascii="Arial Narrow" w:hAnsi="Arial Narrow" w:cs="FrutigerLTStd-BlackCn"/>
          <w:sz w:val="18"/>
          <w:szCs w:val="18"/>
        </w:rPr>
        <w:t xml:space="preserve">Fuente: WGI - Banco Mundial, Modelo </w:t>
      </w:r>
      <w:proofErr w:type="spellStart"/>
      <w:r w:rsidRPr="00EE003F">
        <w:rPr>
          <w:rFonts w:ascii="Arial Narrow" w:hAnsi="Arial Narrow" w:cs="FrutigerLTStd-BlackCn"/>
          <w:sz w:val="18"/>
          <w:szCs w:val="18"/>
        </w:rPr>
        <w:t>IFs</w:t>
      </w:r>
      <w:proofErr w:type="spellEnd"/>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Infraestructura</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CE447A">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Es claro que la infraestructura tiene un alto impacto sobre el crecimiento económico de los países, lo cual lleva a un mayor desarrollo de</w:t>
      </w:r>
      <w:r w:rsidR="002E413E" w:rsidRPr="00EE003F">
        <w:rPr>
          <w:rFonts w:ascii="Arial Narrow" w:hAnsi="Arial Narrow" w:cs="FrutigerLTStd-BlackCn"/>
          <w:sz w:val="24"/>
          <w:szCs w:val="24"/>
        </w:rPr>
        <w:t xml:space="preserve"> la sociedad y los individuos. E</w:t>
      </w:r>
      <w:r w:rsidRPr="00EE003F">
        <w:rPr>
          <w:rFonts w:ascii="Arial Narrow" w:hAnsi="Arial Narrow" w:cs="FrutigerLTStd-BlackCn"/>
          <w:sz w:val="24"/>
          <w:szCs w:val="24"/>
        </w:rPr>
        <w:t xml:space="preserve">n estudios realizados en </w:t>
      </w:r>
      <w:r w:rsidR="002E413E" w:rsidRPr="00EE003F">
        <w:rPr>
          <w:rFonts w:ascii="Arial Narrow" w:hAnsi="Arial Narrow" w:cs="FrutigerLTStd-BlackCn"/>
          <w:sz w:val="24"/>
          <w:szCs w:val="24"/>
        </w:rPr>
        <w:t>Reino Unido</w:t>
      </w:r>
      <w:r w:rsidR="005C08C5" w:rsidRPr="00EE003F">
        <w:rPr>
          <w:rStyle w:val="Refdenotaalpie"/>
          <w:rFonts w:ascii="Arial Narrow" w:hAnsi="Arial Narrow" w:cs="FrutigerLTStd-BlackCn"/>
          <w:sz w:val="24"/>
          <w:szCs w:val="24"/>
        </w:rPr>
        <w:footnoteReference w:id="17"/>
      </w:r>
      <w:r w:rsidR="002E413E" w:rsidRPr="00EE003F">
        <w:rPr>
          <w:rFonts w:ascii="Arial Narrow" w:hAnsi="Arial Narrow" w:cs="FrutigerLTStd-BlackCn"/>
          <w:sz w:val="24"/>
          <w:szCs w:val="24"/>
        </w:rPr>
        <w:t xml:space="preserve"> </w:t>
      </w:r>
      <w:r w:rsidRPr="00EE003F">
        <w:rPr>
          <w:rFonts w:ascii="Arial Narrow" w:hAnsi="Arial Narrow" w:cs="FrutigerLTStd-BlackCn"/>
          <w:sz w:val="24"/>
          <w:szCs w:val="24"/>
        </w:rPr>
        <w:t>se tiene que el multiplicador entre la inversión en infraestructura y el impacto en PBI, dependiendo de l</w:t>
      </w:r>
      <w:r w:rsidR="005C08C5" w:rsidRPr="00EE003F">
        <w:rPr>
          <w:rFonts w:ascii="Arial Narrow" w:hAnsi="Arial Narrow" w:cs="FrutigerLTStd-BlackCn"/>
          <w:sz w:val="24"/>
          <w:szCs w:val="24"/>
        </w:rPr>
        <w:t>a economía, puede ser hasta 1,3. E</w:t>
      </w:r>
      <w:r w:rsidRPr="00EE003F">
        <w:rPr>
          <w:rFonts w:ascii="Arial Narrow" w:hAnsi="Arial Narrow" w:cs="FrutigerLTStd-BlackCn"/>
          <w:sz w:val="24"/>
          <w:szCs w:val="24"/>
        </w:rPr>
        <w:t>s decir por cada libra esterlina que se invierte se tiene un impacto positivo de 1</w:t>
      </w:r>
      <w:r w:rsidR="005C08C5" w:rsidRPr="00EE003F">
        <w:rPr>
          <w:rFonts w:ascii="Arial Narrow" w:hAnsi="Arial Narrow" w:cs="FrutigerLTStd-BlackCn"/>
          <w:sz w:val="24"/>
          <w:szCs w:val="24"/>
        </w:rPr>
        <w:t>,3 libras en el PBI de ese país</w:t>
      </w:r>
      <w:r w:rsidRPr="00EE003F">
        <w:rPr>
          <w:rFonts w:ascii="Arial Narrow" w:hAnsi="Arial Narrow" w:cs="FrutigerLTStd-BlackCn"/>
          <w:sz w:val="24"/>
          <w:szCs w:val="24"/>
        </w:rPr>
        <w:t>.</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noProof/>
          <w:sz w:val="24"/>
          <w:szCs w:val="24"/>
          <w:lang w:eastAsia="es-PE"/>
        </w:rPr>
        <w:drawing>
          <wp:inline distT="0" distB="0" distL="0" distR="0" wp14:anchorId="06A2DCFF" wp14:editId="3104DC42">
            <wp:extent cx="4603750" cy="3506470"/>
            <wp:effectExtent l="0" t="0" r="635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3750" cy="3506470"/>
                    </a:xfrm>
                    <a:prstGeom prst="rect">
                      <a:avLst/>
                    </a:prstGeom>
                    <a:noFill/>
                    <a:ln>
                      <a:noFill/>
                    </a:ln>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7C168B" w:rsidRPr="00EE003F" w:rsidRDefault="007C168B" w:rsidP="00970D1C">
      <w:pPr>
        <w:autoSpaceDE w:val="0"/>
        <w:autoSpaceDN w:val="0"/>
        <w:adjustRightInd w:val="0"/>
        <w:spacing w:after="0" w:line="240" w:lineRule="auto"/>
        <w:jc w:val="both"/>
        <w:rPr>
          <w:rFonts w:ascii="Arial Narrow" w:hAnsi="Arial Narrow" w:cs="FrutigerLTStd-BlackCn"/>
          <w:sz w:val="24"/>
          <w:szCs w:val="24"/>
        </w:rPr>
      </w:pPr>
    </w:p>
    <w:p w:rsidR="007C168B" w:rsidRPr="00EE003F" w:rsidRDefault="007C168B"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r w:rsidRPr="00EE003F">
        <w:rPr>
          <w:rFonts w:ascii="Arial Narrow" w:hAnsi="Arial Narrow" w:cs="FrutigerLTStd-BlackCn"/>
          <w:b/>
          <w:sz w:val="24"/>
          <w:szCs w:val="24"/>
        </w:rPr>
        <w:t>Ciencia y tecnología</w:t>
      </w:r>
    </w:p>
    <w:p w:rsidR="00970D1C" w:rsidRPr="00EE003F" w:rsidRDefault="00970D1C" w:rsidP="00970D1C">
      <w:pPr>
        <w:autoSpaceDE w:val="0"/>
        <w:autoSpaceDN w:val="0"/>
        <w:adjustRightInd w:val="0"/>
        <w:spacing w:after="0" w:line="240" w:lineRule="auto"/>
        <w:jc w:val="both"/>
        <w:rPr>
          <w:rFonts w:ascii="Arial Narrow" w:hAnsi="Arial Narrow" w:cs="FrutigerLTStd-BlackCn"/>
          <w:b/>
          <w:sz w:val="24"/>
          <w:szCs w:val="24"/>
        </w:rPr>
      </w:pPr>
    </w:p>
    <w:p w:rsidR="00970D1C" w:rsidRPr="00EE003F" w:rsidRDefault="00970D1C" w:rsidP="00CE447A">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Ningún país que haya pensado seriamente en el desarrollo ha tenido avances sin una política sólida de ciencia y tecnología. Tanto en las naciones occidentales desarrolladas que avanzaron fuertemente en los siglos XIX y XX (con énfasis en los modelos de Estados Unidos, Alemania, Inglaterra y Japón)</w:t>
      </w:r>
      <w:r w:rsidRPr="00EE003F">
        <w:rPr>
          <w:rStyle w:val="Refdenotaalpie"/>
          <w:rFonts w:ascii="Arial Narrow" w:hAnsi="Arial Narrow" w:cs="FrutigerLTStd-BlackCn"/>
          <w:sz w:val="24"/>
          <w:szCs w:val="24"/>
        </w:rPr>
        <w:footnoteReference w:id="18"/>
      </w:r>
      <w:r w:rsidRPr="00EE003F">
        <w:rPr>
          <w:rFonts w:ascii="Arial Narrow" w:hAnsi="Arial Narrow" w:cs="FrutigerLTStd-BlackCn"/>
          <w:sz w:val="24"/>
          <w:szCs w:val="24"/>
        </w:rPr>
        <w:t xml:space="preserve"> como en las economías que están actualmente en la cresta del desarrollo (China, India, Singapur, Indonesia, Taiwán, entre otras) se consideró en su momento como fundamental crear un sistema de ciencia y tecnología sólido, con fondos del Estado y de privados, en el cual se tuviese una inversión importante en innovación. Todo este sistema tiene como centro la promoción del científico como ente generador de conocimiento y articula los siguientes elementos: contexto institucional, recursos y marco regulatorio sólido para la investigación, infraestructura de la comunicación, condiciones de mercado, condiciones de producto y por último el sistema de educación y entrenamiento adecuado</w:t>
      </w:r>
      <w:r w:rsidRPr="00EE003F">
        <w:rPr>
          <w:rStyle w:val="Refdenotaalpie"/>
          <w:rFonts w:ascii="Arial Narrow" w:hAnsi="Arial Narrow" w:cs="FrutigerLTStd-BlackCn"/>
          <w:sz w:val="24"/>
          <w:szCs w:val="24"/>
        </w:rPr>
        <w:footnoteReference w:id="19"/>
      </w:r>
      <w:r w:rsidRPr="00EE003F">
        <w:rPr>
          <w:rFonts w:ascii="Arial Narrow" w:hAnsi="Arial Narrow" w:cs="FrutigerLTStd-BlackCn"/>
          <w:sz w:val="24"/>
          <w:szCs w:val="24"/>
        </w:rPr>
        <w:t>.</w:t>
      </w:r>
    </w:p>
    <w:p w:rsidR="00970D1C" w:rsidRPr="00EE003F" w:rsidRDefault="00970D1C" w:rsidP="00984144">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 xml:space="preserve">El Perú ha </w:t>
      </w:r>
      <w:r w:rsidR="00984144" w:rsidRPr="00EE003F">
        <w:rPr>
          <w:rFonts w:ascii="Arial Narrow" w:hAnsi="Arial Narrow" w:cs="FrutigerLTStd-BlackCn"/>
          <w:sz w:val="24"/>
          <w:szCs w:val="24"/>
        </w:rPr>
        <w:t>iniciado</w:t>
      </w:r>
      <w:r w:rsidRPr="00EE003F">
        <w:rPr>
          <w:rFonts w:ascii="Arial Narrow" w:hAnsi="Arial Narrow" w:cs="FrutigerLTStd-BlackCn"/>
          <w:sz w:val="24"/>
          <w:szCs w:val="24"/>
        </w:rPr>
        <w:t xml:space="preserve"> una política de ciencia y tecnología</w:t>
      </w:r>
      <w:r w:rsidR="00984144" w:rsidRPr="00EE003F">
        <w:rPr>
          <w:rFonts w:ascii="Arial Narrow" w:hAnsi="Arial Narrow" w:cs="FrutigerLTStd-BlackCn"/>
          <w:sz w:val="24"/>
          <w:szCs w:val="24"/>
        </w:rPr>
        <w:t xml:space="preserve"> que busca</w:t>
      </w:r>
      <w:r w:rsidRPr="00EE003F">
        <w:rPr>
          <w:rFonts w:ascii="Arial Narrow" w:hAnsi="Arial Narrow" w:cs="FrutigerLTStd-BlackCn"/>
          <w:sz w:val="24"/>
          <w:szCs w:val="24"/>
        </w:rPr>
        <w:t xml:space="preserve"> considera</w:t>
      </w:r>
      <w:r w:rsidR="00984144" w:rsidRPr="00EE003F">
        <w:rPr>
          <w:rFonts w:ascii="Arial Narrow" w:hAnsi="Arial Narrow" w:cs="FrutigerLTStd-BlackCn"/>
          <w:sz w:val="24"/>
          <w:szCs w:val="24"/>
        </w:rPr>
        <w:t>r</w:t>
      </w:r>
      <w:r w:rsidRPr="00EE003F">
        <w:rPr>
          <w:rFonts w:ascii="Arial Narrow" w:hAnsi="Arial Narrow" w:cs="FrutigerLTStd-BlackCn"/>
          <w:sz w:val="24"/>
          <w:szCs w:val="24"/>
        </w:rPr>
        <w:t xml:space="preserve"> la infraestructura </w:t>
      </w:r>
      <w:r w:rsidR="00984144" w:rsidRPr="00EE003F">
        <w:rPr>
          <w:rFonts w:ascii="Arial Narrow" w:hAnsi="Arial Narrow" w:cs="FrutigerLTStd-BlackCn"/>
          <w:sz w:val="24"/>
          <w:szCs w:val="24"/>
        </w:rPr>
        <w:t>y</w:t>
      </w:r>
      <w:r w:rsidRPr="00EE003F">
        <w:rPr>
          <w:rFonts w:ascii="Arial Narrow" w:hAnsi="Arial Narrow" w:cs="FrutigerLTStd-BlackCn"/>
          <w:sz w:val="24"/>
          <w:szCs w:val="24"/>
        </w:rPr>
        <w:t xml:space="preserve"> los recursos para investigación en ciencias básicas </w:t>
      </w:r>
      <w:r w:rsidR="00984144" w:rsidRPr="00EE003F">
        <w:rPr>
          <w:rFonts w:ascii="Arial Narrow" w:hAnsi="Arial Narrow" w:cs="FrutigerLTStd-BlackCn"/>
          <w:sz w:val="24"/>
          <w:szCs w:val="24"/>
        </w:rPr>
        <w:t>y</w:t>
      </w:r>
      <w:r w:rsidRPr="00EE003F">
        <w:rPr>
          <w:rFonts w:ascii="Arial Narrow" w:hAnsi="Arial Narrow" w:cs="FrutigerLTStd-BlackCn"/>
          <w:sz w:val="24"/>
          <w:szCs w:val="24"/>
        </w:rPr>
        <w:t xml:space="preserve"> aplicadas; </w:t>
      </w:r>
      <w:r w:rsidR="00984144" w:rsidRPr="00EE003F">
        <w:rPr>
          <w:rFonts w:ascii="Arial Narrow" w:hAnsi="Arial Narrow" w:cs="FrutigerLTStd-BlackCn"/>
          <w:sz w:val="24"/>
          <w:szCs w:val="24"/>
        </w:rPr>
        <w:t>así como</w:t>
      </w:r>
      <w:r w:rsidRPr="00EE003F">
        <w:rPr>
          <w:rFonts w:ascii="Arial Narrow" w:hAnsi="Arial Narrow" w:cs="FrutigerLTStd-BlackCn"/>
          <w:sz w:val="24"/>
          <w:szCs w:val="24"/>
        </w:rPr>
        <w:t xml:space="preserve"> incentiva</w:t>
      </w:r>
      <w:r w:rsidR="00984144" w:rsidRPr="00EE003F">
        <w:rPr>
          <w:rFonts w:ascii="Arial Narrow" w:hAnsi="Arial Narrow" w:cs="FrutigerLTStd-BlackCn"/>
          <w:sz w:val="24"/>
          <w:szCs w:val="24"/>
        </w:rPr>
        <w:t>r</w:t>
      </w:r>
      <w:r w:rsidRPr="00EE003F">
        <w:rPr>
          <w:rFonts w:ascii="Arial Narrow" w:hAnsi="Arial Narrow" w:cs="FrutigerLTStd-BlackCn"/>
          <w:sz w:val="24"/>
          <w:szCs w:val="24"/>
        </w:rPr>
        <w:t xml:space="preserve"> a los científicos a </w:t>
      </w:r>
      <w:r w:rsidR="00984144" w:rsidRPr="00EE003F">
        <w:rPr>
          <w:rFonts w:ascii="Arial Narrow" w:hAnsi="Arial Narrow" w:cs="FrutigerLTStd-BlackCn"/>
          <w:sz w:val="24"/>
          <w:szCs w:val="24"/>
        </w:rPr>
        <w:t>permanecer</w:t>
      </w:r>
      <w:r w:rsidRPr="00EE003F">
        <w:rPr>
          <w:rFonts w:ascii="Arial Narrow" w:hAnsi="Arial Narrow" w:cs="FrutigerLTStd-BlackCn"/>
          <w:sz w:val="24"/>
          <w:szCs w:val="24"/>
        </w:rPr>
        <w:t xml:space="preserve"> en el país </w:t>
      </w:r>
      <w:r w:rsidR="00984144" w:rsidRPr="00EE003F">
        <w:rPr>
          <w:rFonts w:ascii="Arial Narrow" w:hAnsi="Arial Narrow" w:cs="FrutigerLTStd-BlackCn"/>
          <w:sz w:val="24"/>
          <w:szCs w:val="24"/>
        </w:rPr>
        <w:t>y</w:t>
      </w:r>
      <w:r w:rsidRPr="00EE003F">
        <w:rPr>
          <w:rFonts w:ascii="Arial Narrow" w:hAnsi="Arial Narrow" w:cs="FrutigerLTStd-BlackCn"/>
          <w:sz w:val="24"/>
          <w:szCs w:val="24"/>
        </w:rPr>
        <w:t xml:space="preserve"> proteg</w:t>
      </w:r>
      <w:r w:rsidR="00984144" w:rsidRPr="00EE003F">
        <w:rPr>
          <w:rFonts w:ascii="Arial Narrow" w:hAnsi="Arial Narrow" w:cs="FrutigerLTStd-BlackCn"/>
          <w:sz w:val="24"/>
          <w:szCs w:val="24"/>
        </w:rPr>
        <w:t xml:space="preserve">er su trabajo y patentes. </w:t>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r w:rsidRPr="00EE003F">
        <w:rPr>
          <w:rFonts w:ascii="Arial Narrow" w:hAnsi="Arial Narrow"/>
          <w:noProof/>
          <w:sz w:val="24"/>
          <w:szCs w:val="24"/>
          <w:lang w:eastAsia="es-PE"/>
        </w:rPr>
        <w:drawing>
          <wp:inline distT="0" distB="0" distL="0" distR="0" wp14:anchorId="22829D9B" wp14:editId="07E4FDAE">
            <wp:extent cx="4373245" cy="1939925"/>
            <wp:effectExtent l="0" t="0" r="8255" b="317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3245" cy="1939925"/>
                    </a:xfrm>
                    <a:prstGeom prst="rect">
                      <a:avLst/>
                    </a:prstGeom>
                    <a:noFill/>
                    <a:ln>
                      <a:noFill/>
                    </a:ln>
                  </pic:spPr>
                </pic:pic>
              </a:graphicData>
            </a:graphic>
          </wp:inline>
        </w:drawing>
      </w:r>
    </w:p>
    <w:p w:rsidR="00970D1C" w:rsidRPr="00EE003F" w:rsidRDefault="00970D1C" w:rsidP="00970D1C">
      <w:pPr>
        <w:autoSpaceDE w:val="0"/>
        <w:autoSpaceDN w:val="0"/>
        <w:adjustRightInd w:val="0"/>
        <w:spacing w:after="0" w:line="240" w:lineRule="auto"/>
        <w:jc w:val="both"/>
        <w:rPr>
          <w:rFonts w:ascii="Arial Narrow" w:hAnsi="Arial Narrow" w:cs="FrutigerLTStd-BlackCn"/>
          <w:sz w:val="24"/>
          <w:szCs w:val="24"/>
        </w:rPr>
      </w:pPr>
    </w:p>
    <w:p w:rsidR="00970D1C" w:rsidRPr="00EE003F" w:rsidRDefault="00970D1C" w:rsidP="00CE447A">
      <w:p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Pero para desarrollar la ciencia y tecnología en el país no sólo se necesitan recursos económicos, sino apoyo para su focalización en los proyectos adecuados. De las experiencias internacionales mencionadas anteriormente podemos resumir la necesidad de algunas medidas prioritarias para los próximos años de esta década y que están siendo actualmente aplicados por países vecinos, por ejemplo:</w:t>
      </w:r>
    </w:p>
    <w:p w:rsidR="00970D1C" w:rsidRPr="00EE003F" w:rsidRDefault="00970D1C" w:rsidP="00CE447A">
      <w:pPr>
        <w:pStyle w:val="Prrafodelista"/>
        <w:numPr>
          <w:ilvl w:val="0"/>
          <w:numId w:val="5"/>
        </w:num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Desarrollo de laboratorios tecnológicos de calidad mundial en sectores prioritarios, analizados por potencial, (por ejemplo biotecnología)</w:t>
      </w:r>
    </w:p>
    <w:p w:rsidR="00970D1C" w:rsidRPr="00EE003F" w:rsidRDefault="00970D1C" w:rsidP="00CE447A">
      <w:pPr>
        <w:pStyle w:val="Prrafodelista"/>
        <w:numPr>
          <w:ilvl w:val="0"/>
          <w:numId w:val="5"/>
        </w:num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El desarrollo de un sistema de educación y entrenamiento de científicos adecuado, basado en la atracción de universidades top del mundo al país y el envío de profesionales al extranjero.</w:t>
      </w:r>
    </w:p>
    <w:p w:rsidR="00970D1C" w:rsidRPr="00EE003F" w:rsidRDefault="00970D1C" w:rsidP="00CE447A">
      <w:pPr>
        <w:pStyle w:val="Prrafodelista"/>
        <w:numPr>
          <w:ilvl w:val="0"/>
          <w:numId w:val="5"/>
        </w:num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Políticas de atracción y retención de talentos (investigadores) nacionales y extranjeros.</w:t>
      </w:r>
    </w:p>
    <w:p w:rsidR="00970D1C" w:rsidRPr="00EE003F" w:rsidRDefault="00970D1C" w:rsidP="00CE447A">
      <w:pPr>
        <w:pStyle w:val="Prrafodelista"/>
        <w:numPr>
          <w:ilvl w:val="0"/>
          <w:numId w:val="5"/>
        </w:numPr>
        <w:autoSpaceDE w:val="0"/>
        <w:autoSpaceDN w:val="0"/>
        <w:adjustRightInd w:val="0"/>
        <w:spacing w:before="120" w:after="0" w:line="240" w:lineRule="auto"/>
        <w:jc w:val="both"/>
        <w:rPr>
          <w:rFonts w:ascii="Arial Narrow" w:hAnsi="Arial Narrow" w:cs="FrutigerLTStd-BlackCn"/>
          <w:sz w:val="24"/>
          <w:szCs w:val="24"/>
        </w:rPr>
      </w:pPr>
      <w:r w:rsidRPr="00EE003F">
        <w:rPr>
          <w:rFonts w:ascii="Arial Narrow" w:hAnsi="Arial Narrow" w:cs="FrutigerLTStd-BlackCn"/>
          <w:sz w:val="24"/>
          <w:szCs w:val="24"/>
        </w:rPr>
        <w:t>Marco legal sólido, que evite el plagio y la piratería.</w:t>
      </w:r>
    </w:p>
    <w:p w:rsidR="00970D1C" w:rsidRPr="00EE003F" w:rsidRDefault="00970D1C" w:rsidP="00CE447A">
      <w:pPr>
        <w:autoSpaceDE w:val="0"/>
        <w:autoSpaceDN w:val="0"/>
        <w:adjustRightInd w:val="0"/>
        <w:spacing w:before="120" w:after="0" w:line="240" w:lineRule="auto"/>
        <w:jc w:val="both"/>
        <w:rPr>
          <w:rFonts w:ascii="Arial Narrow" w:hAnsi="Arial Narrow" w:cs="FrutigerLTStd-BlackCn"/>
          <w:sz w:val="24"/>
          <w:szCs w:val="24"/>
        </w:rPr>
      </w:pPr>
    </w:p>
    <w:p w:rsidR="00D14220" w:rsidRPr="00EE003F" w:rsidRDefault="00970D1C" w:rsidP="004629B0">
      <w:pPr>
        <w:autoSpaceDE w:val="0"/>
        <w:autoSpaceDN w:val="0"/>
        <w:adjustRightInd w:val="0"/>
        <w:spacing w:before="120" w:after="0" w:line="240" w:lineRule="auto"/>
        <w:jc w:val="both"/>
        <w:rPr>
          <w:rFonts w:ascii="Arial Narrow" w:hAnsi="Arial Narrow"/>
          <w:b/>
          <w:sz w:val="24"/>
          <w:szCs w:val="24"/>
        </w:rPr>
      </w:pPr>
      <w:r w:rsidRPr="00EE003F">
        <w:rPr>
          <w:rFonts w:ascii="Arial Narrow" w:hAnsi="Arial Narrow" w:cs="FrutigerLTStd-BlackCn"/>
          <w:sz w:val="24"/>
          <w:szCs w:val="24"/>
        </w:rPr>
        <w:t xml:space="preserve">A modo de corolario de este capítulo, se puede afirmar que para que se materialice todo lo presentado hasta el momento, será necesario profundizar en las reformas en cada uno </w:t>
      </w:r>
      <w:r w:rsidR="00984144" w:rsidRPr="00EE003F">
        <w:rPr>
          <w:rFonts w:ascii="Arial Narrow" w:hAnsi="Arial Narrow" w:cs="FrutigerLTStd-BlackCn"/>
          <w:sz w:val="24"/>
          <w:szCs w:val="24"/>
        </w:rPr>
        <w:t>de los 6 ejes analizados en el p</w:t>
      </w:r>
      <w:r w:rsidRPr="00EE003F">
        <w:rPr>
          <w:rFonts w:ascii="Arial Narrow" w:hAnsi="Arial Narrow" w:cs="FrutigerLTStd-BlackCn"/>
          <w:sz w:val="24"/>
          <w:szCs w:val="24"/>
        </w:rPr>
        <w:t>lan a la brevedad, con el fin de conseguir un efecto transformador en los indicadores tanto económicos como sociales al 2021. Se deduce también que, salvo que exista un cambio fundamental en la tendencia de las principales variables fundamentales de nuestra economía, tanto en el sector público como en el privado.</w:t>
      </w:r>
    </w:p>
    <w:p w:rsidR="00553A81" w:rsidRPr="00EE003F" w:rsidRDefault="008B4B02" w:rsidP="009054AC">
      <w:pPr>
        <w:pStyle w:val="Ttulo1"/>
        <w:jc w:val="center"/>
        <w:rPr>
          <w:rFonts w:ascii="Arial Narrow" w:hAnsi="Arial Narrow"/>
          <w:b/>
          <w:bCs w:val="0"/>
          <w:sz w:val="28"/>
          <w:szCs w:val="26"/>
        </w:rPr>
      </w:pPr>
      <w:bookmarkStart w:id="21" w:name="_Toc453004662"/>
      <w:r w:rsidRPr="00EE003F">
        <w:rPr>
          <w:rFonts w:ascii="Arial Narrow" w:hAnsi="Arial Narrow"/>
          <w:b/>
          <w:sz w:val="32"/>
          <w:szCs w:val="32"/>
        </w:rPr>
        <w:t xml:space="preserve">CAPITULO </w:t>
      </w:r>
      <w:r w:rsidR="00E744D5" w:rsidRPr="00EE003F">
        <w:rPr>
          <w:rFonts w:ascii="Arial Narrow" w:hAnsi="Arial Narrow"/>
          <w:b/>
          <w:sz w:val="32"/>
          <w:szCs w:val="32"/>
        </w:rPr>
        <w:t>[5]</w:t>
      </w:r>
      <w:r w:rsidR="009054AC" w:rsidRPr="00EE003F">
        <w:rPr>
          <w:rFonts w:ascii="Arial Narrow" w:hAnsi="Arial Narrow"/>
          <w:b/>
          <w:sz w:val="32"/>
          <w:szCs w:val="32"/>
        </w:rPr>
        <w:t xml:space="preserve"> </w:t>
      </w:r>
      <w:r w:rsidR="009054AC" w:rsidRPr="00EE003F">
        <w:rPr>
          <w:rFonts w:ascii="Arial Narrow" w:hAnsi="Arial Narrow"/>
          <w:b/>
          <w:sz w:val="32"/>
          <w:szCs w:val="32"/>
        </w:rPr>
        <w:br/>
      </w:r>
      <w:r w:rsidR="00553A81" w:rsidRPr="00EE003F">
        <w:rPr>
          <w:rStyle w:val="Ttulo2Car"/>
        </w:rPr>
        <w:t>El Perú al 2021</w:t>
      </w:r>
      <w:bookmarkEnd w:id="21"/>
    </w:p>
    <w:p w:rsidR="00553A81" w:rsidRPr="00EE003F" w:rsidRDefault="00553A81" w:rsidP="004843F2">
      <w:pPr>
        <w:pStyle w:val="Ttulo2"/>
        <w:jc w:val="left"/>
        <w:rPr>
          <w:rFonts w:asciiTheme="minorHAnsi" w:hAnsiTheme="minorHAnsi"/>
          <w:lang w:val="es-ES_tradnl"/>
        </w:rPr>
      </w:pPr>
      <w:bookmarkStart w:id="22" w:name="_Toc453004663"/>
      <w:r w:rsidRPr="00EE003F">
        <w:rPr>
          <w:rFonts w:asciiTheme="minorHAnsi" w:hAnsiTheme="minorHAnsi"/>
          <w:lang w:val="es-ES_tradnl"/>
        </w:rPr>
        <w:t>Precisando la Visión del Perú al 2021</w:t>
      </w:r>
      <w:bookmarkEnd w:id="22"/>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0"/>
          <w:szCs w:val="24"/>
        </w:rPr>
      </w:pP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Debido a que la visión del Plan Estratégico de Desarrollo Nacional, establecida en el documento publicado en el año 2011, abarca todo el siglo XXI, se ha desarrollado un reto al 2021 generado a partir de:</w:t>
      </w:r>
    </w:p>
    <w:p w:rsidR="004C55CE" w:rsidRPr="00EE003F" w:rsidRDefault="004C55CE" w:rsidP="00CE447A">
      <w:pPr>
        <w:pStyle w:val="Prrafodelista"/>
        <w:numPr>
          <w:ilvl w:val="0"/>
          <w:numId w:val="6"/>
        </w:num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Encuesta ciudadana “Opinión para la actualización del Plan Estratégico de Desarrollo Nacional Perú hacia el 2021”, realizada a 100,000 personas en sus domicilios, en las 25 regiones del país.</w:t>
      </w:r>
    </w:p>
    <w:p w:rsidR="004C55CE" w:rsidRPr="00EE003F" w:rsidRDefault="004C55CE" w:rsidP="00CE447A">
      <w:pPr>
        <w:pStyle w:val="Prrafodelista"/>
        <w:numPr>
          <w:ilvl w:val="0"/>
          <w:numId w:val="6"/>
        </w:num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Encuesta de “Percepción y actitudes de los peruanos”, aplicada a 2,200 personas mayores de 18 años, para conocer su opinión acerca de las áreas donde el Gobierno debe actuar de manera prioritaria.</w:t>
      </w:r>
    </w:p>
    <w:p w:rsidR="004C55CE" w:rsidRPr="00EE003F" w:rsidRDefault="004C55CE" w:rsidP="00CE447A">
      <w:pPr>
        <w:pStyle w:val="Prrafodelista"/>
        <w:numPr>
          <w:ilvl w:val="0"/>
          <w:numId w:val="6"/>
        </w:num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Proceso nacional de consulta sobre la “Agenda de desarrollo post 2015”. Se realizaron 60 consultas, a 540 personas, con respecto a los escenarios deseados y visiones al 2030, que fueron elaborados de manera participativa en los talleres con poblaciones en situación de pobreza y/o vulnerabilidad. Asimismo se realizó, en este proceso, la consulta a líderes y expertos regionales.</w:t>
      </w:r>
    </w:p>
    <w:p w:rsidR="004C55CE" w:rsidRPr="00EE003F" w:rsidRDefault="004C55CE" w:rsidP="00CE447A">
      <w:pPr>
        <w:pStyle w:val="Prrafodelista"/>
        <w:numPr>
          <w:ilvl w:val="0"/>
          <w:numId w:val="6"/>
        </w:num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Encuestas, en las diversas fases del proceso, a expertos, que aportaron para la discusión, evaluación y validación del trabajo realizado en los ejes estratégicos. En todo el proceso de actualizació</w:t>
      </w:r>
      <w:r w:rsidR="00984144" w:rsidRPr="00EE003F">
        <w:rPr>
          <w:rFonts w:ascii="Arial Narrow" w:eastAsia="FrutigerLTStd-Light" w:hAnsi="Arial Narrow" w:cs="Arial"/>
          <w:sz w:val="24"/>
          <w:szCs w:val="24"/>
        </w:rPr>
        <w:t>n del PEDN participaron más de 4</w:t>
      </w:r>
      <w:r w:rsidRPr="00EE003F">
        <w:rPr>
          <w:rFonts w:ascii="Arial Narrow" w:eastAsia="FrutigerLTStd-Light" w:hAnsi="Arial Narrow" w:cs="Arial"/>
          <w:sz w:val="24"/>
          <w:szCs w:val="24"/>
        </w:rPr>
        <w:t>00 expertos</w:t>
      </w:r>
      <w:r w:rsidR="00984144" w:rsidRPr="00EE003F">
        <w:rPr>
          <w:rFonts w:ascii="Arial Narrow" w:eastAsia="FrutigerLTStd-Light" w:hAnsi="Arial Narrow" w:cs="Arial"/>
          <w:sz w:val="24"/>
          <w:szCs w:val="24"/>
        </w:rPr>
        <w:t xml:space="preserve"> del sector público y privado</w:t>
      </w:r>
      <w:r w:rsidRPr="00EE003F">
        <w:rPr>
          <w:rFonts w:ascii="Arial Narrow" w:eastAsia="FrutigerLTStd-Light" w:hAnsi="Arial Narrow" w:cs="Arial"/>
          <w:sz w:val="24"/>
          <w:szCs w:val="24"/>
        </w:rPr>
        <w:t>.</w:t>
      </w:r>
    </w:p>
    <w:p w:rsidR="004C55CE" w:rsidRPr="00EE003F" w:rsidRDefault="004C55CE" w:rsidP="00CE447A">
      <w:pPr>
        <w:pStyle w:val="Prrafodelista"/>
        <w:numPr>
          <w:ilvl w:val="0"/>
          <w:numId w:val="6"/>
        </w:num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Encuesta “Análisis de políticas nacionales de carácter multisectorial”, aplicada a los viceministros. Participaron 30 viceministros, quienes enriquecieron el proceso de análisis de las políticas públicas de carácter multisectorial.</w:t>
      </w:r>
    </w:p>
    <w:p w:rsidR="00B404D7" w:rsidRPr="00EE003F" w:rsidRDefault="00B404D7" w:rsidP="00CE447A">
      <w:pPr>
        <w:pStyle w:val="Prrafodelista"/>
        <w:numPr>
          <w:ilvl w:val="0"/>
          <w:numId w:val="6"/>
        </w:num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Se recogieron las opiniones de los partidos políticos, los movimientos regionales y organizaciones políticas locales a través del Diálogo Nacional organizado por la Presidencia del Consejo de Ministros y la asistencia técnica en l</w:t>
      </w:r>
      <w:r w:rsidR="00A5204E" w:rsidRPr="00EE003F">
        <w:rPr>
          <w:rFonts w:ascii="Arial Narrow" w:eastAsia="FrutigerLTStd-Light" w:hAnsi="Arial Narrow" w:cs="Arial"/>
          <w:sz w:val="24"/>
          <w:szCs w:val="24"/>
        </w:rPr>
        <w:t>a</w:t>
      </w:r>
      <w:r w:rsidRPr="00EE003F">
        <w:rPr>
          <w:rFonts w:ascii="Arial Narrow" w:eastAsia="FrutigerLTStd-Light" w:hAnsi="Arial Narrow" w:cs="Arial"/>
          <w:sz w:val="24"/>
          <w:szCs w:val="24"/>
        </w:rPr>
        <w:t xml:space="preserve"> elaboración de planes de gobierno en las elecciones municipales y regionales 2014 y en </w:t>
      </w:r>
      <w:r w:rsidR="00A5204E" w:rsidRPr="00EE003F">
        <w:rPr>
          <w:rFonts w:ascii="Arial Narrow" w:eastAsia="FrutigerLTStd-Light" w:hAnsi="Arial Narrow" w:cs="Arial"/>
          <w:sz w:val="24"/>
          <w:szCs w:val="24"/>
        </w:rPr>
        <w:t>las</w:t>
      </w:r>
      <w:r w:rsidRPr="00EE003F">
        <w:rPr>
          <w:rFonts w:ascii="Arial Narrow" w:eastAsia="FrutigerLTStd-Light" w:hAnsi="Arial Narrow" w:cs="Arial"/>
          <w:sz w:val="24"/>
          <w:szCs w:val="24"/>
        </w:rPr>
        <w:t xml:space="preserve"> elecciones presidenciales 2016</w:t>
      </w:r>
      <w:r w:rsidR="00A5204E" w:rsidRPr="00EE003F">
        <w:rPr>
          <w:rFonts w:ascii="Arial Narrow" w:eastAsia="FrutigerLTStd-Light" w:hAnsi="Arial Narrow" w:cs="Arial"/>
          <w:sz w:val="24"/>
          <w:szCs w:val="24"/>
        </w:rPr>
        <w:t xml:space="preserve"> realizada junto con el Jurado Nacional de Elecciones</w:t>
      </w:r>
      <w:r w:rsidRPr="00EE003F">
        <w:rPr>
          <w:rFonts w:ascii="Arial Narrow" w:eastAsia="FrutigerLTStd-Light" w:hAnsi="Arial Narrow" w:cs="Arial"/>
          <w:sz w:val="24"/>
          <w:szCs w:val="24"/>
        </w:rPr>
        <w:t>.</w:t>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De esta manera, se involucró la participación de diversos actores y la ciudadanía para consolidar el reto del Perú al 2021, con el fin de precisar la visión del Perú al 2021.</w:t>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b/>
          <w:sz w:val="24"/>
          <w:szCs w:val="24"/>
        </w:rPr>
      </w:pPr>
      <w:r w:rsidRPr="00EE003F">
        <w:rPr>
          <w:rFonts w:ascii="Arial Narrow" w:hAnsi="Arial Narrow" w:cs="Arial"/>
          <w:b/>
          <w:sz w:val="24"/>
          <w:szCs w:val="24"/>
        </w:rPr>
        <w:t>Consulta a ciudadanos y su contribución</w:t>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Con un enfoque de participación e inclusión, se realizó una consulta nacional a una población muestral de 100 000 personas. Se recogió información sobre la percepción de los peruanos con respecto a los temas claves para el desarrollo nacional al 2021, información que constituyo un insumo sustancial para la precisión de la Visión Perú al 2021.</w:t>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Además, las respuestas de la ciudadanía contribuyeron a la identificación de temas prioritarios. Hubo también una pregunta orientada a conocer las primeras percepciones del futuro del Perú al 2050.</w:t>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 xml:space="preserve">Con esta encuesta a nivel nacional realizada por la Universidad Nacional de Ingeniería a solicitud del </w:t>
      </w:r>
      <w:proofErr w:type="spellStart"/>
      <w:r w:rsidRPr="00EE003F">
        <w:rPr>
          <w:rFonts w:ascii="Arial Narrow" w:eastAsia="FrutigerLTStd-Light" w:hAnsi="Arial Narrow" w:cs="Arial"/>
          <w:sz w:val="24"/>
          <w:szCs w:val="24"/>
        </w:rPr>
        <w:t>Ceplan</w:t>
      </w:r>
      <w:proofErr w:type="spellEnd"/>
      <w:r w:rsidRPr="00EE003F">
        <w:rPr>
          <w:rFonts w:ascii="Arial Narrow" w:eastAsia="FrutigerLTStd-Light" w:hAnsi="Arial Narrow" w:cs="Arial"/>
          <w:sz w:val="24"/>
          <w:szCs w:val="24"/>
        </w:rPr>
        <w:t>, no solo se enriqueció el proceso con la participación e inclusión de la ciudadanía, sino que se dio inicio a la comunicación y difusión del PEDN, y a su apropiación por parte de la ciudadanía.</w:t>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32"/>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r w:rsidRPr="00EE003F">
        <w:rPr>
          <w:rFonts w:ascii="Arial Narrow" w:eastAsia="FrutigerLTStd-Light" w:hAnsi="Arial Narrow" w:cs="Arial"/>
          <w:b/>
          <w:noProof/>
          <w:sz w:val="24"/>
          <w:szCs w:val="24"/>
          <w:lang w:eastAsia="es-PE"/>
        </w:rPr>
        <w:drawing>
          <wp:inline distT="0" distB="0" distL="0" distR="0" wp14:anchorId="76E4C2CA" wp14:editId="4111C3A2">
            <wp:extent cx="5334000" cy="3923774"/>
            <wp:effectExtent l="0" t="0" r="0" b="635"/>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6190" cy="3925385"/>
                    </a:xfrm>
                    <a:prstGeom prst="rect">
                      <a:avLst/>
                    </a:prstGeom>
                    <a:noFill/>
                    <a:ln>
                      <a:noFill/>
                    </a:ln>
                  </pic:spPr>
                </pic:pic>
              </a:graphicData>
            </a:graphic>
          </wp:inline>
        </w:drawing>
      </w:r>
    </w:p>
    <w:p w:rsidR="004C55CE" w:rsidRPr="00EE003F" w:rsidRDefault="004C55CE" w:rsidP="004843F2">
      <w:pPr>
        <w:pStyle w:val="Ttulo2"/>
        <w:jc w:val="left"/>
        <w:rPr>
          <w:rFonts w:asciiTheme="minorHAnsi" w:hAnsiTheme="minorHAnsi"/>
          <w:lang w:val="es-ES_tradnl"/>
        </w:rPr>
      </w:pPr>
      <w:bookmarkStart w:id="23" w:name="_Toc453004664"/>
      <w:r w:rsidRPr="00EE003F">
        <w:rPr>
          <w:rFonts w:asciiTheme="minorHAnsi" w:hAnsiTheme="minorHAnsi"/>
          <w:lang w:val="es-ES_tradnl"/>
        </w:rPr>
        <w:t>Visión, reto, lineamientos y prioridades al 2021</w:t>
      </w:r>
      <w:bookmarkEnd w:id="23"/>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r w:rsidRPr="00EE003F">
        <w:rPr>
          <w:rFonts w:ascii="Arial Narrow" w:eastAsia="FrutigerLTStd-Light" w:hAnsi="Arial Narrow" w:cs="Arial"/>
          <w:b/>
          <w:sz w:val="24"/>
          <w:szCs w:val="24"/>
        </w:rPr>
        <w:t>Visión compartida de futuro para el siglo XXI.</w:t>
      </w: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i/>
          <w:sz w:val="24"/>
          <w:szCs w:val="24"/>
        </w:rPr>
      </w:pPr>
      <w:r w:rsidRPr="00EE003F">
        <w:rPr>
          <w:rFonts w:ascii="Arial Narrow" w:eastAsia="FrutigerLTStd-Light" w:hAnsi="Arial Narrow" w:cs="Arial"/>
          <w:i/>
          <w:sz w:val="24"/>
          <w:szCs w:val="24"/>
        </w:rPr>
        <w:t xml:space="preserve">Somos una sociedad democrática en la que prevalece el Estado de derecho y en la que todos los habitantes tienen una alta calidad de vida e iguales oportunidades para desarrollar su máximo potencial como seres humanos. Tenemos un estado moderno, descentralizado, eficiente, transparente, participativo y ético al servicio de la ciudadanía. Nuestra economía es dinámica, diversificada, de alto nivel tecnológico y equilibrada regionalmente, con pleno empleo y alta productividad del trabajo. El país favorece la inversión privada y la innovación, e invierte en educación y tecnología para aprovechar competitivamente las oportunidades de la economía mundial. </w:t>
      </w:r>
      <w:r w:rsidR="00DA3923" w:rsidRPr="00EE003F">
        <w:rPr>
          <w:rFonts w:ascii="Arial Narrow" w:eastAsia="FrutigerLTStd-Light" w:hAnsi="Arial Narrow" w:cs="Arial"/>
          <w:i/>
          <w:color w:val="000000" w:themeColor="text1"/>
          <w:sz w:val="24"/>
          <w:szCs w:val="24"/>
        </w:rPr>
        <w:t>Además, ha priorizado la desdolarización financiera</w:t>
      </w:r>
      <w:r w:rsidR="00DA3923" w:rsidRPr="00EE003F">
        <w:rPr>
          <w:i/>
        </w:rPr>
        <w:t xml:space="preserve"> </w:t>
      </w:r>
      <w:r w:rsidR="00DA3923" w:rsidRPr="00EE003F">
        <w:rPr>
          <w:rFonts w:ascii="Arial Narrow" w:eastAsia="FrutigerLTStd-Light" w:hAnsi="Arial Narrow" w:cs="Arial"/>
          <w:i/>
          <w:color w:val="000000" w:themeColor="text1"/>
          <w:sz w:val="24"/>
          <w:szCs w:val="24"/>
        </w:rPr>
        <w:t xml:space="preserve">y la reducción de la deuda externa, para reducir las fuentes de vulnerabilidad financiera históricamente demostradas como las de mayor impacto y severidad para la República. </w:t>
      </w:r>
      <w:r w:rsidRPr="00EE003F">
        <w:rPr>
          <w:rFonts w:ascii="Arial Narrow" w:eastAsia="FrutigerLTStd-Light" w:hAnsi="Arial Narrow" w:cs="Arial"/>
          <w:i/>
          <w:sz w:val="24"/>
          <w:szCs w:val="24"/>
        </w:rPr>
        <w:t>La pobreza y la pobreza extrema han sido erradicadas, existen mecanismos redistributivos para propiciar la equidad social, y los recursos naturales se aprovechan en forma sostenible, manteniendo una buena calidad ambiental.</w:t>
      </w: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r w:rsidRPr="00EE003F">
        <w:rPr>
          <w:rFonts w:ascii="Arial Narrow" w:eastAsia="FrutigerLTStd-Light" w:hAnsi="Arial Narrow" w:cs="Arial"/>
          <w:b/>
          <w:sz w:val="24"/>
          <w:szCs w:val="24"/>
        </w:rPr>
        <w:t>Reto al 2021</w:t>
      </w: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i/>
          <w:sz w:val="24"/>
          <w:szCs w:val="24"/>
        </w:rPr>
      </w:pPr>
      <w:r w:rsidRPr="00EE003F">
        <w:rPr>
          <w:rFonts w:ascii="Arial Narrow" w:eastAsia="FrutigerLTStd-Light" w:hAnsi="Arial Narrow" w:cs="Arial"/>
          <w:i/>
          <w:sz w:val="24"/>
          <w:szCs w:val="24"/>
        </w:rPr>
        <w:t>El Perú garantiza los derechos de sus ciudadanos, la inclusión social y la integración urbano-rural de su territorio, a través del fortalecimiento de la gobernabilidad democrática, así como de una economía diversificada, altamente competitiva, intensiva en capital humano y tecnológico, que aprovecha sosteniblemente su diversidad biológica.</w:t>
      </w: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CE447A" w:rsidRPr="00EE003F" w:rsidRDefault="00CE447A">
      <w:pPr>
        <w:rPr>
          <w:rFonts w:ascii="Arial Narrow" w:eastAsia="FrutigerLTStd-Light" w:hAnsi="Arial Narrow" w:cs="Arial"/>
          <w:sz w:val="24"/>
          <w:szCs w:val="24"/>
        </w:rPr>
      </w:pPr>
      <w:r w:rsidRPr="00EE003F">
        <w:rPr>
          <w:rFonts w:ascii="Arial Narrow" w:eastAsia="FrutigerLTStd-Light" w:hAnsi="Arial Narrow" w:cs="Arial"/>
          <w:sz w:val="24"/>
          <w:szCs w:val="24"/>
        </w:rPr>
        <w:br w:type="page"/>
      </w: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C55CE" w:rsidRPr="00EE003F" w:rsidRDefault="007C168B" w:rsidP="004C55CE">
      <w:pPr>
        <w:autoSpaceDE w:val="0"/>
        <w:autoSpaceDN w:val="0"/>
        <w:adjustRightInd w:val="0"/>
        <w:spacing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Visión, ejes, lineamientos de política y prioridades al 2021.</w:t>
      </w:r>
    </w:p>
    <w:p w:rsidR="007C168B" w:rsidRPr="00EE003F" w:rsidRDefault="007C168B" w:rsidP="004C55CE">
      <w:pPr>
        <w:autoSpaceDE w:val="0"/>
        <w:autoSpaceDN w:val="0"/>
        <w:adjustRightInd w:val="0"/>
        <w:spacing w:after="0" w:line="240" w:lineRule="auto"/>
        <w:jc w:val="both"/>
        <w:rPr>
          <w:rFonts w:ascii="Arial Narrow" w:eastAsia="FrutigerLTStd-Light" w:hAnsi="Arial Narrow" w:cs="Arial"/>
          <w:sz w:val="24"/>
          <w:szCs w:val="24"/>
        </w:rPr>
      </w:pPr>
    </w:p>
    <w:tbl>
      <w:tblPr>
        <w:tblStyle w:val="Tablaconcuadrcula"/>
        <w:tblW w:w="9618" w:type="dxa"/>
        <w:tblLayout w:type="fixed"/>
        <w:tblLook w:val="0000" w:firstRow="0" w:lastRow="0" w:firstColumn="0" w:lastColumn="0" w:noHBand="0" w:noVBand="0"/>
      </w:tblPr>
      <w:tblGrid>
        <w:gridCol w:w="1924"/>
        <w:gridCol w:w="1638"/>
        <w:gridCol w:w="1549"/>
        <w:gridCol w:w="2722"/>
        <w:gridCol w:w="1785"/>
      </w:tblGrid>
      <w:tr w:rsidR="006E3336" w:rsidRPr="00EE003F" w:rsidTr="004C55CE">
        <w:trPr>
          <w:trHeight w:val="60"/>
        </w:trPr>
        <w:tc>
          <w:tcPr>
            <w:tcW w:w="1924" w:type="dxa"/>
          </w:tcPr>
          <w:p w:rsidR="004C55CE" w:rsidRPr="00EE003F" w:rsidRDefault="004C55CE" w:rsidP="004C55CE">
            <w:pPr>
              <w:autoSpaceDE w:val="0"/>
              <w:autoSpaceDN w:val="0"/>
              <w:adjustRightInd w:val="0"/>
              <w:spacing w:line="288" w:lineRule="auto"/>
              <w:jc w:val="center"/>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VISIÓN AL SIGLO XXI</w:t>
            </w:r>
          </w:p>
        </w:tc>
        <w:tc>
          <w:tcPr>
            <w:tcW w:w="1638" w:type="dxa"/>
          </w:tcPr>
          <w:p w:rsidR="004C55CE" w:rsidRPr="00EE003F" w:rsidRDefault="004C55CE" w:rsidP="004C55CE">
            <w:pPr>
              <w:autoSpaceDE w:val="0"/>
              <w:autoSpaceDN w:val="0"/>
              <w:adjustRightInd w:val="0"/>
              <w:spacing w:line="288" w:lineRule="auto"/>
              <w:jc w:val="center"/>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RETO AL 2021</w:t>
            </w:r>
          </w:p>
        </w:tc>
        <w:tc>
          <w:tcPr>
            <w:tcW w:w="1549" w:type="dxa"/>
          </w:tcPr>
          <w:p w:rsidR="004C55CE" w:rsidRPr="00EE003F" w:rsidRDefault="004C55CE" w:rsidP="004C55CE">
            <w:pPr>
              <w:autoSpaceDE w:val="0"/>
              <w:autoSpaceDN w:val="0"/>
              <w:adjustRightInd w:val="0"/>
              <w:spacing w:line="288" w:lineRule="auto"/>
              <w:jc w:val="center"/>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EJE</w:t>
            </w:r>
          </w:p>
        </w:tc>
        <w:tc>
          <w:tcPr>
            <w:tcW w:w="2722" w:type="dxa"/>
          </w:tcPr>
          <w:p w:rsidR="004C55CE" w:rsidRPr="00EE003F" w:rsidRDefault="004C55CE" w:rsidP="004C55CE">
            <w:pPr>
              <w:autoSpaceDE w:val="0"/>
              <w:autoSpaceDN w:val="0"/>
              <w:adjustRightInd w:val="0"/>
              <w:spacing w:line="288" w:lineRule="auto"/>
              <w:jc w:val="center"/>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LINEAMIENTO DE POLÍTICA AL 2021</w:t>
            </w:r>
          </w:p>
        </w:tc>
        <w:tc>
          <w:tcPr>
            <w:tcW w:w="1785" w:type="dxa"/>
          </w:tcPr>
          <w:p w:rsidR="004C55CE" w:rsidRPr="00EE003F" w:rsidRDefault="004C55CE" w:rsidP="004C55CE">
            <w:pPr>
              <w:autoSpaceDE w:val="0"/>
              <w:autoSpaceDN w:val="0"/>
              <w:adjustRightInd w:val="0"/>
              <w:spacing w:line="288" w:lineRule="auto"/>
              <w:jc w:val="center"/>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PRIORIDADES AL 2021</w:t>
            </w:r>
          </w:p>
        </w:tc>
      </w:tr>
      <w:tr w:rsidR="006E3336" w:rsidRPr="00EE003F" w:rsidTr="004C55CE">
        <w:trPr>
          <w:trHeight w:val="60"/>
        </w:trPr>
        <w:tc>
          <w:tcPr>
            <w:tcW w:w="1924" w:type="dxa"/>
            <w:vMerge w:val="restart"/>
          </w:tcPr>
          <w:p w:rsidR="004C55CE" w:rsidRPr="00EE003F" w:rsidRDefault="004C55CE" w:rsidP="004C55CE">
            <w:pPr>
              <w:suppressAutoHyphens/>
              <w:autoSpaceDE w:val="0"/>
              <w:autoSpaceDN w:val="0"/>
              <w:adjustRightInd w:val="0"/>
              <w:spacing w:line="288" w:lineRule="auto"/>
              <w:ind w:left="113" w:right="113"/>
              <w:textAlignment w:val="center"/>
              <w:rPr>
                <w:rFonts w:ascii="Arial Narrow" w:hAnsi="Arial Narrow"/>
                <w:sz w:val="24"/>
                <w:szCs w:val="24"/>
                <w:lang w:val="es-ES_tradnl"/>
              </w:rPr>
            </w:pPr>
            <w:r w:rsidRPr="00EE003F">
              <w:rPr>
                <w:rFonts w:ascii="Arial Narrow" w:hAnsi="Arial Narrow" w:cs="Swis721 LtCn BT"/>
                <w:sz w:val="16"/>
                <w:szCs w:val="16"/>
                <w:lang w:val="es-ES_tradnl"/>
              </w:rPr>
              <w:t>Somos una sociedad democrática en la que prevalece el Estado de derecho y en la que todos los habitantes tienen una alta calidad de vida e iguales oportunidades para desarrollar su máximo potencial como seres humanos. Tenemos un Estado moderno, descentralizado, eficiente, transparente, participativo y ético al servicio de la ciudadanía. Nuestra economía es dinámica, diversificada, de alto nivel tecnológico y equilibrada regionalmente, con pleno empleo y alta productividad del trabajo. El país favorece la inversión privada y la innovación, e invierte en educación y tecnología para aprovechar competitivamente las oportunidades de la economía mundial. La pobreza y la pobreza extrema han sido erradicadas, existen mecanismos redistributivos para propiciar la equidad social, y los recursos naturales se aprovechan en forma sostenible, manteniendo una buena calidad ambiental.</w:t>
            </w:r>
          </w:p>
        </w:tc>
        <w:tc>
          <w:tcPr>
            <w:tcW w:w="1638" w:type="dxa"/>
            <w:vMerge w:val="restart"/>
          </w:tcPr>
          <w:p w:rsidR="004C55CE" w:rsidRPr="00EE003F" w:rsidRDefault="004C55CE" w:rsidP="004C55CE">
            <w:pPr>
              <w:suppressAutoHyphens/>
              <w:autoSpaceDE w:val="0"/>
              <w:autoSpaceDN w:val="0"/>
              <w:adjustRightInd w:val="0"/>
              <w:spacing w:line="288" w:lineRule="auto"/>
              <w:ind w:left="113" w:right="113"/>
              <w:textAlignment w:val="center"/>
              <w:rPr>
                <w:rFonts w:ascii="Arial Narrow" w:hAnsi="Arial Narrow"/>
                <w:sz w:val="24"/>
                <w:szCs w:val="24"/>
                <w:lang w:val="es-ES_tradnl"/>
              </w:rPr>
            </w:pPr>
            <w:r w:rsidRPr="00EE003F">
              <w:rPr>
                <w:rFonts w:ascii="Arial Narrow" w:hAnsi="Arial Narrow" w:cs="Swis721 LtCn BT"/>
                <w:sz w:val="16"/>
                <w:szCs w:val="16"/>
                <w:lang w:val="es-ES_tradnl"/>
              </w:rPr>
              <w:t>El Perú garantiza los derechos de sus ciudadanos, la inclusión social y la integración urbano-rural de su territorio, a través del fortalecimiento de la gobernabilidad democrática, así como de una economía diversificada, altamente competitiva, intensiva en capital humano y tecnológico, que aprovecha sosteniblemente su diversidad biológica.</w:t>
            </w:r>
          </w:p>
        </w:tc>
        <w:tc>
          <w:tcPr>
            <w:tcW w:w="1549" w:type="dxa"/>
            <w:vMerge w:val="restart"/>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1.- Derechos humanos e inclusión social</w:t>
            </w:r>
          </w:p>
        </w:tc>
        <w:tc>
          <w:tcPr>
            <w:tcW w:w="2722" w:type="dxa"/>
            <w:vMerge w:val="restart"/>
          </w:tcPr>
          <w:p w:rsidR="004C55CE" w:rsidRPr="00EE003F" w:rsidRDefault="004C55CE" w:rsidP="004C55CE">
            <w:pPr>
              <w:suppressAutoHyphens/>
              <w:autoSpaceDE w:val="0"/>
              <w:autoSpaceDN w:val="0"/>
              <w:adjustRightInd w:val="0"/>
              <w:spacing w:line="288" w:lineRule="auto"/>
              <w:ind w:left="113" w:right="57"/>
              <w:textAlignment w:val="center"/>
              <w:rPr>
                <w:rFonts w:ascii="Arial Narrow" w:hAnsi="Arial Narrow"/>
                <w:sz w:val="24"/>
                <w:szCs w:val="24"/>
                <w:lang w:val="es-ES_tradnl"/>
              </w:rPr>
            </w:pPr>
            <w:r w:rsidRPr="00EE003F">
              <w:rPr>
                <w:rFonts w:ascii="Arial Narrow" w:hAnsi="Arial Narrow" w:cs="Swis721 LtCn BT"/>
                <w:sz w:val="16"/>
                <w:szCs w:val="16"/>
                <w:lang w:val="es-ES_tradnl"/>
              </w:rPr>
              <w:t>Garantizar el ejercicio efectivo de los derechos humanos y la inclusión social, reduciendo las brechas de desigualdad y consolidando los mecanismos de participación política y ciudadana de todos los sectores de la población en un marco de respeto de la diversidad cultural.</w:t>
            </w: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cs="Swis721 LtCn BT"/>
                <w:sz w:val="16"/>
                <w:szCs w:val="16"/>
                <w:lang w:val="es-ES_tradnl"/>
              </w:rPr>
            </w:pPr>
          </w:p>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1.</w:t>
            </w:r>
            <w:r w:rsidRPr="00EE003F">
              <w:rPr>
                <w:rFonts w:ascii="Arial Narrow" w:hAnsi="Arial Narrow" w:cs="Swis721 LtCn BT"/>
                <w:sz w:val="16"/>
                <w:szCs w:val="16"/>
                <w:lang w:val="es-ES_tradnl"/>
              </w:rPr>
              <w:tab/>
              <w:t>Derechos humanos.</w:t>
            </w:r>
          </w:p>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p>
        </w:tc>
      </w:tr>
      <w:tr w:rsidR="006E3336" w:rsidRPr="00EE003F" w:rsidTr="004C55CE">
        <w:trPr>
          <w:trHeight w:val="1146"/>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tcPr>
          <w:p w:rsidR="004C55CE" w:rsidRPr="00EE003F" w:rsidRDefault="004C55CE" w:rsidP="004C55CE">
            <w:pPr>
              <w:autoSpaceDE w:val="0"/>
              <w:autoSpaceDN w:val="0"/>
              <w:adjustRightInd w:val="0"/>
              <w:rPr>
                <w:rFonts w:ascii="Arial Narrow" w:hAnsi="Arial Narrow"/>
                <w:sz w:val="24"/>
                <w:szCs w:val="24"/>
              </w:rPr>
            </w:pPr>
          </w:p>
        </w:tc>
        <w:tc>
          <w:tcPr>
            <w:tcW w:w="2722" w:type="dxa"/>
            <w:vMerge/>
          </w:tcPr>
          <w:p w:rsidR="004C55CE" w:rsidRPr="00EE003F" w:rsidRDefault="004C55CE" w:rsidP="004C55CE">
            <w:pPr>
              <w:autoSpaceDE w:val="0"/>
              <w:autoSpaceDN w:val="0"/>
              <w:adjustRightInd w:val="0"/>
              <w:rPr>
                <w:rFonts w:ascii="Arial Narrow" w:hAnsi="Arial Narrow"/>
                <w:sz w:val="24"/>
                <w:szCs w:val="24"/>
              </w:rPr>
            </w:pP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2.</w:t>
            </w:r>
            <w:r w:rsidRPr="00EE003F">
              <w:rPr>
                <w:rFonts w:ascii="Arial Narrow" w:hAnsi="Arial Narrow" w:cs="Swis721 LtCn BT"/>
                <w:sz w:val="16"/>
                <w:szCs w:val="16"/>
                <w:lang w:val="es-ES_tradnl"/>
              </w:rPr>
              <w:tab/>
              <w:t>Inclusión social y programas sociales.</w:t>
            </w:r>
          </w:p>
        </w:tc>
      </w:tr>
      <w:tr w:rsidR="006E3336" w:rsidRPr="00EE003F" w:rsidTr="004C55CE">
        <w:trPr>
          <w:trHeight w:val="856"/>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val="restart"/>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2.- Oportunidades y acceso a los servicios</w:t>
            </w:r>
          </w:p>
        </w:tc>
        <w:tc>
          <w:tcPr>
            <w:tcW w:w="2722" w:type="dxa"/>
            <w:vMerge w:val="restart"/>
          </w:tcPr>
          <w:p w:rsidR="004C55CE" w:rsidRPr="00EE003F" w:rsidRDefault="004C55CE" w:rsidP="004C55CE">
            <w:pPr>
              <w:suppressAutoHyphens/>
              <w:autoSpaceDE w:val="0"/>
              <w:autoSpaceDN w:val="0"/>
              <w:adjustRightInd w:val="0"/>
              <w:spacing w:line="288" w:lineRule="auto"/>
              <w:ind w:left="113" w:right="57"/>
              <w:textAlignment w:val="center"/>
              <w:rPr>
                <w:rFonts w:ascii="Arial Narrow" w:hAnsi="Arial Narrow"/>
                <w:sz w:val="24"/>
                <w:szCs w:val="24"/>
                <w:lang w:val="es-ES_tradnl"/>
              </w:rPr>
            </w:pPr>
            <w:r w:rsidRPr="00EE003F">
              <w:rPr>
                <w:rFonts w:ascii="Arial Narrow" w:hAnsi="Arial Narrow" w:cs="Swis721 LtCn BT"/>
                <w:sz w:val="16"/>
                <w:szCs w:val="16"/>
                <w:lang w:val="es-ES_tradnl"/>
              </w:rPr>
              <w:t>Asegurar  a los ciudadanos peruanos la oportunidad de acceder a servicios de calidad en forma creciente, sostenida y equitativa; atendiendo la diversidad cultural de la población con énfasis en los ámbitos rural y urbano-marginal.</w:t>
            </w: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1.</w:t>
            </w:r>
            <w:r w:rsidRPr="00EE003F">
              <w:rPr>
                <w:rFonts w:ascii="Arial Narrow" w:hAnsi="Arial Narrow" w:cs="Swis721 LtCn BT"/>
                <w:sz w:val="16"/>
                <w:szCs w:val="16"/>
                <w:lang w:val="es-ES_tradnl"/>
              </w:rPr>
              <w:tab/>
              <w:t>Acceso a servicios de salud y educación de calidad.</w:t>
            </w:r>
          </w:p>
        </w:tc>
      </w:tr>
      <w:tr w:rsidR="006E3336" w:rsidRPr="00EE003F" w:rsidTr="004C55CE">
        <w:trPr>
          <w:trHeight w:val="793"/>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tcPr>
          <w:p w:rsidR="004C55CE" w:rsidRPr="00EE003F" w:rsidRDefault="004C55CE" w:rsidP="004C55CE">
            <w:pPr>
              <w:autoSpaceDE w:val="0"/>
              <w:autoSpaceDN w:val="0"/>
              <w:adjustRightInd w:val="0"/>
              <w:rPr>
                <w:rFonts w:ascii="Arial Narrow" w:hAnsi="Arial Narrow"/>
                <w:sz w:val="24"/>
                <w:szCs w:val="24"/>
              </w:rPr>
            </w:pPr>
          </w:p>
        </w:tc>
        <w:tc>
          <w:tcPr>
            <w:tcW w:w="2722" w:type="dxa"/>
            <w:vMerge/>
          </w:tcPr>
          <w:p w:rsidR="004C55CE" w:rsidRPr="00EE003F" w:rsidRDefault="004C55CE" w:rsidP="004C55CE">
            <w:pPr>
              <w:autoSpaceDE w:val="0"/>
              <w:autoSpaceDN w:val="0"/>
              <w:adjustRightInd w:val="0"/>
              <w:rPr>
                <w:rFonts w:ascii="Arial Narrow" w:hAnsi="Arial Narrow"/>
                <w:sz w:val="24"/>
                <w:szCs w:val="24"/>
              </w:rPr>
            </w:pP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2.</w:t>
            </w:r>
            <w:r w:rsidRPr="00EE003F">
              <w:rPr>
                <w:rFonts w:ascii="Arial Narrow" w:hAnsi="Arial Narrow" w:cs="Swis721 LtCn BT"/>
                <w:sz w:val="16"/>
                <w:szCs w:val="16"/>
                <w:lang w:val="es-ES_tradnl"/>
              </w:rPr>
              <w:tab/>
              <w:t>Acceso a servicios de agua, saneamiento y electricidad.</w:t>
            </w:r>
          </w:p>
        </w:tc>
      </w:tr>
      <w:tr w:rsidR="006E3336" w:rsidRPr="00EE003F" w:rsidTr="004C55CE">
        <w:trPr>
          <w:trHeight w:val="836"/>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val="restart"/>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3.- Estado y gobernabilidad</w:t>
            </w:r>
          </w:p>
        </w:tc>
        <w:tc>
          <w:tcPr>
            <w:tcW w:w="2722" w:type="dxa"/>
            <w:vMerge w:val="restart"/>
          </w:tcPr>
          <w:p w:rsidR="004C55CE" w:rsidRPr="00EE003F" w:rsidRDefault="004C55CE" w:rsidP="004C55CE">
            <w:pPr>
              <w:suppressAutoHyphens/>
              <w:autoSpaceDE w:val="0"/>
              <w:autoSpaceDN w:val="0"/>
              <w:adjustRightInd w:val="0"/>
              <w:spacing w:line="288" w:lineRule="auto"/>
              <w:ind w:left="113" w:right="57"/>
              <w:textAlignment w:val="center"/>
              <w:rPr>
                <w:rFonts w:ascii="Arial Narrow" w:hAnsi="Arial Narrow"/>
                <w:sz w:val="24"/>
                <w:szCs w:val="24"/>
                <w:lang w:val="es-ES_tradnl"/>
              </w:rPr>
            </w:pPr>
            <w:r w:rsidRPr="00EE003F">
              <w:rPr>
                <w:rFonts w:ascii="Arial Narrow" w:hAnsi="Arial Narrow" w:cs="Swis721 LtCn BT"/>
                <w:sz w:val="16"/>
                <w:szCs w:val="16"/>
                <w:lang w:val="es-ES_tradnl"/>
              </w:rPr>
              <w:t>Promover el desarrollo y la consolidación de la gobernabilidad democrática, el fortalecimiento de la institucionalidad pública; atendiendo las demandas de la población y garantizando el cumplimiento de sus derechos.</w:t>
            </w: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1.</w:t>
            </w:r>
            <w:r w:rsidRPr="00EE003F">
              <w:rPr>
                <w:rFonts w:ascii="Arial Narrow" w:hAnsi="Arial Narrow" w:cs="Swis721 LtCn BT"/>
                <w:sz w:val="16"/>
                <w:szCs w:val="16"/>
                <w:lang w:val="es-ES_tradnl"/>
              </w:rPr>
              <w:tab/>
              <w:t>Seguridad ciudadana y orden interno.</w:t>
            </w:r>
          </w:p>
        </w:tc>
      </w:tr>
      <w:tr w:rsidR="006E3336" w:rsidRPr="00EE003F" w:rsidTr="004C55CE">
        <w:trPr>
          <w:trHeight w:val="864"/>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tcPr>
          <w:p w:rsidR="004C55CE" w:rsidRPr="00EE003F" w:rsidRDefault="004C55CE" w:rsidP="004C55CE">
            <w:pPr>
              <w:autoSpaceDE w:val="0"/>
              <w:autoSpaceDN w:val="0"/>
              <w:adjustRightInd w:val="0"/>
              <w:rPr>
                <w:rFonts w:ascii="Arial Narrow" w:hAnsi="Arial Narrow"/>
                <w:sz w:val="24"/>
                <w:szCs w:val="24"/>
              </w:rPr>
            </w:pPr>
          </w:p>
        </w:tc>
        <w:tc>
          <w:tcPr>
            <w:tcW w:w="2722" w:type="dxa"/>
            <w:vMerge/>
          </w:tcPr>
          <w:p w:rsidR="004C55CE" w:rsidRPr="00EE003F" w:rsidRDefault="004C55CE" w:rsidP="004C55CE">
            <w:pPr>
              <w:autoSpaceDE w:val="0"/>
              <w:autoSpaceDN w:val="0"/>
              <w:adjustRightInd w:val="0"/>
              <w:rPr>
                <w:rFonts w:ascii="Arial Narrow" w:hAnsi="Arial Narrow"/>
                <w:sz w:val="24"/>
                <w:szCs w:val="24"/>
              </w:rPr>
            </w:pP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2.</w:t>
            </w:r>
            <w:r w:rsidRPr="00EE003F">
              <w:rPr>
                <w:rFonts w:ascii="Arial Narrow" w:hAnsi="Arial Narrow" w:cs="Swis721 LtCn BT"/>
                <w:sz w:val="16"/>
                <w:szCs w:val="16"/>
                <w:lang w:val="es-ES_tradnl"/>
              </w:rPr>
              <w:tab/>
              <w:t xml:space="preserve">Fortalecimiento de </w:t>
            </w:r>
            <w:r w:rsidRPr="00EE003F">
              <w:rPr>
                <w:rFonts w:ascii="Arial Narrow" w:hAnsi="Arial Narrow" w:cs="Swis721 LtCn BT"/>
                <w:sz w:val="16"/>
                <w:szCs w:val="16"/>
                <w:lang w:val="es-ES_tradnl"/>
              </w:rPr>
              <w:br/>
              <w:t xml:space="preserve">la democracia y </w:t>
            </w:r>
            <w:r w:rsidRPr="00EE003F">
              <w:rPr>
                <w:rFonts w:ascii="Arial Narrow" w:hAnsi="Arial Narrow" w:cs="Swis721 LtCn BT"/>
                <w:sz w:val="16"/>
                <w:szCs w:val="16"/>
                <w:lang w:val="es-ES_tradnl"/>
              </w:rPr>
              <w:br/>
              <w:t>del Estado de derecho.</w:t>
            </w:r>
          </w:p>
        </w:tc>
      </w:tr>
      <w:tr w:rsidR="006E3336" w:rsidRPr="00EE003F" w:rsidTr="004C55CE">
        <w:trPr>
          <w:trHeight w:val="1069"/>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val="restart"/>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4.- Economía diversificada, competitividad y empleo</w:t>
            </w:r>
          </w:p>
        </w:tc>
        <w:tc>
          <w:tcPr>
            <w:tcW w:w="2722" w:type="dxa"/>
            <w:vMerge w:val="restart"/>
          </w:tcPr>
          <w:p w:rsidR="004C55CE" w:rsidRPr="00EE003F" w:rsidRDefault="004C55CE" w:rsidP="004C55CE">
            <w:pPr>
              <w:suppressAutoHyphens/>
              <w:autoSpaceDE w:val="0"/>
              <w:autoSpaceDN w:val="0"/>
              <w:adjustRightInd w:val="0"/>
              <w:spacing w:line="288" w:lineRule="auto"/>
              <w:ind w:left="113" w:right="57"/>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Promover la construcción de una</w:t>
            </w:r>
          </w:p>
          <w:p w:rsidR="004C55CE" w:rsidRPr="00EE003F" w:rsidRDefault="004C55CE" w:rsidP="007C168B">
            <w:pPr>
              <w:suppressAutoHyphens/>
              <w:autoSpaceDE w:val="0"/>
              <w:autoSpaceDN w:val="0"/>
              <w:adjustRightInd w:val="0"/>
              <w:spacing w:line="288" w:lineRule="auto"/>
              <w:ind w:left="113" w:right="57"/>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economía con estructura productiva</w:t>
            </w:r>
            <w:r w:rsidR="004839F9" w:rsidRPr="00EE003F">
              <w:rPr>
                <w:rFonts w:ascii="Arial Narrow" w:hAnsi="Arial Narrow" w:cs="Swis721 LtCn BT"/>
                <w:sz w:val="16"/>
                <w:szCs w:val="16"/>
                <w:lang w:val="es-ES_tradnl"/>
              </w:rPr>
              <w:t xml:space="preserve"> </w:t>
            </w:r>
            <w:r w:rsidRPr="00EE003F">
              <w:rPr>
                <w:rFonts w:ascii="Arial Narrow" w:hAnsi="Arial Narrow" w:cs="Swis721 LtCn BT"/>
                <w:sz w:val="16"/>
                <w:szCs w:val="16"/>
                <w:lang w:val="es-ES_tradnl"/>
              </w:rPr>
              <w:t>diversificada, intensiva en conocimiento científico y tecnológico, desarrollada, inclusiva, con capital humano competitivo</w:t>
            </w:r>
            <w:r w:rsidR="00DA3923" w:rsidRPr="00EE003F">
              <w:rPr>
                <w:rFonts w:ascii="Arial Narrow" w:hAnsi="Arial Narrow" w:cs="Swis721 LtCn BT"/>
                <w:sz w:val="16"/>
                <w:szCs w:val="16"/>
                <w:lang w:val="es-ES_tradnl"/>
              </w:rPr>
              <w:t xml:space="preserve"> </w:t>
            </w:r>
            <w:r w:rsidR="00DA3923" w:rsidRPr="00EE003F">
              <w:rPr>
                <w:rFonts w:ascii="Swis721 LtCn BT" w:hAnsi="Swis721 LtCn BT" w:cs="Swis721 LtCn BT"/>
                <w:sz w:val="16"/>
                <w:szCs w:val="16"/>
                <w:lang w:val="es-ES_tradnl"/>
              </w:rPr>
              <w:t>que garantice la sostenibilidad de las finanzas públicas</w:t>
            </w:r>
            <w:r w:rsidRPr="00EE003F">
              <w:rPr>
                <w:rFonts w:ascii="Arial Narrow" w:hAnsi="Arial Narrow" w:cs="Swis721 LtCn BT"/>
                <w:sz w:val="16"/>
                <w:szCs w:val="16"/>
                <w:lang w:val="es-ES_tradnl"/>
              </w:rPr>
              <w:t>, y que permita generar igualdad de oportunidades, empleo digno, con una estructura capaz de integrarse a las cadenas de valor mundiales; para así poder tener tasas de crecimiento sostenibles en el tiempo.</w:t>
            </w:r>
          </w:p>
          <w:p w:rsidR="004C55CE" w:rsidRPr="00EE003F" w:rsidRDefault="004C55CE" w:rsidP="004C55CE">
            <w:pPr>
              <w:suppressAutoHyphens/>
              <w:autoSpaceDE w:val="0"/>
              <w:autoSpaceDN w:val="0"/>
              <w:adjustRightInd w:val="0"/>
              <w:spacing w:line="288" w:lineRule="auto"/>
              <w:ind w:left="113" w:right="57"/>
              <w:textAlignment w:val="center"/>
              <w:rPr>
                <w:rFonts w:ascii="Arial Narrow" w:hAnsi="Arial Narrow"/>
                <w:sz w:val="24"/>
                <w:szCs w:val="24"/>
                <w:lang w:val="es-ES_tradnl"/>
              </w:rPr>
            </w:pP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1.</w:t>
            </w:r>
            <w:r w:rsidRPr="00EE003F">
              <w:rPr>
                <w:rFonts w:ascii="Arial Narrow" w:hAnsi="Arial Narrow" w:cs="Swis721 LtCn BT"/>
                <w:sz w:val="16"/>
                <w:szCs w:val="16"/>
                <w:lang w:val="es-ES_tradnl"/>
              </w:rPr>
              <w:tab/>
              <w:t xml:space="preserve">Crecimiento </w:t>
            </w:r>
            <w:r w:rsidRPr="00EE003F">
              <w:rPr>
                <w:rFonts w:ascii="Arial Narrow" w:hAnsi="Arial Narrow" w:cs="Swis721 LtCn BT"/>
                <w:sz w:val="16"/>
                <w:szCs w:val="16"/>
                <w:lang w:val="es-ES_tradnl"/>
              </w:rPr>
              <w:br/>
              <w:t xml:space="preserve">económico </w:t>
            </w:r>
            <w:r w:rsidRPr="00EE003F">
              <w:rPr>
                <w:rFonts w:ascii="Arial Narrow" w:hAnsi="Arial Narrow" w:cs="Swis721 LtCn BT"/>
                <w:sz w:val="16"/>
                <w:szCs w:val="16"/>
                <w:lang w:val="es-ES_tradnl"/>
              </w:rPr>
              <w:br/>
              <w:t>sostenido.</w:t>
            </w:r>
          </w:p>
        </w:tc>
      </w:tr>
      <w:tr w:rsidR="006E3336" w:rsidRPr="00EE003F" w:rsidTr="004C55CE">
        <w:trPr>
          <w:trHeight w:val="658"/>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tcPr>
          <w:p w:rsidR="004C55CE" w:rsidRPr="00EE003F" w:rsidRDefault="004C55CE" w:rsidP="004C55CE">
            <w:pPr>
              <w:autoSpaceDE w:val="0"/>
              <w:autoSpaceDN w:val="0"/>
              <w:adjustRightInd w:val="0"/>
              <w:rPr>
                <w:rFonts w:ascii="Arial Narrow" w:hAnsi="Arial Narrow"/>
                <w:sz w:val="24"/>
                <w:szCs w:val="24"/>
              </w:rPr>
            </w:pPr>
          </w:p>
        </w:tc>
        <w:tc>
          <w:tcPr>
            <w:tcW w:w="2722" w:type="dxa"/>
            <w:vMerge/>
          </w:tcPr>
          <w:p w:rsidR="004C55CE" w:rsidRPr="00EE003F" w:rsidRDefault="004C55CE" w:rsidP="004C55CE">
            <w:pPr>
              <w:autoSpaceDE w:val="0"/>
              <w:autoSpaceDN w:val="0"/>
              <w:adjustRightInd w:val="0"/>
              <w:rPr>
                <w:rFonts w:ascii="Arial Narrow" w:hAnsi="Arial Narrow"/>
                <w:sz w:val="24"/>
                <w:szCs w:val="24"/>
              </w:rPr>
            </w:pP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2.</w:t>
            </w:r>
            <w:r w:rsidRPr="00EE003F">
              <w:rPr>
                <w:rFonts w:ascii="Arial Narrow" w:hAnsi="Arial Narrow" w:cs="Swis721 LtCn BT"/>
                <w:sz w:val="16"/>
                <w:szCs w:val="16"/>
                <w:lang w:val="es-ES_tradnl"/>
              </w:rPr>
              <w:tab/>
              <w:t>Diversificación productiva</w:t>
            </w:r>
            <w:r w:rsidR="00C42137" w:rsidRPr="00EE003F">
              <w:rPr>
                <w:rFonts w:ascii="Arial Narrow" w:hAnsi="Arial Narrow" w:cs="Swis721 LtCn BT"/>
                <w:sz w:val="16"/>
                <w:szCs w:val="16"/>
                <w:lang w:val="es-ES_tradnl"/>
              </w:rPr>
              <w:t xml:space="preserve"> y productividad</w:t>
            </w:r>
          </w:p>
        </w:tc>
      </w:tr>
      <w:tr w:rsidR="006E3336" w:rsidRPr="00EE003F" w:rsidTr="004C55CE">
        <w:trPr>
          <w:trHeight w:val="658"/>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tcPr>
          <w:p w:rsidR="004C55CE" w:rsidRPr="00EE003F" w:rsidRDefault="004C55CE" w:rsidP="004C55CE">
            <w:pPr>
              <w:autoSpaceDE w:val="0"/>
              <w:autoSpaceDN w:val="0"/>
              <w:adjustRightInd w:val="0"/>
              <w:rPr>
                <w:rFonts w:ascii="Arial Narrow" w:hAnsi="Arial Narrow"/>
                <w:sz w:val="24"/>
                <w:szCs w:val="24"/>
              </w:rPr>
            </w:pPr>
          </w:p>
        </w:tc>
        <w:tc>
          <w:tcPr>
            <w:tcW w:w="2722" w:type="dxa"/>
            <w:vMerge/>
          </w:tcPr>
          <w:p w:rsidR="004C55CE" w:rsidRPr="00EE003F" w:rsidRDefault="004C55CE" w:rsidP="004C55CE">
            <w:pPr>
              <w:autoSpaceDE w:val="0"/>
              <w:autoSpaceDN w:val="0"/>
              <w:adjustRightInd w:val="0"/>
              <w:rPr>
                <w:rFonts w:ascii="Arial Narrow" w:hAnsi="Arial Narrow"/>
                <w:sz w:val="24"/>
                <w:szCs w:val="24"/>
              </w:rPr>
            </w:pP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3.</w:t>
            </w:r>
            <w:r w:rsidRPr="00EE003F">
              <w:rPr>
                <w:rFonts w:ascii="Arial Narrow" w:hAnsi="Arial Narrow" w:cs="Swis721 LtCn BT"/>
                <w:sz w:val="16"/>
                <w:szCs w:val="16"/>
                <w:lang w:val="es-ES_tradnl"/>
              </w:rPr>
              <w:tab/>
            </w:r>
            <w:r w:rsidR="00B14AE1" w:rsidRPr="00EE003F">
              <w:rPr>
                <w:rFonts w:ascii="Arial Narrow" w:hAnsi="Arial Narrow" w:cs="Swis721 LtCn BT"/>
                <w:sz w:val="16"/>
                <w:szCs w:val="16"/>
                <w:lang w:val="es-ES_tradnl"/>
              </w:rPr>
              <w:t xml:space="preserve">Competitividad exportadora </w:t>
            </w:r>
            <w:r w:rsidRPr="00EE003F">
              <w:rPr>
                <w:rFonts w:ascii="Arial Narrow" w:hAnsi="Arial Narrow" w:cs="Swis721 LtCn BT"/>
                <w:sz w:val="16"/>
                <w:szCs w:val="16"/>
                <w:lang w:val="es-ES_tradnl"/>
              </w:rPr>
              <w:t xml:space="preserve"> y calidad de empleo.</w:t>
            </w:r>
          </w:p>
        </w:tc>
      </w:tr>
      <w:tr w:rsidR="006E3336" w:rsidRPr="00EE003F" w:rsidTr="004C55CE">
        <w:trPr>
          <w:trHeight w:val="925"/>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val="restart"/>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5.- Desarrollo territorial e infraestructura productiva</w:t>
            </w:r>
          </w:p>
        </w:tc>
        <w:tc>
          <w:tcPr>
            <w:tcW w:w="2722" w:type="dxa"/>
            <w:vMerge w:val="restart"/>
          </w:tcPr>
          <w:p w:rsidR="004C55CE" w:rsidRPr="00EE003F" w:rsidRDefault="004C55CE" w:rsidP="004C55CE">
            <w:pPr>
              <w:suppressAutoHyphens/>
              <w:autoSpaceDE w:val="0"/>
              <w:autoSpaceDN w:val="0"/>
              <w:adjustRightInd w:val="0"/>
              <w:spacing w:line="288" w:lineRule="auto"/>
              <w:ind w:left="113" w:right="57"/>
              <w:textAlignment w:val="center"/>
              <w:rPr>
                <w:rFonts w:ascii="Arial Narrow" w:hAnsi="Arial Narrow"/>
                <w:sz w:val="24"/>
                <w:szCs w:val="24"/>
                <w:lang w:val="es-ES_tradnl"/>
              </w:rPr>
            </w:pPr>
            <w:r w:rsidRPr="00EE003F">
              <w:rPr>
                <w:rFonts w:ascii="Arial Narrow" w:hAnsi="Arial Narrow" w:cs="Swis721 LtCn BT"/>
                <w:sz w:val="16"/>
                <w:szCs w:val="16"/>
                <w:lang w:val="es-ES_tradnl"/>
              </w:rPr>
              <w:t>Lograr la cohesión territorial competitiva, sustentada en el desarrollo de sus potencialidades económicas, de sus recursos naturales y las capacidades de la población, asentada en ciudades sostenibles adecuadamente provistas de infraestructura productiva de calidad.</w:t>
            </w: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1.</w:t>
            </w:r>
            <w:r w:rsidRPr="00EE003F">
              <w:rPr>
                <w:rFonts w:ascii="Arial Narrow" w:hAnsi="Arial Narrow" w:cs="Swis721 LtCn BT"/>
                <w:sz w:val="16"/>
                <w:szCs w:val="16"/>
                <w:lang w:val="es-ES_tradnl"/>
              </w:rPr>
              <w:tab/>
              <w:t xml:space="preserve">Cohesión territorial competitiva. </w:t>
            </w:r>
          </w:p>
        </w:tc>
      </w:tr>
      <w:tr w:rsidR="006E3336" w:rsidRPr="00EE003F" w:rsidTr="004C55CE">
        <w:trPr>
          <w:trHeight w:val="850"/>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tcPr>
          <w:p w:rsidR="004C55CE" w:rsidRPr="00EE003F" w:rsidRDefault="004C55CE" w:rsidP="004C55CE">
            <w:pPr>
              <w:autoSpaceDE w:val="0"/>
              <w:autoSpaceDN w:val="0"/>
              <w:adjustRightInd w:val="0"/>
              <w:rPr>
                <w:rFonts w:ascii="Arial Narrow" w:hAnsi="Arial Narrow"/>
                <w:sz w:val="24"/>
                <w:szCs w:val="24"/>
              </w:rPr>
            </w:pPr>
          </w:p>
        </w:tc>
        <w:tc>
          <w:tcPr>
            <w:tcW w:w="2722" w:type="dxa"/>
            <w:vMerge/>
          </w:tcPr>
          <w:p w:rsidR="004C55CE" w:rsidRPr="00EE003F" w:rsidRDefault="004C55CE" w:rsidP="004C55CE">
            <w:pPr>
              <w:autoSpaceDE w:val="0"/>
              <w:autoSpaceDN w:val="0"/>
              <w:adjustRightInd w:val="0"/>
              <w:rPr>
                <w:rFonts w:ascii="Arial Narrow" w:hAnsi="Arial Narrow"/>
                <w:sz w:val="24"/>
                <w:szCs w:val="24"/>
              </w:rPr>
            </w:pP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2.</w:t>
            </w:r>
            <w:r w:rsidRPr="00EE003F">
              <w:rPr>
                <w:rFonts w:ascii="Arial Narrow" w:hAnsi="Arial Narrow" w:cs="Swis721 LtCn BT"/>
                <w:sz w:val="16"/>
                <w:szCs w:val="16"/>
                <w:lang w:val="es-ES_tradnl"/>
              </w:rPr>
              <w:tab/>
              <w:t xml:space="preserve">Infraestructura </w:t>
            </w:r>
            <w:r w:rsidRPr="00EE003F">
              <w:rPr>
                <w:rFonts w:ascii="Arial Narrow" w:hAnsi="Arial Narrow" w:cs="Swis721 LtCn BT"/>
                <w:sz w:val="16"/>
                <w:szCs w:val="16"/>
                <w:lang w:val="es-ES_tradnl"/>
              </w:rPr>
              <w:br/>
              <w:t>de calidad.</w:t>
            </w:r>
          </w:p>
        </w:tc>
      </w:tr>
      <w:tr w:rsidR="006E3336" w:rsidRPr="00EE003F" w:rsidTr="004C55CE">
        <w:trPr>
          <w:trHeight w:val="557"/>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val="restart"/>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Cn BT"/>
                <w:b/>
                <w:bCs/>
                <w:sz w:val="16"/>
                <w:szCs w:val="16"/>
                <w:lang w:val="es-ES_tradnl"/>
              </w:rPr>
              <w:t>6.- Ambiente, diversidad biológica y gestión de riesgo de desastres</w:t>
            </w:r>
          </w:p>
        </w:tc>
        <w:tc>
          <w:tcPr>
            <w:tcW w:w="2722" w:type="dxa"/>
            <w:vMerge w:val="restart"/>
          </w:tcPr>
          <w:p w:rsidR="004C55CE" w:rsidRPr="00EE003F" w:rsidRDefault="004C55CE" w:rsidP="004C55CE">
            <w:pPr>
              <w:suppressAutoHyphens/>
              <w:autoSpaceDE w:val="0"/>
              <w:autoSpaceDN w:val="0"/>
              <w:adjustRightInd w:val="0"/>
              <w:spacing w:line="288" w:lineRule="auto"/>
              <w:ind w:left="113" w:right="57"/>
              <w:textAlignment w:val="center"/>
              <w:rPr>
                <w:rFonts w:ascii="Arial Narrow" w:hAnsi="Arial Narrow"/>
                <w:sz w:val="24"/>
                <w:szCs w:val="24"/>
                <w:lang w:val="es-ES_tradnl"/>
              </w:rPr>
            </w:pPr>
            <w:r w:rsidRPr="00EE003F">
              <w:rPr>
                <w:rFonts w:ascii="Arial Narrow" w:hAnsi="Arial Narrow" w:cs="Swis721 LtCn BT"/>
                <w:sz w:val="16"/>
                <w:szCs w:val="16"/>
                <w:lang w:val="es-ES_tradnl"/>
              </w:rPr>
              <w:t xml:space="preserve">Promover el cambio hacia el crecimiento verde basado en la innovación, de modo que se favorezca el uso eficiente y sostenible de los servicios </w:t>
            </w:r>
            <w:proofErr w:type="spellStart"/>
            <w:r w:rsidRPr="00EE003F">
              <w:rPr>
                <w:rFonts w:ascii="Arial Narrow" w:hAnsi="Arial Narrow" w:cs="Swis721 LtCn BT"/>
                <w:sz w:val="16"/>
                <w:szCs w:val="16"/>
                <w:lang w:val="es-ES_tradnl"/>
              </w:rPr>
              <w:t>ecosistémicos</w:t>
            </w:r>
            <w:proofErr w:type="spellEnd"/>
            <w:r w:rsidRPr="00EE003F">
              <w:rPr>
                <w:rFonts w:ascii="Arial Narrow" w:hAnsi="Arial Narrow" w:cs="Swis721 LtCn BT"/>
                <w:sz w:val="16"/>
                <w:szCs w:val="16"/>
                <w:lang w:val="es-ES_tradnl"/>
              </w:rPr>
              <w:t>, el logro de una calidad ambiental adecuada para la salud de las personas, la reducción de la pobreza y el aumento de la competitividad.</w:t>
            </w: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1.</w:t>
            </w:r>
            <w:r w:rsidRPr="00EE003F">
              <w:rPr>
                <w:rFonts w:ascii="Arial Narrow" w:hAnsi="Arial Narrow" w:cs="Swis721 LtCn BT"/>
                <w:sz w:val="16"/>
                <w:szCs w:val="16"/>
                <w:lang w:val="es-ES_tradnl"/>
              </w:rPr>
              <w:tab/>
              <w:t>Aprovechamiento sostenible de la diversidad biológica.</w:t>
            </w:r>
          </w:p>
        </w:tc>
      </w:tr>
      <w:tr w:rsidR="006E3336" w:rsidRPr="00EE003F" w:rsidTr="004C55CE">
        <w:trPr>
          <w:trHeight w:val="505"/>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tcPr>
          <w:p w:rsidR="004C55CE" w:rsidRPr="00EE003F" w:rsidRDefault="004C55CE" w:rsidP="004C55CE">
            <w:pPr>
              <w:autoSpaceDE w:val="0"/>
              <w:autoSpaceDN w:val="0"/>
              <w:adjustRightInd w:val="0"/>
              <w:rPr>
                <w:rFonts w:ascii="Arial Narrow" w:hAnsi="Arial Narrow"/>
                <w:sz w:val="24"/>
                <w:szCs w:val="24"/>
              </w:rPr>
            </w:pPr>
          </w:p>
        </w:tc>
        <w:tc>
          <w:tcPr>
            <w:tcW w:w="2722" w:type="dxa"/>
            <w:vMerge/>
          </w:tcPr>
          <w:p w:rsidR="004C55CE" w:rsidRPr="00EE003F" w:rsidRDefault="004C55CE" w:rsidP="004C55CE">
            <w:pPr>
              <w:autoSpaceDE w:val="0"/>
              <w:autoSpaceDN w:val="0"/>
              <w:adjustRightInd w:val="0"/>
              <w:rPr>
                <w:rFonts w:ascii="Arial Narrow" w:hAnsi="Arial Narrow"/>
                <w:sz w:val="24"/>
                <w:szCs w:val="24"/>
              </w:rPr>
            </w:pP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2.</w:t>
            </w:r>
            <w:r w:rsidRPr="00EE003F">
              <w:rPr>
                <w:rFonts w:ascii="Arial Narrow" w:hAnsi="Arial Narrow" w:cs="Swis721 LtCn BT"/>
                <w:sz w:val="16"/>
                <w:szCs w:val="16"/>
                <w:lang w:val="es-ES_tradnl"/>
              </w:rPr>
              <w:tab/>
              <w:t>Ambiente saludable y gestión de recursos hídricos.</w:t>
            </w:r>
          </w:p>
        </w:tc>
      </w:tr>
      <w:tr w:rsidR="006E3336" w:rsidRPr="00EE003F" w:rsidTr="004C55CE">
        <w:trPr>
          <w:trHeight w:val="505"/>
        </w:trPr>
        <w:tc>
          <w:tcPr>
            <w:tcW w:w="1924" w:type="dxa"/>
            <w:vMerge/>
          </w:tcPr>
          <w:p w:rsidR="004C55CE" w:rsidRPr="00EE003F" w:rsidRDefault="004C55CE" w:rsidP="004C55CE">
            <w:pPr>
              <w:autoSpaceDE w:val="0"/>
              <w:autoSpaceDN w:val="0"/>
              <w:adjustRightInd w:val="0"/>
              <w:rPr>
                <w:rFonts w:ascii="Arial Narrow" w:hAnsi="Arial Narrow"/>
                <w:sz w:val="24"/>
                <w:szCs w:val="24"/>
              </w:rPr>
            </w:pPr>
          </w:p>
        </w:tc>
        <w:tc>
          <w:tcPr>
            <w:tcW w:w="1638" w:type="dxa"/>
            <w:vMerge/>
          </w:tcPr>
          <w:p w:rsidR="004C55CE" w:rsidRPr="00EE003F" w:rsidRDefault="004C55CE" w:rsidP="004C55CE">
            <w:pPr>
              <w:autoSpaceDE w:val="0"/>
              <w:autoSpaceDN w:val="0"/>
              <w:adjustRightInd w:val="0"/>
              <w:rPr>
                <w:rFonts w:ascii="Arial Narrow" w:hAnsi="Arial Narrow"/>
                <w:sz w:val="24"/>
                <w:szCs w:val="24"/>
              </w:rPr>
            </w:pPr>
          </w:p>
        </w:tc>
        <w:tc>
          <w:tcPr>
            <w:tcW w:w="1549" w:type="dxa"/>
            <w:vMerge/>
          </w:tcPr>
          <w:p w:rsidR="004C55CE" w:rsidRPr="00EE003F" w:rsidRDefault="004C55CE" w:rsidP="004C55CE">
            <w:pPr>
              <w:autoSpaceDE w:val="0"/>
              <w:autoSpaceDN w:val="0"/>
              <w:adjustRightInd w:val="0"/>
              <w:rPr>
                <w:rFonts w:ascii="Arial Narrow" w:hAnsi="Arial Narrow"/>
                <w:sz w:val="24"/>
                <w:szCs w:val="24"/>
              </w:rPr>
            </w:pPr>
          </w:p>
        </w:tc>
        <w:tc>
          <w:tcPr>
            <w:tcW w:w="2722" w:type="dxa"/>
            <w:vMerge/>
          </w:tcPr>
          <w:p w:rsidR="004C55CE" w:rsidRPr="00EE003F" w:rsidRDefault="004C55CE" w:rsidP="004C55CE">
            <w:pPr>
              <w:autoSpaceDE w:val="0"/>
              <w:autoSpaceDN w:val="0"/>
              <w:adjustRightInd w:val="0"/>
              <w:rPr>
                <w:rFonts w:ascii="Arial Narrow" w:hAnsi="Arial Narrow"/>
                <w:sz w:val="24"/>
                <w:szCs w:val="24"/>
              </w:rPr>
            </w:pPr>
          </w:p>
        </w:tc>
        <w:tc>
          <w:tcPr>
            <w:tcW w:w="1785" w:type="dxa"/>
          </w:tcPr>
          <w:p w:rsidR="004C55CE" w:rsidRPr="00EE003F" w:rsidRDefault="004C55CE" w:rsidP="004C55CE">
            <w:pPr>
              <w:suppressAutoHyphens/>
              <w:autoSpaceDE w:val="0"/>
              <w:autoSpaceDN w:val="0"/>
              <w:adjustRightInd w:val="0"/>
              <w:spacing w:line="288" w:lineRule="auto"/>
              <w:ind w:left="227" w:hanging="227"/>
              <w:textAlignment w:val="center"/>
              <w:rPr>
                <w:rFonts w:ascii="Arial Narrow" w:hAnsi="Arial Narrow"/>
                <w:sz w:val="24"/>
                <w:szCs w:val="24"/>
                <w:lang w:val="es-ES_tradnl"/>
              </w:rPr>
            </w:pPr>
            <w:r w:rsidRPr="00EE003F">
              <w:rPr>
                <w:rFonts w:ascii="Arial Narrow" w:hAnsi="Arial Narrow" w:cs="Swis721 LtCn BT"/>
                <w:sz w:val="16"/>
                <w:szCs w:val="16"/>
                <w:lang w:val="es-ES_tradnl"/>
              </w:rPr>
              <w:t>3.  Riesgo de desastres y vulnerabilidad ante el cambio climático.</w:t>
            </w:r>
          </w:p>
        </w:tc>
      </w:tr>
    </w:tbl>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843F2" w:rsidRPr="00EE003F" w:rsidRDefault="004843F2" w:rsidP="004C55CE">
      <w:pPr>
        <w:autoSpaceDE w:val="0"/>
        <w:autoSpaceDN w:val="0"/>
        <w:adjustRightInd w:val="0"/>
        <w:spacing w:after="0" w:line="240" w:lineRule="auto"/>
        <w:jc w:val="both"/>
        <w:rPr>
          <w:rFonts w:ascii="Arial Narrow" w:eastAsia="FrutigerLTStd-Light" w:hAnsi="Arial Narrow" w:cs="Arial"/>
          <w:sz w:val="24"/>
          <w:szCs w:val="24"/>
        </w:rPr>
      </w:pPr>
    </w:p>
    <w:p w:rsidR="004843F2" w:rsidRPr="00EE003F" w:rsidRDefault="004843F2" w:rsidP="004843F2">
      <w:pPr>
        <w:pStyle w:val="Ttulo2"/>
        <w:jc w:val="both"/>
        <w:rPr>
          <w:lang w:val="es-ES_tradnl"/>
        </w:rPr>
      </w:pPr>
      <w:bookmarkStart w:id="24" w:name="_Toc453004665"/>
      <w:r w:rsidRPr="00EE003F">
        <w:rPr>
          <w:rFonts w:asciiTheme="minorHAnsi" w:hAnsiTheme="minorHAnsi"/>
          <w:lang w:val="es-ES_tradnl"/>
        </w:rPr>
        <w:t xml:space="preserve">Correspondencia entre los Objetivos de Desarrollo Sostenible y los objetivos de desarrollo nacionales del Plan Estratégico de Desarrollo Nacional Actualizado </w:t>
      </w:r>
      <w:r w:rsidR="005A45B1" w:rsidRPr="00EE003F">
        <w:rPr>
          <w:rFonts w:asciiTheme="minorHAnsi" w:hAnsiTheme="minorHAnsi"/>
          <w:lang w:val="es-ES_tradnl"/>
        </w:rPr>
        <w:t>“</w:t>
      </w:r>
      <w:r w:rsidRPr="00EE003F">
        <w:rPr>
          <w:rFonts w:asciiTheme="minorHAnsi" w:hAnsiTheme="minorHAnsi"/>
          <w:lang w:val="es-ES_tradnl"/>
        </w:rPr>
        <w:t>Perú hacia el 2021</w:t>
      </w:r>
      <w:r w:rsidR="005A45B1" w:rsidRPr="00EE003F">
        <w:rPr>
          <w:rFonts w:asciiTheme="minorHAnsi" w:hAnsiTheme="minorHAnsi"/>
          <w:lang w:val="es-ES_tradnl"/>
        </w:rPr>
        <w:t>”</w:t>
      </w:r>
      <w:bookmarkEnd w:id="24"/>
    </w:p>
    <w:p w:rsidR="004843F2" w:rsidRPr="00EE003F" w:rsidRDefault="004843F2" w:rsidP="004C55CE">
      <w:pPr>
        <w:autoSpaceDE w:val="0"/>
        <w:autoSpaceDN w:val="0"/>
        <w:adjustRightInd w:val="0"/>
        <w:spacing w:after="0" w:line="240" w:lineRule="auto"/>
        <w:jc w:val="both"/>
        <w:rPr>
          <w:rFonts w:ascii="Arial Narrow" w:eastAsia="FrutigerLTStd-Light" w:hAnsi="Arial Narrow" w:cs="Arial"/>
          <w:sz w:val="24"/>
          <w:szCs w:val="24"/>
        </w:rPr>
      </w:pPr>
    </w:p>
    <w:tbl>
      <w:tblPr>
        <w:tblW w:w="9137" w:type="dxa"/>
        <w:tblInd w:w="55" w:type="dxa"/>
        <w:tblCellMar>
          <w:left w:w="70" w:type="dxa"/>
          <w:right w:w="70" w:type="dxa"/>
        </w:tblCellMar>
        <w:tblLook w:val="04A0" w:firstRow="1" w:lastRow="0" w:firstColumn="1" w:lastColumn="0" w:noHBand="0" w:noVBand="1"/>
      </w:tblPr>
      <w:tblGrid>
        <w:gridCol w:w="5685"/>
        <w:gridCol w:w="3452"/>
      </w:tblGrid>
      <w:tr w:rsidR="006E3336" w:rsidRPr="00EE003F" w:rsidTr="004C55CE">
        <w:trPr>
          <w:trHeight w:val="690"/>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jc w:val="center"/>
              <w:rPr>
                <w:rFonts w:ascii="Arial Narrow" w:eastAsia="Times New Roman" w:hAnsi="Arial Narrow" w:cs="Times New Roman"/>
                <w:b/>
                <w:bCs/>
                <w:lang w:eastAsia="es-PE"/>
              </w:rPr>
            </w:pPr>
            <w:r w:rsidRPr="00EE003F">
              <w:rPr>
                <w:rFonts w:ascii="Arial Narrow" w:eastAsia="Times New Roman" w:hAnsi="Arial Narrow" w:cs="Times New Roman"/>
                <w:b/>
                <w:bCs/>
                <w:lang w:eastAsia="es-PE"/>
              </w:rPr>
              <w:t>OBJETIVOS DE DESARROLLO SOSTENIBLE (ODS)</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jc w:val="center"/>
              <w:rPr>
                <w:rFonts w:ascii="Arial Narrow" w:eastAsia="Times New Roman" w:hAnsi="Arial Narrow" w:cs="Times New Roman"/>
                <w:b/>
                <w:bCs/>
                <w:lang w:eastAsia="es-PE"/>
              </w:rPr>
            </w:pPr>
            <w:r w:rsidRPr="00EE003F">
              <w:rPr>
                <w:rFonts w:ascii="Arial Narrow" w:eastAsia="Times New Roman" w:hAnsi="Arial Narrow" w:cs="Times New Roman"/>
                <w:b/>
                <w:bCs/>
                <w:lang w:eastAsia="es-PE"/>
              </w:rPr>
              <w:t>OBJETIVOS ESTRATÉGICOS NACIONALES DEL PEDN ACTUALIZADO</w:t>
            </w:r>
          </w:p>
        </w:tc>
      </w:tr>
      <w:tr w:rsidR="006E3336" w:rsidRPr="00EE003F" w:rsidTr="004C55CE">
        <w:trPr>
          <w:trHeight w:val="306"/>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1. Erradicar la pobreza en todas sus formas en todo lugar.</w:t>
            </w:r>
          </w:p>
        </w:tc>
        <w:tc>
          <w:tcPr>
            <w:tcW w:w="3452" w:type="dxa"/>
            <w:vMerge w:val="restart"/>
            <w:tcBorders>
              <w:top w:val="nil"/>
              <w:left w:val="single" w:sz="4" w:space="0" w:color="auto"/>
              <w:bottom w:val="single" w:sz="4" w:space="0" w:color="000000"/>
              <w:right w:val="single" w:sz="4" w:space="0" w:color="auto"/>
            </w:tcBorders>
            <w:shd w:val="clear" w:color="auto" w:fill="auto"/>
            <w:vAlign w:val="center"/>
            <w:hideMark/>
          </w:tcPr>
          <w:p w:rsidR="004C55CE" w:rsidRPr="00EE003F" w:rsidRDefault="004C55CE" w:rsidP="004C55CE">
            <w:pPr>
              <w:spacing w:after="0" w:line="240" w:lineRule="auto"/>
              <w:jc w:val="center"/>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OE1: Ejercicio efectivo de los derechos humanos y dignidad de las personas, con inclusión social de la población más pobre y vulnerable.</w:t>
            </w:r>
          </w:p>
        </w:tc>
      </w:tr>
      <w:tr w:rsidR="006E3336" w:rsidRPr="00EE003F" w:rsidTr="004C55CE">
        <w:trPr>
          <w:trHeight w:val="554"/>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2. Erradicar el hambre, lograr la seguridad alimentaria y una mayor nutrición, y promover la agricultura sostenible.</w:t>
            </w:r>
          </w:p>
        </w:tc>
        <w:tc>
          <w:tcPr>
            <w:tcW w:w="3452" w:type="dxa"/>
            <w:vMerge/>
            <w:tcBorders>
              <w:top w:val="nil"/>
              <w:left w:val="single" w:sz="4" w:space="0" w:color="auto"/>
              <w:bottom w:val="single" w:sz="4" w:space="0" w:color="000000"/>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278"/>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5. Lograr Igualdad de género y  empoderar a todas las mujeres y niñas.</w:t>
            </w:r>
          </w:p>
        </w:tc>
        <w:tc>
          <w:tcPr>
            <w:tcW w:w="3452" w:type="dxa"/>
            <w:vMerge/>
            <w:tcBorders>
              <w:top w:val="nil"/>
              <w:left w:val="single" w:sz="4" w:space="0" w:color="auto"/>
              <w:bottom w:val="single" w:sz="4" w:space="0" w:color="000000"/>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28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3. Asegurar vidas saludables y promover el bienestar  de todos y todas las edades.</w:t>
            </w:r>
          </w:p>
        </w:tc>
        <w:tc>
          <w:tcPr>
            <w:tcW w:w="3452" w:type="dxa"/>
            <w:vMerge w:val="restart"/>
            <w:tcBorders>
              <w:top w:val="nil"/>
              <w:left w:val="single" w:sz="4" w:space="0" w:color="auto"/>
              <w:bottom w:val="single" w:sz="4" w:space="0" w:color="000000"/>
              <w:right w:val="single" w:sz="4" w:space="0" w:color="auto"/>
            </w:tcBorders>
            <w:shd w:val="clear" w:color="auto" w:fill="auto"/>
            <w:vAlign w:val="center"/>
            <w:hideMark/>
          </w:tcPr>
          <w:p w:rsidR="004C55CE" w:rsidRPr="00EE003F" w:rsidRDefault="004C55CE" w:rsidP="004C55CE">
            <w:pPr>
              <w:spacing w:after="0" w:line="240" w:lineRule="auto"/>
              <w:jc w:val="center"/>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 xml:space="preserve">  OE2: Garantizar el acceso a los servicios de calidad que permiten el desarrollo pleno de las capacidades y derechos de la población, en condicione equitativas y sostenibles.</w:t>
            </w:r>
          </w:p>
        </w:tc>
      </w:tr>
      <w:tr w:rsidR="006E3336" w:rsidRPr="00EE003F" w:rsidTr="004C55CE">
        <w:trPr>
          <w:trHeight w:val="554"/>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4. Asegurar educación de calidad, inclusiva y equitativa, y promover oportunidades de aprendizaje para todas las personas a lo largo de sus vidas.</w:t>
            </w:r>
          </w:p>
        </w:tc>
        <w:tc>
          <w:tcPr>
            <w:tcW w:w="3452" w:type="dxa"/>
            <w:vMerge/>
            <w:tcBorders>
              <w:top w:val="nil"/>
              <w:left w:val="single" w:sz="4" w:space="0" w:color="auto"/>
              <w:bottom w:val="single" w:sz="4" w:space="0" w:color="000000"/>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562"/>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6. Asegurar la disponibilidad y la gestión disponible del agua y la sanidad para todos.</w:t>
            </w:r>
          </w:p>
        </w:tc>
        <w:tc>
          <w:tcPr>
            <w:tcW w:w="3452" w:type="dxa"/>
            <w:vMerge/>
            <w:tcBorders>
              <w:top w:val="nil"/>
              <w:left w:val="single" w:sz="4" w:space="0" w:color="auto"/>
              <w:bottom w:val="single" w:sz="4" w:space="0" w:color="000000"/>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40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7. Asegurar el acceso a energía costeable, segura, sostenible y moderna para todos.</w:t>
            </w:r>
          </w:p>
        </w:tc>
        <w:tc>
          <w:tcPr>
            <w:tcW w:w="3452" w:type="dxa"/>
            <w:vMerge/>
            <w:tcBorders>
              <w:top w:val="nil"/>
              <w:left w:val="single" w:sz="4" w:space="0" w:color="auto"/>
              <w:bottom w:val="single" w:sz="4" w:space="0" w:color="000000"/>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831"/>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16. Promover sociedades pacíficas e inclusivas para el desarrollo sostenible, proveer acceso a la justicia para todos y construir instituciones efectivas, rendidoras de cuentas e inclusivas en todos los niveles.</w:t>
            </w:r>
          </w:p>
        </w:tc>
        <w:tc>
          <w:tcPr>
            <w:tcW w:w="3452" w:type="dxa"/>
            <w:vMerge w:val="restart"/>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jc w:val="center"/>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OE3: Desarrollar y consolidar una gobernabilidad democrática y una fuerte institucionalidad pública.</w:t>
            </w:r>
          </w:p>
        </w:tc>
      </w:tr>
      <w:tr w:rsidR="006E3336" w:rsidRPr="00EE003F" w:rsidTr="004C55CE">
        <w:trPr>
          <w:trHeight w:val="56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17. Fortalecer los medios de implementación y revitalizar la alianza global para el desarrollo sostenible.</w:t>
            </w:r>
          </w:p>
        </w:tc>
        <w:tc>
          <w:tcPr>
            <w:tcW w:w="3452" w:type="dxa"/>
            <w:vMerge/>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554"/>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8. Promover el crecimiento económico sostenido, inclusivo y sostenible  y empleo pleno productivo y trabajo digno para todos.</w:t>
            </w:r>
          </w:p>
        </w:tc>
        <w:tc>
          <w:tcPr>
            <w:tcW w:w="3452" w:type="dxa"/>
            <w:vMerge w:val="restart"/>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jc w:val="center"/>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OE4: Desarrollar una economía diversificada y sofisticada con crecimiento sostenible, en una estructura descentralizada, generadora de empleo digno.</w:t>
            </w:r>
          </w:p>
        </w:tc>
      </w:tr>
      <w:tr w:rsidR="006E3336" w:rsidRPr="00EE003F" w:rsidTr="004C55CE">
        <w:trPr>
          <w:trHeight w:val="870"/>
        </w:trPr>
        <w:tc>
          <w:tcPr>
            <w:tcW w:w="5685" w:type="dxa"/>
            <w:vMerge w:val="restart"/>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12.  Asegurar patrones sostenibles de consumo y producción.</w:t>
            </w:r>
          </w:p>
        </w:tc>
        <w:tc>
          <w:tcPr>
            <w:tcW w:w="3452" w:type="dxa"/>
            <w:vMerge/>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207"/>
        </w:trPr>
        <w:tc>
          <w:tcPr>
            <w:tcW w:w="5685" w:type="dxa"/>
            <w:vMerge/>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c>
          <w:tcPr>
            <w:tcW w:w="3452" w:type="dxa"/>
            <w:vMerge/>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464"/>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 xml:space="preserve">9. Construir una  Infraestructura </w:t>
            </w:r>
            <w:proofErr w:type="spellStart"/>
            <w:r w:rsidRPr="00EE003F">
              <w:rPr>
                <w:rFonts w:ascii="Arial Narrow" w:eastAsia="Times New Roman" w:hAnsi="Arial Narrow" w:cs="Times New Roman"/>
                <w:sz w:val="18"/>
                <w:szCs w:val="18"/>
                <w:lang w:eastAsia="es-PE"/>
              </w:rPr>
              <w:t>resiliente</w:t>
            </w:r>
            <w:proofErr w:type="spellEnd"/>
            <w:r w:rsidRPr="00EE003F">
              <w:rPr>
                <w:rFonts w:ascii="Arial Narrow" w:eastAsia="Times New Roman" w:hAnsi="Arial Narrow" w:cs="Times New Roman"/>
                <w:sz w:val="18"/>
                <w:szCs w:val="18"/>
                <w:lang w:eastAsia="es-PE"/>
              </w:rPr>
              <w:t xml:space="preserve"> (resistente), promover la industrialización inclusiva y sostenible, y la innovación.</w:t>
            </w:r>
          </w:p>
        </w:tc>
        <w:tc>
          <w:tcPr>
            <w:tcW w:w="3452" w:type="dxa"/>
            <w:vMerge w:val="restart"/>
            <w:tcBorders>
              <w:top w:val="nil"/>
              <w:left w:val="single" w:sz="4" w:space="0" w:color="auto"/>
              <w:bottom w:val="single" w:sz="4" w:space="0" w:color="000000"/>
              <w:right w:val="single" w:sz="4" w:space="0" w:color="auto"/>
            </w:tcBorders>
            <w:shd w:val="clear" w:color="auto" w:fill="auto"/>
            <w:vAlign w:val="center"/>
            <w:hideMark/>
          </w:tcPr>
          <w:p w:rsidR="004C55CE" w:rsidRPr="00EE003F" w:rsidRDefault="004C55CE" w:rsidP="004C55CE">
            <w:pPr>
              <w:spacing w:after="0" w:line="240" w:lineRule="auto"/>
              <w:jc w:val="center"/>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OE5: Territorio cohesionado y organizado en ciudades sostenibles con provisión asegurada de infraestructura de calidad.</w:t>
            </w:r>
          </w:p>
        </w:tc>
      </w:tr>
      <w:tr w:rsidR="006E3336" w:rsidRPr="00EE003F" w:rsidTr="004C55CE">
        <w:trPr>
          <w:trHeight w:val="272"/>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10. Reducir la desigualdad al interior de y entre los países.</w:t>
            </w:r>
          </w:p>
        </w:tc>
        <w:tc>
          <w:tcPr>
            <w:tcW w:w="3452" w:type="dxa"/>
            <w:vMerge/>
            <w:tcBorders>
              <w:top w:val="nil"/>
              <w:left w:val="single" w:sz="4" w:space="0" w:color="auto"/>
              <w:bottom w:val="single" w:sz="4" w:space="0" w:color="000000"/>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546"/>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 xml:space="preserve">11.  Hacer ciudades y asentamientos humanos inclusivos, seguros, </w:t>
            </w:r>
            <w:proofErr w:type="spellStart"/>
            <w:r w:rsidRPr="00EE003F">
              <w:rPr>
                <w:rFonts w:ascii="Arial Narrow" w:eastAsia="Times New Roman" w:hAnsi="Arial Narrow" w:cs="Times New Roman"/>
                <w:sz w:val="18"/>
                <w:szCs w:val="18"/>
                <w:lang w:eastAsia="es-PE"/>
              </w:rPr>
              <w:t>resilientes</w:t>
            </w:r>
            <w:proofErr w:type="spellEnd"/>
            <w:r w:rsidRPr="00EE003F">
              <w:rPr>
                <w:rFonts w:ascii="Arial Narrow" w:eastAsia="Times New Roman" w:hAnsi="Arial Narrow" w:cs="Times New Roman"/>
                <w:sz w:val="18"/>
                <w:szCs w:val="18"/>
                <w:lang w:eastAsia="es-PE"/>
              </w:rPr>
              <w:t xml:space="preserve"> y sostenibles.</w:t>
            </w:r>
          </w:p>
        </w:tc>
        <w:tc>
          <w:tcPr>
            <w:tcW w:w="3452" w:type="dxa"/>
            <w:vMerge/>
            <w:tcBorders>
              <w:top w:val="nil"/>
              <w:left w:val="single" w:sz="4" w:space="0" w:color="auto"/>
              <w:bottom w:val="single" w:sz="4" w:space="0" w:color="000000"/>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134"/>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13. Actuar urgentemente para combatir el cambio climático y sus impactos.</w:t>
            </w:r>
          </w:p>
        </w:tc>
        <w:tc>
          <w:tcPr>
            <w:tcW w:w="3452" w:type="dxa"/>
            <w:vMerge w:val="restart"/>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jc w:val="center"/>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OE6</w:t>
            </w:r>
            <w:r w:rsidRPr="00EE003F">
              <w:rPr>
                <w:rFonts w:ascii="Arial Narrow" w:eastAsia="Times New Roman" w:hAnsi="Arial Narrow" w:cs="Times New Roman"/>
                <w:b/>
                <w:bCs/>
                <w:sz w:val="18"/>
                <w:szCs w:val="18"/>
                <w:lang w:eastAsia="es-PE"/>
              </w:rPr>
              <w:t>:</w:t>
            </w:r>
            <w:r w:rsidRPr="00EE003F">
              <w:rPr>
                <w:rFonts w:ascii="Arial Narrow" w:eastAsia="Times New Roman" w:hAnsi="Arial Narrow" w:cs="Times New Roman"/>
                <w:sz w:val="18"/>
                <w:szCs w:val="18"/>
                <w:lang w:eastAsia="es-PE"/>
              </w:rPr>
              <w:t xml:space="preserve"> Aprovechamiento eficiente, responsable y sostenible de la diversidad biológica, asegurando una calidad ambiental adecuada para la vida saludable de las personas y el desarrollo sostenible del país</w:t>
            </w:r>
          </w:p>
        </w:tc>
      </w:tr>
      <w:tr w:rsidR="006E3336" w:rsidRPr="00EE003F" w:rsidTr="004C55CE">
        <w:trPr>
          <w:trHeight w:val="627"/>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14. Conservar y usar sosteniblemente los océanos, mares y los recursos marinos para el desarrollo sostenible.</w:t>
            </w:r>
          </w:p>
        </w:tc>
        <w:tc>
          <w:tcPr>
            <w:tcW w:w="3452" w:type="dxa"/>
            <w:vMerge/>
            <w:tcBorders>
              <w:top w:val="nil"/>
              <w:left w:val="single" w:sz="4" w:space="0" w:color="auto"/>
              <w:bottom w:val="single" w:sz="4" w:space="0" w:color="auto"/>
              <w:right w:val="single" w:sz="4" w:space="0" w:color="auto"/>
            </w:tcBorders>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r w:rsidR="006E3336" w:rsidRPr="00EE003F" w:rsidTr="004C55CE">
        <w:trPr>
          <w:trHeight w:val="707"/>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r w:rsidRPr="00EE003F">
              <w:rPr>
                <w:rFonts w:ascii="Arial Narrow" w:eastAsia="Times New Roman" w:hAnsi="Arial Narrow" w:cs="Times New Roman"/>
                <w:sz w:val="18"/>
                <w:szCs w:val="18"/>
                <w:lang w:eastAsia="es-PE"/>
              </w:rPr>
              <w:t>15. Proteger, restaurar y promover el uso sostenible de los ecosistemas, combatir la desertificación y detener y revertir la degradación de las tierras y la pérdida de biodiversidad.</w:t>
            </w:r>
          </w:p>
        </w:tc>
        <w:tc>
          <w:tcPr>
            <w:tcW w:w="3452" w:type="dxa"/>
            <w:vMerge/>
            <w:tcBorders>
              <w:top w:val="nil"/>
              <w:left w:val="single" w:sz="4" w:space="0" w:color="auto"/>
              <w:bottom w:val="single" w:sz="4" w:space="0" w:color="auto"/>
              <w:right w:val="single" w:sz="4" w:space="0" w:color="auto"/>
            </w:tcBorders>
            <w:vAlign w:val="center"/>
            <w:hideMark/>
          </w:tcPr>
          <w:p w:rsidR="004C55CE" w:rsidRPr="00EE003F" w:rsidRDefault="004C55CE" w:rsidP="004C55CE">
            <w:pPr>
              <w:spacing w:after="0" w:line="240" w:lineRule="auto"/>
              <w:rPr>
                <w:rFonts w:ascii="Arial Narrow" w:eastAsia="Times New Roman" w:hAnsi="Arial Narrow" w:cs="Times New Roman"/>
                <w:sz w:val="18"/>
                <w:szCs w:val="18"/>
                <w:lang w:eastAsia="es-PE"/>
              </w:rPr>
            </w:pPr>
          </w:p>
        </w:tc>
      </w:tr>
    </w:tbl>
    <w:p w:rsidR="004C55CE" w:rsidRPr="00EE003F" w:rsidRDefault="004C55CE" w:rsidP="004C55CE">
      <w:pPr>
        <w:autoSpaceDE w:val="0"/>
        <w:autoSpaceDN w:val="0"/>
        <w:adjustRightInd w:val="0"/>
        <w:spacing w:after="0" w:line="240" w:lineRule="auto"/>
        <w:jc w:val="both"/>
        <w:rPr>
          <w:rFonts w:ascii="Arial Narrow" w:hAnsi="Arial Narrow"/>
          <w:sz w:val="18"/>
          <w:szCs w:val="18"/>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p>
    <w:p w:rsidR="00CE447A" w:rsidRPr="00EE003F" w:rsidRDefault="00CE447A">
      <w:pPr>
        <w:rPr>
          <w:rFonts w:ascii="Arial Narrow" w:eastAsia="FrutigerLTStd-Light" w:hAnsi="Arial Narrow" w:cs="Arial"/>
          <w:b/>
          <w:sz w:val="24"/>
          <w:szCs w:val="24"/>
        </w:rPr>
      </w:pPr>
      <w:r w:rsidRPr="00EE003F">
        <w:rPr>
          <w:rFonts w:ascii="Arial Narrow" w:eastAsia="FrutigerLTStd-Light" w:hAnsi="Arial Narrow" w:cs="Arial"/>
          <w:b/>
          <w:bCs/>
          <w:sz w:val="24"/>
          <w:szCs w:val="24"/>
        </w:rPr>
        <w:br w:type="page"/>
      </w:r>
    </w:p>
    <w:p w:rsidR="004C55CE" w:rsidRPr="00EE003F" w:rsidRDefault="004C55CE" w:rsidP="004843F2">
      <w:pPr>
        <w:pStyle w:val="Ttulo2"/>
        <w:jc w:val="left"/>
        <w:rPr>
          <w:rFonts w:asciiTheme="minorHAnsi" w:hAnsiTheme="minorHAnsi"/>
          <w:lang w:val="es-ES_tradnl"/>
        </w:rPr>
      </w:pPr>
      <w:bookmarkStart w:id="25" w:name="_Toc453004666"/>
      <w:r w:rsidRPr="00EE003F">
        <w:rPr>
          <w:rFonts w:asciiTheme="minorHAnsi" w:hAnsiTheme="minorHAnsi"/>
          <w:lang w:val="es-ES_tradnl"/>
        </w:rPr>
        <w:t>La gran oportunidad</w:t>
      </w:r>
      <w:bookmarkEnd w:id="25"/>
    </w:p>
    <w:p w:rsidR="004C55CE" w:rsidRPr="00EE003F" w:rsidRDefault="004C55CE" w:rsidP="004843F2">
      <w:pPr>
        <w:autoSpaceDE w:val="0"/>
        <w:autoSpaceDN w:val="0"/>
        <w:adjustRightInd w:val="0"/>
        <w:spacing w:after="0" w:line="240" w:lineRule="auto"/>
        <w:rPr>
          <w:rFonts w:ascii="Arial Narrow" w:hAnsi="Arial Narrow" w:cs="Arial"/>
          <w:b/>
          <w:sz w:val="24"/>
          <w:szCs w:val="24"/>
        </w:rPr>
      </w:pPr>
    </w:p>
    <w:p w:rsidR="004C55CE" w:rsidRPr="00EE003F" w:rsidRDefault="004C55CE" w:rsidP="004C55CE">
      <w:pPr>
        <w:autoSpaceDE w:val="0"/>
        <w:autoSpaceDN w:val="0"/>
        <w:adjustRightInd w:val="0"/>
        <w:spacing w:after="0" w:line="240" w:lineRule="auto"/>
        <w:jc w:val="both"/>
        <w:rPr>
          <w:rFonts w:ascii="Arial Narrow" w:hAnsi="Arial Narrow" w:cs="Arial"/>
          <w:b/>
          <w:sz w:val="24"/>
          <w:szCs w:val="24"/>
        </w:rPr>
      </w:pPr>
      <w:r w:rsidRPr="00EE003F">
        <w:rPr>
          <w:rFonts w:ascii="Arial Narrow" w:hAnsi="Arial Narrow" w:cs="Arial"/>
          <w:b/>
          <w:sz w:val="24"/>
          <w:szCs w:val="24"/>
        </w:rPr>
        <w:t>Perú, país de la OCDE en el 2021</w:t>
      </w:r>
    </w:p>
    <w:p w:rsidR="004C55CE" w:rsidRPr="00EE003F" w:rsidRDefault="004C55CE" w:rsidP="004C55CE">
      <w:pPr>
        <w:autoSpaceDE w:val="0"/>
        <w:autoSpaceDN w:val="0"/>
        <w:adjustRightInd w:val="0"/>
        <w:spacing w:after="0" w:line="240" w:lineRule="auto"/>
        <w:jc w:val="both"/>
        <w:rPr>
          <w:rFonts w:ascii="Arial Narrow" w:hAnsi="Arial Narrow" w:cs="Arial"/>
          <w:sz w:val="24"/>
          <w:szCs w:val="24"/>
        </w:rPr>
      </w:pPr>
    </w:p>
    <w:p w:rsidR="004C55CE" w:rsidRPr="00EE003F" w:rsidRDefault="004C55CE" w:rsidP="004C55CE">
      <w:pPr>
        <w:autoSpaceDE w:val="0"/>
        <w:autoSpaceDN w:val="0"/>
        <w:adjustRightInd w:val="0"/>
        <w:spacing w:after="0" w:line="240" w:lineRule="auto"/>
        <w:jc w:val="both"/>
        <w:rPr>
          <w:rFonts w:ascii="Arial Narrow" w:hAnsi="Arial Narrow" w:cs="Arial"/>
          <w:b/>
          <w:sz w:val="24"/>
          <w:szCs w:val="24"/>
        </w:rPr>
      </w:pPr>
      <w:r w:rsidRPr="00EE003F">
        <w:rPr>
          <w:rFonts w:ascii="Arial Narrow" w:hAnsi="Arial Narrow" w:cs="Arial"/>
          <w:b/>
          <w:sz w:val="24"/>
          <w:szCs w:val="24"/>
        </w:rPr>
        <w:t>¿Por qué debemos apostar a ser país miembro de la OCDE?</w:t>
      </w: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El Perú lleva</w:t>
      </w:r>
      <w:r w:rsidR="00854E17" w:rsidRPr="00EE003F">
        <w:rPr>
          <w:rFonts w:ascii="Arial Narrow" w:eastAsia="FrutigerLTStd-Light" w:hAnsi="Arial Narrow" w:cs="Arial"/>
          <w:sz w:val="24"/>
          <w:szCs w:val="24"/>
        </w:rPr>
        <w:t>rá</w:t>
      </w:r>
      <w:r w:rsidRPr="00EE003F">
        <w:rPr>
          <w:rFonts w:ascii="Arial Narrow" w:eastAsia="FrutigerLTStd-Light" w:hAnsi="Arial Narrow" w:cs="Arial"/>
          <w:sz w:val="24"/>
          <w:szCs w:val="24"/>
        </w:rPr>
        <w:t xml:space="preserve"> más de veinte años ininterrumpidos de crecimiento económico, que ha permitido, entre otros logros, la salida de millones de personas de la situación de pobreza, la generación de oportunidades de desarrollo y progreso para grandes sectores de la población, organizaciones e instituciones.</w:t>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La situación actual invita al país a establecer retos mayores e hitos que aseguren que los resultados alcanzados se mantengan. Pertenecer a una organización como la OCDE para garantizar el cumplimiento de políticas públicas adecuadas para conducir al país a mayores niveles de desarrollo, es una apuesta en la que se debe trabajar.</w:t>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La adhesión de Perú a la OCDE supone la evolución necesaria en diversos indicadores de desarrollo.</w:t>
      </w:r>
    </w:p>
    <w:p w:rsidR="004C55CE" w:rsidRPr="00EE003F" w:rsidRDefault="004C55CE" w:rsidP="004C55CE">
      <w:pPr>
        <w:autoSpaceDE w:val="0"/>
        <w:autoSpaceDN w:val="0"/>
        <w:adjustRightInd w:val="0"/>
        <w:spacing w:after="0" w:line="240" w:lineRule="auto"/>
        <w:jc w:val="both"/>
        <w:rPr>
          <w:rFonts w:ascii="Arial Narrow" w:hAnsi="Arial Narrow" w:cs="Arial"/>
          <w:sz w:val="24"/>
          <w:szCs w:val="24"/>
        </w:rPr>
      </w:pPr>
    </w:p>
    <w:p w:rsidR="004C55CE" w:rsidRPr="00EE003F" w:rsidRDefault="004C55CE" w:rsidP="004C55CE">
      <w:pPr>
        <w:autoSpaceDE w:val="0"/>
        <w:autoSpaceDN w:val="0"/>
        <w:adjustRightInd w:val="0"/>
        <w:spacing w:after="0" w:line="240" w:lineRule="auto"/>
        <w:jc w:val="both"/>
        <w:rPr>
          <w:rFonts w:ascii="Arial Narrow" w:hAnsi="Arial Narrow" w:cs="Arial"/>
          <w:b/>
          <w:sz w:val="24"/>
          <w:szCs w:val="24"/>
        </w:rPr>
      </w:pPr>
      <w:r w:rsidRPr="00EE003F">
        <w:rPr>
          <w:rFonts w:ascii="Arial Narrow" w:hAnsi="Arial Narrow" w:cs="Arial"/>
          <w:b/>
          <w:sz w:val="24"/>
          <w:szCs w:val="24"/>
        </w:rPr>
        <w:t>Perú cerrando brechas</w:t>
      </w: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El Perú se encuentra por debajo del progreso alcanzado por economías comparables de la región como Chile, Colombia y México. A través de un análisis comparado de indicadores se han identificado las principales brechas con Chile en el momento que fue aceptado como país de la OCDE, y se elaboró un gráfico que identifica las fortalezas en el momento que el Perú decidió iniciar el Programa País</w:t>
      </w:r>
      <w:r w:rsidRPr="00EE003F">
        <w:rPr>
          <w:rStyle w:val="Refdenotaalpie"/>
          <w:rFonts w:ascii="Arial Narrow" w:eastAsia="FrutigerLTStd-Light" w:hAnsi="Arial Narrow" w:cs="Arial"/>
          <w:sz w:val="24"/>
          <w:szCs w:val="24"/>
        </w:rPr>
        <w:footnoteReference w:id="20"/>
      </w:r>
      <w:r w:rsidRPr="00EE003F">
        <w:rPr>
          <w:rFonts w:ascii="Arial Narrow" w:eastAsia="FrutigerLTStd-Light" w:hAnsi="Arial Narrow" w:cs="Arial"/>
          <w:sz w:val="24"/>
          <w:szCs w:val="24"/>
        </w:rPr>
        <w:t xml:space="preserve"> para ingresar a dicha organización en el año 2013.</w:t>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Los retos que merecen mayor atención están asociados a la calidad institucional y los referidos a la provisión de servicios. El Perú posee grandes posibilidades de cerrar sus brechas respecto a Chile al momento de su ingreso a miembro de la OCDE. De acuerdo al gráfico siguiente, es posible distinguir tres tipos de brechas: las que pueden cerrarse rápidamente, las que necesitan políticas específicas en el mediano plazo y las que provienen de problemas estructurales del país.</w:t>
      </w: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p>
    <w:p w:rsidR="00DE0523" w:rsidRPr="00EE003F" w:rsidRDefault="00DE0523" w:rsidP="004C55CE">
      <w:pPr>
        <w:autoSpaceDE w:val="0"/>
        <w:autoSpaceDN w:val="0"/>
        <w:adjustRightInd w:val="0"/>
        <w:spacing w:after="0" w:line="240" w:lineRule="auto"/>
        <w:jc w:val="both"/>
        <w:rPr>
          <w:rFonts w:ascii="Arial Narrow" w:eastAsia="FrutigerLTStd-Light" w:hAnsi="Arial Narrow" w:cs="Arial"/>
          <w:b/>
          <w:sz w:val="24"/>
          <w:szCs w:val="24"/>
        </w:rPr>
      </w:pPr>
      <w:r w:rsidRPr="00EE003F">
        <w:rPr>
          <w:noProof/>
          <w:lang w:eastAsia="es-PE"/>
        </w:rPr>
        <w:drawing>
          <wp:inline distT="0" distB="0" distL="0" distR="0" wp14:anchorId="618AE841" wp14:editId="28FCED9E">
            <wp:extent cx="4856672" cy="4298703"/>
            <wp:effectExtent l="0" t="0" r="1270" b="698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01.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56586" cy="4298627"/>
                    </a:xfrm>
                    <a:prstGeom prst="rect">
                      <a:avLst/>
                    </a:prstGeom>
                  </pic:spPr>
                </pic:pic>
              </a:graphicData>
            </a:graphic>
          </wp:inline>
        </w:drawing>
      </w: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DE0523" w:rsidRPr="00EE003F" w:rsidRDefault="00DE0523" w:rsidP="004C55CE">
      <w:pPr>
        <w:autoSpaceDE w:val="0"/>
        <w:autoSpaceDN w:val="0"/>
        <w:adjustRightInd w:val="0"/>
        <w:spacing w:after="0" w:line="240" w:lineRule="auto"/>
        <w:jc w:val="both"/>
        <w:rPr>
          <w:rFonts w:ascii="Arial Narrow" w:eastAsia="FrutigerLTStd-Light" w:hAnsi="Arial Narrow" w:cs="Arial"/>
          <w:sz w:val="24"/>
          <w:szCs w:val="24"/>
        </w:rPr>
      </w:pPr>
      <w:r w:rsidRPr="00EE003F">
        <w:rPr>
          <w:noProof/>
          <w:lang w:eastAsia="es-PE"/>
        </w:rPr>
        <w:drawing>
          <wp:inline distT="0" distB="0" distL="0" distR="0" wp14:anchorId="0A347E60" wp14:editId="1AE0D04A">
            <wp:extent cx="4977442" cy="2409119"/>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02.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77354" cy="2409076"/>
                    </a:xfrm>
                    <a:prstGeom prst="rect">
                      <a:avLst/>
                    </a:prstGeom>
                  </pic:spPr>
                </pic:pic>
              </a:graphicData>
            </a:graphic>
          </wp:inline>
        </w:drawing>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sz w:val="24"/>
          <w:szCs w:val="24"/>
        </w:rPr>
      </w:pPr>
      <w:r w:rsidRPr="00EE003F">
        <w:rPr>
          <w:rFonts w:ascii="Arial Narrow" w:eastAsia="FrutigerLTStd-Light" w:hAnsi="Arial Narrow" w:cs="Arial"/>
          <w:sz w:val="24"/>
          <w:szCs w:val="24"/>
        </w:rPr>
        <w:t>A pesar del estancamiento en algunos aspectos del desarrollo, se considera que el Perú tiene la capacidad de cerrar las brechas hacia el año 2021. Con el contexto económico actual y la aplicación oportuna de reformas y políticas públicas, el escenario apuesta tendría un perfil muy similar al que poseía Chile en el año 2010. De acuerdo al grafico anterior, se observa que para el 2021, la mayor parte de brechas se irán reduciendo progresivamente.</w:t>
      </w: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sz w:val="24"/>
          <w:szCs w:val="24"/>
        </w:rPr>
      </w:pPr>
    </w:p>
    <w:p w:rsidR="004C55CE" w:rsidRPr="00EE003F" w:rsidRDefault="004C55CE" w:rsidP="004C55CE">
      <w:pPr>
        <w:autoSpaceDE w:val="0"/>
        <w:autoSpaceDN w:val="0"/>
        <w:adjustRightInd w:val="0"/>
        <w:spacing w:after="0" w:line="240" w:lineRule="auto"/>
        <w:jc w:val="both"/>
        <w:rPr>
          <w:rFonts w:ascii="Arial Narrow" w:eastAsia="FrutigerLTStd-Light" w:hAnsi="Arial Narrow" w:cs="Arial"/>
          <w:b/>
          <w:sz w:val="24"/>
          <w:szCs w:val="24"/>
        </w:rPr>
      </w:pPr>
      <w:r w:rsidRPr="00EE003F">
        <w:rPr>
          <w:rFonts w:ascii="Arial Narrow" w:eastAsia="FrutigerLTStd-Light" w:hAnsi="Arial Narrow" w:cs="Arial"/>
          <w:b/>
          <w:noProof/>
          <w:sz w:val="24"/>
          <w:szCs w:val="24"/>
          <w:lang w:eastAsia="es-PE"/>
        </w:rPr>
        <w:drawing>
          <wp:inline distT="0" distB="0" distL="0" distR="0" wp14:anchorId="3DA36F30" wp14:editId="41ED6924">
            <wp:extent cx="4373218" cy="2091569"/>
            <wp:effectExtent l="0" t="0" r="8890" b="444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1447" cy="2090722"/>
                    </a:xfrm>
                    <a:prstGeom prst="rect">
                      <a:avLst/>
                    </a:prstGeom>
                    <a:noFill/>
                    <a:ln>
                      <a:noFill/>
                    </a:ln>
                  </pic:spPr>
                </pic:pic>
              </a:graphicData>
            </a:graphic>
          </wp:inline>
        </w:drawing>
      </w:r>
    </w:p>
    <w:p w:rsidR="004C55CE" w:rsidRPr="00EE003F" w:rsidRDefault="004C55CE" w:rsidP="00CE447A">
      <w:pPr>
        <w:autoSpaceDE w:val="0"/>
        <w:autoSpaceDN w:val="0"/>
        <w:adjustRightInd w:val="0"/>
        <w:spacing w:before="120" w:after="0" w:line="240" w:lineRule="auto"/>
        <w:jc w:val="both"/>
        <w:rPr>
          <w:rFonts w:ascii="Arial Narrow" w:eastAsia="FrutigerLTStd-Light" w:hAnsi="Arial Narrow" w:cs="Arial"/>
          <w:color w:val="000000" w:themeColor="text1"/>
          <w:sz w:val="24"/>
          <w:szCs w:val="24"/>
        </w:rPr>
      </w:pPr>
      <w:r w:rsidRPr="00EE003F">
        <w:rPr>
          <w:rFonts w:ascii="Arial Narrow" w:eastAsia="FrutigerLTStd-Light" w:hAnsi="Arial Narrow" w:cs="Arial"/>
          <w:color w:val="000000" w:themeColor="text1"/>
          <w:sz w:val="24"/>
          <w:szCs w:val="24"/>
        </w:rPr>
        <w:t>Como se observa en el gráfico, los temas que requieren una mayor atención son el control de la corrupción, la ausencia de violencia y el flujo de inversión extranjera directa.</w:t>
      </w:r>
    </w:p>
    <w:p w:rsidR="004C55CE" w:rsidRPr="00EE003F" w:rsidRDefault="004C55CE" w:rsidP="004843F2">
      <w:pPr>
        <w:pStyle w:val="Ttulo2"/>
        <w:jc w:val="left"/>
        <w:rPr>
          <w:rFonts w:asciiTheme="minorHAnsi" w:hAnsiTheme="minorHAnsi"/>
          <w:lang w:val="es-ES_tradnl"/>
        </w:rPr>
      </w:pPr>
      <w:bookmarkStart w:id="26" w:name="_Toc453004667"/>
      <w:r w:rsidRPr="00EE003F">
        <w:rPr>
          <w:rFonts w:asciiTheme="minorHAnsi" w:hAnsiTheme="minorHAnsi"/>
          <w:lang w:val="es-ES_tradnl"/>
        </w:rPr>
        <w:t>Presentación de los ejes estratégicos</w:t>
      </w:r>
      <w:bookmarkEnd w:id="26"/>
    </w:p>
    <w:p w:rsidR="004C55CE" w:rsidRPr="00EE003F" w:rsidRDefault="004C55CE" w:rsidP="00CE447A">
      <w:pPr>
        <w:spacing w:before="120" w:after="0" w:line="240" w:lineRule="auto"/>
        <w:jc w:val="both"/>
        <w:rPr>
          <w:rFonts w:ascii="Arial Narrow" w:hAnsi="Arial Narrow"/>
          <w:sz w:val="24"/>
          <w:szCs w:val="24"/>
        </w:rPr>
      </w:pPr>
      <w:r w:rsidRPr="00EE003F">
        <w:rPr>
          <w:rFonts w:ascii="Arial Narrow" w:hAnsi="Arial Narrow"/>
          <w:sz w:val="24"/>
          <w:szCs w:val="24"/>
        </w:rPr>
        <w:t>El desarrollo humano se logrará con la expansión de los derechos ciudadanos. El desarrollo humano pone énfasis en la equidad, el empoderamiento de los grupos vulnerables y la sostenibilidad ambiental como medios para expandir las opciones de la gente y mejorar sus condiciones de vida (PNUD 2011). En dicho contexto, el crecimiento verde y el desarrollo sostenible, el acceso a servicios, el desarrollo territorial, la gobernabilidad y la democracia tienen como objeto potenciar los niveles de desarrollo humano en el país.</w:t>
      </w:r>
    </w:p>
    <w:p w:rsidR="004C55CE" w:rsidRPr="00EE003F" w:rsidRDefault="004C55CE" w:rsidP="00CE447A">
      <w:pPr>
        <w:spacing w:before="120" w:after="0" w:line="240" w:lineRule="auto"/>
        <w:jc w:val="both"/>
        <w:rPr>
          <w:rFonts w:ascii="Arial Narrow" w:hAnsi="Arial Narrow"/>
          <w:sz w:val="24"/>
          <w:szCs w:val="24"/>
        </w:rPr>
      </w:pPr>
      <w:r w:rsidRPr="00EE003F">
        <w:rPr>
          <w:rFonts w:ascii="Arial Narrow" w:hAnsi="Arial Narrow"/>
          <w:sz w:val="24"/>
          <w:szCs w:val="24"/>
        </w:rPr>
        <w:t>De esta manera, el Plan Estratégico de Desarrollo Nacional “Perú hacia el 2021” se estructura, al igual que la versión anterior, en seis ejes estratégicos. Los cuatro primeros se tomaron inicialmente de los Objetivos de las Políticas de Estado del Acuerdo Nacional. El eje 5 se incorporó para enfatizar el desarrollo regional y de infraestructura, y el eje 6 incorporó el enfoque de desarrollo sostenible.</w:t>
      </w:r>
    </w:p>
    <w:p w:rsidR="004C55CE" w:rsidRPr="00EE003F" w:rsidRDefault="004C55CE" w:rsidP="00CE447A">
      <w:pPr>
        <w:spacing w:before="120" w:after="0" w:line="240" w:lineRule="auto"/>
        <w:jc w:val="both"/>
        <w:rPr>
          <w:rFonts w:ascii="Arial Narrow" w:hAnsi="Arial Narrow"/>
          <w:sz w:val="24"/>
          <w:szCs w:val="24"/>
        </w:rPr>
      </w:pPr>
      <w:r w:rsidRPr="00EE003F">
        <w:rPr>
          <w:rFonts w:ascii="Arial Narrow" w:hAnsi="Arial Narrow"/>
          <w:sz w:val="24"/>
          <w:szCs w:val="24"/>
        </w:rPr>
        <w:t>En el proceso de actualización se mantuvieron los temas centrales de cada eje, pero dándoles mayor consistencia. Los 6 ejes del PEDN “Perú hacia el 2021” se muestran en la columna derecha de la siguiente tabla, a la izquierda se muestra la correspondencia con los 4 objetivos del Acuerdo Nacional:</w:t>
      </w:r>
    </w:p>
    <w:p w:rsidR="004C55CE" w:rsidRPr="00EE003F" w:rsidRDefault="004C55CE" w:rsidP="004C55CE">
      <w:pPr>
        <w:rPr>
          <w:rFonts w:ascii="Arial Narrow" w:hAnsi="Arial Narrow"/>
          <w:sz w:val="24"/>
          <w:szCs w:val="24"/>
        </w:rPr>
      </w:pPr>
      <w:r w:rsidRPr="00EE003F">
        <w:rPr>
          <w:rFonts w:ascii="Arial Narrow" w:hAnsi="Arial Narrow"/>
          <w:noProof/>
          <w:lang w:eastAsia="es-PE"/>
        </w:rPr>
        <w:drawing>
          <wp:inline distT="0" distB="0" distL="0" distR="0" wp14:anchorId="4BE768B6" wp14:editId="07A8F7C5">
            <wp:extent cx="4413250" cy="3093085"/>
            <wp:effectExtent l="0" t="0" r="635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3250" cy="3093085"/>
                    </a:xfrm>
                    <a:prstGeom prst="rect">
                      <a:avLst/>
                    </a:prstGeom>
                    <a:noFill/>
                    <a:ln>
                      <a:noFill/>
                    </a:ln>
                  </pic:spPr>
                </pic:pic>
              </a:graphicData>
            </a:graphic>
          </wp:inline>
        </w:drawing>
      </w:r>
    </w:p>
    <w:p w:rsidR="004C55CE" w:rsidRPr="00EE003F" w:rsidRDefault="004C55CE" w:rsidP="00CE447A">
      <w:pPr>
        <w:spacing w:before="120" w:after="0" w:line="240" w:lineRule="auto"/>
        <w:jc w:val="both"/>
        <w:rPr>
          <w:rFonts w:ascii="Arial Narrow" w:hAnsi="Arial Narrow"/>
          <w:sz w:val="24"/>
          <w:szCs w:val="24"/>
        </w:rPr>
      </w:pPr>
      <w:r w:rsidRPr="00EE003F">
        <w:rPr>
          <w:rFonts w:ascii="Arial Narrow" w:hAnsi="Arial Narrow"/>
          <w:sz w:val="24"/>
          <w:szCs w:val="24"/>
        </w:rPr>
        <w:t>En conjunto, los seis ejes estratégicos nos plantean retos que orienten el desarrollo del país h</w:t>
      </w:r>
      <w:r w:rsidR="00854E17" w:rsidRPr="00EE003F">
        <w:rPr>
          <w:rFonts w:ascii="Arial Narrow" w:hAnsi="Arial Narrow"/>
          <w:sz w:val="24"/>
          <w:szCs w:val="24"/>
        </w:rPr>
        <w:t>acia un escenario posible donde</w:t>
      </w:r>
      <w:r w:rsidRPr="00EE003F">
        <w:rPr>
          <w:rFonts w:ascii="Arial Narrow" w:hAnsi="Arial Narrow"/>
          <w:sz w:val="24"/>
          <w:szCs w:val="24"/>
        </w:rPr>
        <w:t xml:space="preserve"> se ejercen derechos humanos sin exclusión ni discriminación; se accede a servicios de calidad y se desarrollan capacidades; se tiene un Estado democrático consolidado y al servicio del ciudadano; se alcanza un territorio nacional con desarrollo humano integral y equitativo; se logra una economía desarrollada, sostenible y diversificada: y, se consigue un desarrollo con crecimiento verde y competitivo, menos vulnerable.</w:t>
      </w:r>
    </w:p>
    <w:p w:rsidR="004C55CE" w:rsidRPr="00EE003F" w:rsidRDefault="004C55CE" w:rsidP="00CE447A">
      <w:pPr>
        <w:spacing w:before="120" w:after="0" w:line="240" w:lineRule="auto"/>
        <w:jc w:val="both"/>
        <w:rPr>
          <w:rFonts w:ascii="Arial Narrow" w:hAnsi="Arial Narrow"/>
          <w:sz w:val="24"/>
          <w:szCs w:val="24"/>
        </w:rPr>
      </w:pPr>
      <w:r w:rsidRPr="00EE003F">
        <w:rPr>
          <w:rFonts w:ascii="Arial Narrow" w:hAnsi="Arial Narrow"/>
          <w:sz w:val="24"/>
          <w:szCs w:val="24"/>
        </w:rPr>
        <w:t>En ese sentido, para dar el salto cualitativo hacia el desarrollo, se plantean algunos temas claves que necesitan ser enfocados de manera prioritaria. Los temas fueron determinados por su impacto en el desarrollo y en el crecimiento del país, así como por su capacidad de dinamizar y potenciar otros procesos. El presente plan propone temas como: el cumplimiento de los Objetivos de Desarrollo Sostenible; la protección social y la inclusión; el cierre de brechas entre la población urbana y rural; el futuro de la educación; la promoción de la salud; el enfoque de crecimiento verde en economía, entre otros.</w:t>
      </w:r>
    </w:p>
    <w:p w:rsidR="004C55CE" w:rsidRPr="00EE003F" w:rsidRDefault="004C55CE" w:rsidP="00CE447A">
      <w:pPr>
        <w:spacing w:before="120" w:after="0" w:line="240" w:lineRule="auto"/>
        <w:jc w:val="both"/>
        <w:rPr>
          <w:rFonts w:ascii="Arial Narrow" w:hAnsi="Arial Narrow"/>
          <w:sz w:val="24"/>
          <w:szCs w:val="24"/>
        </w:rPr>
      </w:pPr>
      <w:r w:rsidRPr="00EE003F">
        <w:rPr>
          <w:rFonts w:ascii="Arial Narrow" w:hAnsi="Arial Narrow"/>
          <w:sz w:val="24"/>
          <w:szCs w:val="24"/>
        </w:rPr>
        <w:t>En el Plan Estratégico de Desarrollo Nacional  “Perú hacia el 2021” se plantea el reto de mirar el futuro, de forma integrada y coherente mediante ejes estratégicos que trazan objetivos, acciones y metas al 2021, enfatizando en algunos determinantes del cambio hacia el 2030 y proponiendo pensar el Perú hacia el 2050.</w:t>
      </w:r>
    </w:p>
    <w:p w:rsidR="004C55CE" w:rsidRPr="00EE003F" w:rsidRDefault="002631AD" w:rsidP="00CE447A">
      <w:pPr>
        <w:spacing w:before="120" w:after="0" w:line="240" w:lineRule="auto"/>
        <w:jc w:val="both"/>
        <w:rPr>
          <w:rFonts w:ascii="Arial Narrow" w:hAnsi="Arial Narrow"/>
          <w:sz w:val="24"/>
          <w:szCs w:val="24"/>
        </w:rPr>
      </w:pPr>
      <w:r w:rsidRPr="00EE003F">
        <w:rPr>
          <w:rFonts w:ascii="Arial Narrow" w:hAnsi="Arial Narrow"/>
          <w:sz w:val="24"/>
          <w:szCs w:val="24"/>
        </w:rPr>
        <w:t>El presente p</w:t>
      </w:r>
      <w:r w:rsidR="004C55CE" w:rsidRPr="00EE003F">
        <w:rPr>
          <w:rFonts w:ascii="Arial Narrow" w:hAnsi="Arial Narrow"/>
          <w:sz w:val="24"/>
          <w:szCs w:val="24"/>
        </w:rPr>
        <w:t>lan tiene como fin último el bienestar de las personas mediante el ejercicio de sus derechos y su inclusión social (Eje 1). Este será alcanzado por medio del crecimiento económico bajo un enfoque de desarrollo sostenible, que considera el equilibrio entre tres pilares fundamentales: ambiental, económico y social (ejes 6, 4 y 2). Además, para impulsar este crecimiento es indispensable el fortalecimiento y modernización del Estado y la gobernabilidad (eje 3), el desarrollo territorial y de infraestructura (eje 5).</w:t>
      </w:r>
    </w:p>
    <w:p w:rsidR="004C55CE" w:rsidRPr="00EE003F" w:rsidRDefault="004C55CE" w:rsidP="00CE447A">
      <w:pPr>
        <w:spacing w:before="120" w:after="0" w:line="240" w:lineRule="auto"/>
        <w:jc w:val="both"/>
        <w:rPr>
          <w:rFonts w:ascii="Arial Narrow" w:hAnsi="Arial Narrow"/>
          <w:sz w:val="24"/>
          <w:szCs w:val="24"/>
        </w:rPr>
      </w:pPr>
      <w:r w:rsidRPr="00EE003F">
        <w:rPr>
          <w:rFonts w:ascii="Arial Narrow" w:hAnsi="Arial Narrow"/>
          <w:sz w:val="24"/>
          <w:szCs w:val="24"/>
        </w:rPr>
        <w:t>Como se menciona líneas arriba, el presente plan mantiene la lógica de los seis ejes estratégicos del plan aprobado en el 2011, pero con un sentido de articulación sistémica orientada a lograr un desarrollo armónico hacia el 2021.</w:t>
      </w:r>
    </w:p>
    <w:p w:rsidR="004C55CE" w:rsidRPr="00EE003F" w:rsidRDefault="004C55CE" w:rsidP="00CE447A">
      <w:pPr>
        <w:spacing w:before="120" w:after="0" w:line="240" w:lineRule="auto"/>
        <w:jc w:val="both"/>
        <w:rPr>
          <w:rFonts w:ascii="Arial Narrow" w:hAnsi="Arial Narrow"/>
          <w:sz w:val="24"/>
          <w:szCs w:val="24"/>
        </w:rPr>
      </w:pPr>
      <w:r w:rsidRPr="00EE003F">
        <w:rPr>
          <w:rFonts w:ascii="Arial Narrow" w:hAnsi="Arial Narrow"/>
          <w:sz w:val="24"/>
          <w:szCs w:val="24"/>
        </w:rPr>
        <w:t>Los ejes incorporaron nuevos temas: El Eje 1 incorporó el enfoque de derechos humanos y temas de discriminación, violencia de género e inclusión social. El Eje 2 incluye agua, saneamiento, transportes, comunicaciones y energía. En el Eje 3 se incluyeron temas como justicia, seguridad ciudadana y corrupción. El Eje 4 incluye temas de estructura productiva y mercados financieros. El Eje 5 se redefine bajo el enfoque de la integración territorial en vez de regionalización y se enfatiza en infraestructura productiva. El Eje 6 se redefine según el enfoque del crecimiento verde y utiliza la noción de diversidad biológica, en lugar de recursos naturales, además de incluir el tema de gestión de riesgo de desastres.</w:t>
      </w:r>
    </w:p>
    <w:p w:rsidR="004C55CE" w:rsidRPr="00EE003F" w:rsidRDefault="004C55CE" w:rsidP="004843F2">
      <w:pPr>
        <w:pStyle w:val="Ttulo2"/>
        <w:jc w:val="left"/>
        <w:rPr>
          <w:rFonts w:asciiTheme="minorHAnsi" w:hAnsiTheme="minorHAnsi"/>
          <w:lang w:val="es-ES_tradnl"/>
        </w:rPr>
      </w:pPr>
      <w:bookmarkStart w:id="27" w:name="_Toc453004668"/>
      <w:r w:rsidRPr="00EE003F">
        <w:rPr>
          <w:rFonts w:asciiTheme="minorHAnsi" w:hAnsiTheme="minorHAnsi"/>
          <w:lang w:val="es-ES_tradnl"/>
        </w:rPr>
        <w:t>Indicadores</w:t>
      </w:r>
      <w:r w:rsidR="004239CB" w:rsidRPr="00EE003F">
        <w:rPr>
          <w:rFonts w:asciiTheme="minorHAnsi" w:hAnsiTheme="minorHAnsi"/>
          <w:lang w:val="es-ES_tradnl"/>
        </w:rPr>
        <w:t xml:space="preserve"> líderes</w:t>
      </w:r>
      <w:r w:rsidRPr="00EE003F">
        <w:rPr>
          <w:rFonts w:asciiTheme="minorHAnsi" w:hAnsiTheme="minorHAnsi"/>
          <w:lang w:val="es-ES_tradnl"/>
        </w:rPr>
        <w:t>, metas y proyecciones</w:t>
      </w:r>
      <w:bookmarkEnd w:id="27"/>
    </w:p>
    <w:p w:rsidR="004C55CE" w:rsidRPr="00EE003F" w:rsidRDefault="004C55CE" w:rsidP="00CE447A">
      <w:pPr>
        <w:spacing w:before="120" w:after="0" w:line="240" w:lineRule="auto"/>
        <w:jc w:val="both"/>
        <w:rPr>
          <w:rFonts w:ascii="Arial Narrow" w:hAnsi="Arial Narrow"/>
          <w:sz w:val="24"/>
          <w:szCs w:val="24"/>
        </w:rPr>
      </w:pPr>
      <w:r w:rsidRPr="00EE003F">
        <w:rPr>
          <w:rFonts w:ascii="Arial Narrow" w:hAnsi="Arial Narrow"/>
          <w:sz w:val="24"/>
          <w:szCs w:val="24"/>
        </w:rPr>
        <w:t>En el Plan Estratégico de Desarrollo Nacional “Perú hacia el 2021” se proponen seis indicadores líderes para hacer seguimiento y monitoreo al cumplimien</w:t>
      </w:r>
      <w:r w:rsidR="00854E17" w:rsidRPr="00EE003F">
        <w:rPr>
          <w:rFonts w:ascii="Arial Narrow" w:hAnsi="Arial Narrow"/>
          <w:sz w:val="24"/>
          <w:szCs w:val="24"/>
        </w:rPr>
        <w:t xml:space="preserve">to de los objetivos </w:t>
      </w:r>
      <w:r w:rsidRPr="00EE003F">
        <w:rPr>
          <w:rFonts w:ascii="Arial Narrow" w:hAnsi="Arial Narrow"/>
          <w:sz w:val="24"/>
          <w:szCs w:val="24"/>
        </w:rPr>
        <w:t>nacionales estratégicos. Cada uno de estos indicadores incluye una meta al 2016 y una al 2021:</w:t>
      </w:r>
    </w:p>
    <w:p w:rsidR="004629B0" w:rsidRDefault="004629B0" w:rsidP="00CE447A">
      <w:pPr>
        <w:spacing w:before="120" w:after="0" w:line="240" w:lineRule="auto"/>
        <w:rPr>
          <w:rFonts w:ascii="Arial Narrow" w:hAnsi="Arial Narrow"/>
          <w:sz w:val="24"/>
          <w:szCs w:val="24"/>
        </w:rPr>
      </w:pPr>
    </w:p>
    <w:p w:rsidR="004629B0" w:rsidRDefault="004629B0" w:rsidP="00CE447A">
      <w:pPr>
        <w:spacing w:before="120" w:after="0" w:line="240" w:lineRule="auto"/>
        <w:rPr>
          <w:rFonts w:ascii="Arial Narrow" w:hAnsi="Arial Narrow"/>
          <w:sz w:val="24"/>
          <w:szCs w:val="24"/>
        </w:rPr>
      </w:pPr>
    </w:p>
    <w:p w:rsidR="004629B0" w:rsidRDefault="004629B0" w:rsidP="00CE447A">
      <w:pPr>
        <w:spacing w:before="120" w:after="0" w:line="240" w:lineRule="auto"/>
        <w:rPr>
          <w:rFonts w:ascii="Arial Narrow" w:hAnsi="Arial Narrow"/>
          <w:sz w:val="24"/>
          <w:szCs w:val="24"/>
        </w:rPr>
      </w:pPr>
    </w:p>
    <w:p w:rsidR="004629B0" w:rsidRDefault="004629B0" w:rsidP="00CE447A">
      <w:pPr>
        <w:spacing w:before="120" w:after="0" w:line="240" w:lineRule="auto"/>
        <w:rPr>
          <w:rFonts w:ascii="Arial Narrow" w:hAnsi="Arial Narrow"/>
          <w:sz w:val="24"/>
          <w:szCs w:val="24"/>
        </w:rPr>
      </w:pPr>
    </w:p>
    <w:p w:rsidR="004629B0" w:rsidRDefault="004629B0" w:rsidP="00CE447A">
      <w:pPr>
        <w:spacing w:before="120" w:after="0" w:line="240" w:lineRule="auto"/>
        <w:rPr>
          <w:rFonts w:ascii="Arial Narrow" w:hAnsi="Arial Narrow"/>
          <w:sz w:val="24"/>
          <w:szCs w:val="24"/>
        </w:rPr>
      </w:pPr>
    </w:p>
    <w:p w:rsidR="004629B0" w:rsidRDefault="004629B0" w:rsidP="00CE447A">
      <w:pPr>
        <w:spacing w:before="120" w:after="0" w:line="240" w:lineRule="auto"/>
        <w:rPr>
          <w:rFonts w:ascii="Arial Narrow" w:hAnsi="Arial Narrow"/>
          <w:sz w:val="24"/>
          <w:szCs w:val="24"/>
        </w:rPr>
      </w:pPr>
    </w:p>
    <w:p w:rsidR="004C55CE" w:rsidRPr="00EE003F" w:rsidRDefault="004C55CE" w:rsidP="00CE447A">
      <w:pPr>
        <w:spacing w:before="120" w:after="0" w:line="240" w:lineRule="auto"/>
        <w:rPr>
          <w:rFonts w:ascii="Arial Narrow" w:hAnsi="Arial Narrow"/>
          <w:sz w:val="24"/>
          <w:szCs w:val="24"/>
        </w:rPr>
      </w:pPr>
      <w:r w:rsidRPr="00EE003F">
        <w:rPr>
          <w:rFonts w:ascii="Arial Narrow" w:hAnsi="Arial Narrow"/>
          <w:sz w:val="24"/>
          <w:szCs w:val="24"/>
        </w:rPr>
        <w:t>Cuadro de objetivos nacionales e indicadores líderes</w:t>
      </w:r>
    </w:p>
    <w:p w:rsidR="00CE447A" w:rsidRPr="00EE003F" w:rsidRDefault="00CE447A" w:rsidP="00CE447A">
      <w:pPr>
        <w:spacing w:before="120" w:after="0" w:line="240" w:lineRule="auto"/>
        <w:rPr>
          <w:rFonts w:ascii="Arial Narrow" w:hAnsi="Arial Narrow"/>
          <w:sz w:val="24"/>
          <w:szCs w:val="24"/>
        </w:rPr>
      </w:pPr>
    </w:p>
    <w:tbl>
      <w:tblPr>
        <w:tblStyle w:val="Tablaconcuadrcula"/>
        <w:tblW w:w="0" w:type="auto"/>
        <w:tblLayout w:type="fixed"/>
        <w:tblLook w:val="0000" w:firstRow="0" w:lastRow="0" w:firstColumn="0" w:lastColumn="0" w:noHBand="0" w:noVBand="0"/>
      </w:tblPr>
      <w:tblGrid>
        <w:gridCol w:w="727"/>
        <w:gridCol w:w="2783"/>
        <w:gridCol w:w="1985"/>
        <w:gridCol w:w="850"/>
        <w:gridCol w:w="709"/>
        <w:gridCol w:w="851"/>
        <w:gridCol w:w="708"/>
      </w:tblGrid>
      <w:tr w:rsidR="006E3336" w:rsidRPr="00EE003F" w:rsidTr="003F62C2">
        <w:trPr>
          <w:trHeight w:val="60"/>
        </w:trPr>
        <w:tc>
          <w:tcPr>
            <w:tcW w:w="727" w:type="dxa"/>
          </w:tcPr>
          <w:p w:rsidR="004C55CE" w:rsidRPr="00EE003F" w:rsidRDefault="004C55CE" w:rsidP="004C55CE">
            <w:pPr>
              <w:pStyle w:val="BasicParagraph"/>
              <w:suppressAutoHyphens/>
              <w:jc w:val="center"/>
              <w:rPr>
                <w:rFonts w:ascii="Arial Narrow" w:hAnsi="Arial Narrow"/>
                <w:color w:val="auto"/>
              </w:rPr>
            </w:pPr>
            <w:r w:rsidRPr="00EE003F">
              <w:rPr>
                <w:rStyle w:val="negritatablas"/>
                <w:rFonts w:ascii="Arial Narrow" w:hAnsi="Arial Narrow"/>
                <w:color w:val="auto"/>
              </w:rPr>
              <w:t>Eje</w:t>
            </w:r>
          </w:p>
        </w:tc>
        <w:tc>
          <w:tcPr>
            <w:tcW w:w="2783" w:type="dxa"/>
          </w:tcPr>
          <w:p w:rsidR="004C55CE" w:rsidRPr="00EE003F" w:rsidRDefault="004C55CE" w:rsidP="004C55CE">
            <w:pPr>
              <w:pStyle w:val="BasicParagraph"/>
              <w:suppressAutoHyphens/>
              <w:jc w:val="center"/>
              <w:rPr>
                <w:rFonts w:ascii="Arial Narrow" w:hAnsi="Arial Narrow"/>
                <w:color w:val="auto"/>
              </w:rPr>
            </w:pPr>
            <w:r w:rsidRPr="00EE003F">
              <w:rPr>
                <w:rStyle w:val="negritatablas"/>
                <w:rFonts w:ascii="Arial Narrow" w:hAnsi="Arial Narrow"/>
                <w:color w:val="auto"/>
              </w:rPr>
              <w:t>Objetivo nacional estratégico</w:t>
            </w:r>
          </w:p>
        </w:tc>
        <w:tc>
          <w:tcPr>
            <w:tcW w:w="1985" w:type="dxa"/>
          </w:tcPr>
          <w:p w:rsidR="004C55CE" w:rsidRPr="00EE003F" w:rsidRDefault="004C55CE" w:rsidP="004C55CE">
            <w:pPr>
              <w:pStyle w:val="BasicParagraph"/>
              <w:suppressAutoHyphens/>
              <w:jc w:val="center"/>
              <w:rPr>
                <w:rFonts w:ascii="Arial Narrow" w:hAnsi="Arial Narrow"/>
                <w:color w:val="auto"/>
              </w:rPr>
            </w:pPr>
            <w:r w:rsidRPr="00EE003F">
              <w:rPr>
                <w:rStyle w:val="negritatablas"/>
                <w:rFonts w:ascii="Arial Narrow" w:hAnsi="Arial Narrow"/>
                <w:color w:val="auto"/>
              </w:rPr>
              <w:t>Indicador líder</w:t>
            </w:r>
          </w:p>
        </w:tc>
        <w:tc>
          <w:tcPr>
            <w:tcW w:w="850" w:type="dxa"/>
          </w:tcPr>
          <w:p w:rsidR="004C55CE" w:rsidRPr="00EE003F" w:rsidRDefault="004C55CE" w:rsidP="004C55CE">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709" w:type="dxa"/>
          </w:tcPr>
          <w:p w:rsidR="004C55CE" w:rsidRPr="00EE003F" w:rsidRDefault="004C55CE" w:rsidP="004C55CE">
            <w:pPr>
              <w:pStyle w:val="BasicParagraph"/>
              <w:suppressAutoHyphens/>
              <w:jc w:val="center"/>
              <w:rPr>
                <w:rFonts w:ascii="Arial Narrow" w:hAnsi="Arial Narrow"/>
                <w:color w:val="auto"/>
              </w:rPr>
            </w:pPr>
            <w:r w:rsidRPr="00EE003F">
              <w:rPr>
                <w:rStyle w:val="negritatablas"/>
                <w:rFonts w:ascii="Arial Narrow" w:hAnsi="Arial Narrow"/>
                <w:color w:val="auto"/>
              </w:rPr>
              <w:t>Línea de base (2014)</w:t>
            </w:r>
          </w:p>
        </w:tc>
        <w:tc>
          <w:tcPr>
            <w:tcW w:w="851" w:type="dxa"/>
          </w:tcPr>
          <w:p w:rsidR="004C55CE" w:rsidRPr="00EE003F" w:rsidRDefault="004C55CE" w:rsidP="004C55CE">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Meta</w:t>
            </w:r>
          </w:p>
          <w:p w:rsidR="004C55CE" w:rsidRPr="00EE003F" w:rsidRDefault="004C55CE" w:rsidP="004C55CE">
            <w:pPr>
              <w:pStyle w:val="BasicParagraph"/>
              <w:suppressAutoHyphens/>
              <w:jc w:val="center"/>
              <w:rPr>
                <w:rFonts w:ascii="Arial Narrow" w:hAnsi="Arial Narrow"/>
                <w:color w:val="auto"/>
              </w:rPr>
            </w:pPr>
            <w:r w:rsidRPr="00EE003F">
              <w:rPr>
                <w:rStyle w:val="negritatablas"/>
                <w:rFonts w:ascii="Arial Narrow" w:hAnsi="Arial Narrow"/>
                <w:color w:val="auto"/>
              </w:rPr>
              <w:t>2016</w:t>
            </w:r>
          </w:p>
        </w:tc>
        <w:tc>
          <w:tcPr>
            <w:tcW w:w="708" w:type="dxa"/>
          </w:tcPr>
          <w:p w:rsidR="004C55CE" w:rsidRPr="00EE003F" w:rsidRDefault="004C55CE" w:rsidP="004C55CE">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Meta </w:t>
            </w:r>
          </w:p>
          <w:p w:rsidR="004C55CE" w:rsidRPr="00EE003F" w:rsidRDefault="004C55CE" w:rsidP="004C55CE">
            <w:pPr>
              <w:pStyle w:val="BasicParagraph"/>
              <w:suppressAutoHyphens/>
              <w:jc w:val="center"/>
              <w:rPr>
                <w:rFonts w:ascii="Arial Narrow" w:hAnsi="Arial Narrow"/>
                <w:color w:val="auto"/>
              </w:rPr>
            </w:pPr>
            <w:r w:rsidRPr="00EE003F">
              <w:rPr>
                <w:rStyle w:val="negritatablas"/>
                <w:rFonts w:ascii="Arial Narrow" w:hAnsi="Arial Narrow"/>
                <w:color w:val="auto"/>
              </w:rPr>
              <w:t>2021</w:t>
            </w:r>
          </w:p>
        </w:tc>
      </w:tr>
      <w:tr w:rsidR="006E3336" w:rsidRPr="00EE003F" w:rsidTr="003F62C2">
        <w:trPr>
          <w:trHeight w:val="930"/>
        </w:trPr>
        <w:tc>
          <w:tcPr>
            <w:tcW w:w="727" w:type="dxa"/>
          </w:tcPr>
          <w:p w:rsidR="004C55CE" w:rsidRPr="00EE003F" w:rsidRDefault="004C55CE" w:rsidP="004C55CE">
            <w:pPr>
              <w:pStyle w:val="BasicParagraph"/>
              <w:jc w:val="center"/>
              <w:rPr>
                <w:rFonts w:ascii="Arial Narrow" w:hAnsi="Arial Narrow"/>
                <w:color w:val="auto"/>
              </w:rPr>
            </w:pPr>
            <w:r w:rsidRPr="00EE003F">
              <w:rPr>
                <w:rStyle w:val="negritatablas"/>
                <w:rFonts w:ascii="Arial Narrow" w:hAnsi="Arial Narrow"/>
                <w:color w:val="auto"/>
                <w:sz w:val="38"/>
                <w:szCs w:val="38"/>
              </w:rPr>
              <w:t>1</w:t>
            </w:r>
          </w:p>
        </w:tc>
        <w:tc>
          <w:tcPr>
            <w:tcW w:w="2783" w:type="dxa"/>
          </w:tcPr>
          <w:p w:rsidR="004C55CE" w:rsidRPr="00EE003F" w:rsidRDefault="004C55CE" w:rsidP="004C55C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Ejercicio efectivo de los derechos humanos y dignidad de las personas, con inclusión social de la población más pobre y vulnerable.</w:t>
            </w:r>
          </w:p>
        </w:tc>
        <w:tc>
          <w:tcPr>
            <w:tcW w:w="1985" w:type="dxa"/>
          </w:tcPr>
          <w:p w:rsidR="004C55CE" w:rsidRPr="00EE003F" w:rsidRDefault="004C55CE" w:rsidP="004C55C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Desarrollo Humano (IDH)</w:t>
            </w:r>
          </w:p>
        </w:tc>
        <w:tc>
          <w:tcPr>
            <w:tcW w:w="850" w:type="dxa"/>
          </w:tcPr>
          <w:p w:rsidR="00854E17" w:rsidRPr="00EE003F" w:rsidRDefault="00854E17" w:rsidP="004C55CE">
            <w:pPr>
              <w:pStyle w:val="BasicParagraph"/>
              <w:rPr>
                <w:rStyle w:val="cuerpodetextotablas"/>
                <w:rFonts w:ascii="Arial Narrow" w:hAnsi="Arial Narrow"/>
                <w:color w:val="auto"/>
              </w:rPr>
            </w:pPr>
          </w:p>
          <w:p w:rsidR="004C55CE" w:rsidRPr="00EE003F" w:rsidRDefault="004C55CE" w:rsidP="004C55CE">
            <w:pPr>
              <w:pStyle w:val="BasicParagraph"/>
              <w:rPr>
                <w:rFonts w:ascii="Arial Narrow" w:hAnsi="Arial Narrow"/>
                <w:color w:val="auto"/>
              </w:rPr>
            </w:pPr>
            <w:r w:rsidRPr="00EE003F">
              <w:rPr>
                <w:rStyle w:val="cuerpodetextotablas"/>
                <w:rFonts w:ascii="Arial Narrow" w:hAnsi="Arial Narrow"/>
                <w:color w:val="auto"/>
              </w:rPr>
              <w:t>PNUD</w:t>
            </w:r>
          </w:p>
        </w:tc>
        <w:tc>
          <w:tcPr>
            <w:tcW w:w="709" w:type="dxa"/>
          </w:tcPr>
          <w:p w:rsidR="004C55CE" w:rsidRPr="00EE003F" w:rsidRDefault="004C55CE" w:rsidP="00732D1D">
            <w:pPr>
              <w:pStyle w:val="BasicParagraph"/>
              <w:jc w:val="center"/>
              <w:rPr>
                <w:rStyle w:val="cuerpodetextotablas"/>
                <w:rFonts w:ascii="Arial Narrow" w:hAnsi="Arial Narrow"/>
                <w:color w:val="auto"/>
              </w:rPr>
            </w:pPr>
          </w:p>
          <w:p w:rsidR="004C55CE" w:rsidRPr="00EE003F" w:rsidRDefault="004C55CE" w:rsidP="00732D1D">
            <w:pPr>
              <w:pStyle w:val="BasicParagraph"/>
              <w:jc w:val="center"/>
              <w:rPr>
                <w:rFonts w:ascii="Arial Narrow" w:hAnsi="Arial Narrow"/>
                <w:color w:val="auto"/>
              </w:rPr>
            </w:pPr>
            <w:r w:rsidRPr="00EE003F">
              <w:rPr>
                <w:rStyle w:val="cuerpodetextotablas"/>
                <w:rFonts w:ascii="Arial Narrow" w:hAnsi="Arial Narrow"/>
                <w:color w:val="auto"/>
              </w:rPr>
              <w:t>0</w:t>
            </w:r>
            <w:r w:rsidR="00732D1D" w:rsidRPr="00EE003F">
              <w:rPr>
                <w:rStyle w:val="cuerpodetextotablas"/>
                <w:rFonts w:ascii="Arial Narrow" w:hAnsi="Arial Narrow"/>
                <w:color w:val="auto"/>
              </w:rPr>
              <w:t>,</w:t>
            </w:r>
            <w:r w:rsidRPr="00EE003F">
              <w:rPr>
                <w:rStyle w:val="cuerpodetextotablas"/>
                <w:rFonts w:ascii="Arial Narrow" w:hAnsi="Arial Narrow"/>
                <w:color w:val="auto"/>
              </w:rPr>
              <w:t>734</w:t>
            </w:r>
            <w:r w:rsidRPr="00EE003F" w:rsidDel="00D94FCE">
              <w:rPr>
                <w:rStyle w:val="cuerpodetextotablas"/>
                <w:rFonts w:ascii="Arial Narrow" w:hAnsi="Arial Narrow"/>
                <w:color w:val="auto"/>
              </w:rPr>
              <w:t xml:space="preserve"> </w:t>
            </w:r>
          </w:p>
        </w:tc>
        <w:tc>
          <w:tcPr>
            <w:tcW w:w="851"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r w:rsidRPr="00EE003F">
              <w:rPr>
                <w:rStyle w:val="cuerpodetextotablas"/>
                <w:rFonts w:ascii="Arial Narrow" w:hAnsi="Arial Narrow"/>
                <w:color w:val="auto"/>
              </w:rPr>
              <w:t>0</w:t>
            </w:r>
            <w:r w:rsidR="00732D1D" w:rsidRPr="00EE003F">
              <w:rPr>
                <w:rStyle w:val="cuerpodetextotablas"/>
                <w:rFonts w:ascii="Arial Narrow" w:hAnsi="Arial Narrow"/>
                <w:color w:val="auto"/>
              </w:rPr>
              <w:t>,</w:t>
            </w:r>
            <w:r w:rsidRPr="00EE003F">
              <w:rPr>
                <w:rStyle w:val="cuerpodetextotablas"/>
                <w:rFonts w:ascii="Arial Narrow" w:hAnsi="Arial Narrow"/>
                <w:color w:val="auto"/>
              </w:rPr>
              <w:t>75</w:t>
            </w:r>
            <w:r w:rsidR="00C25247" w:rsidRPr="00EE003F">
              <w:rPr>
                <w:rStyle w:val="cuerpodetextotablas"/>
                <w:rFonts w:ascii="Arial Narrow" w:hAnsi="Arial Narrow"/>
                <w:color w:val="auto"/>
              </w:rPr>
              <w:t>6</w:t>
            </w:r>
          </w:p>
          <w:p w:rsidR="004C55CE" w:rsidRPr="00EE003F" w:rsidRDefault="004C55CE" w:rsidP="004C55CE">
            <w:pPr>
              <w:pStyle w:val="BasicParagraph"/>
              <w:jc w:val="center"/>
              <w:rPr>
                <w:rFonts w:ascii="Arial Narrow" w:hAnsi="Arial Narrow"/>
                <w:color w:val="auto"/>
              </w:rPr>
            </w:pPr>
          </w:p>
        </w:tc>
        <w:tc>
          <w:tcPr>
            <w:tcW w:w="708"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r w:rsidRPr="00EE003F">
              <w:rPr>
                <w:rStyle w:val="cuerpodetextotablas"/>
                <w:rFonts w:ascii="Arial Narrow" w:hAnsi="Arial Narrow"/>
                <w:color w:val="auto"/>
              </w:rPr>
              <w:t>0</w:t>
            </w:r>
            <w:r w:rsidR="00732D1D" w:rsidRPr="00EE003F">
              <w:rPr>
                <w:rStyle w:val="cuerpodetextotablas"/>
                <w:rFonts w:ascii="Arial Narrow" w:hAnsi="Arial Narrow"/>
                <w:color w:val="auto"/>
              </w:rPr>
              <w:t>,</w:t>
            </w:r>
            <w:r w:rsidRPr="00EE003F">
              <w:rPr>
                <w:rStyle w:val="cuerpodetextotablas"/>
                <w:rFonts w:ascii="Arial Narrow" w:hAnsi="Arial Narrow"/>
                <w:color w:val="auto"/>
              </w:rPr>
              <w:t>776</w:t>
            </w:r>
          </w:p>
          <w:p w:rsidR="004C55CE" w:rsidRPr="00EE003F" w:rsidRDefault="004C55CE" w:rsidP="004C55CE">
            <w:pPr>
              <w:pStyle w:val="BasicParagraph"/>
              <w:jc w:val="center"/>
              <w:rPr>
                <w:rFonts w:ascii="Arial Narrow" w:hAnsi="Arial Narrow"/>
                <w:color w:val="auto"/>
              </w:rPr>
            </w:pPr>
          </w:p>
        </w:tc>
      </w:tr>
      <w:tr w:rsidR="006E3336" w:rsidRPr="00EE003F" w:rsidTr="003F62C2">
        <w:trPr>
          <w:trHeight w:val="1262"/>
        </w:trPr>
        <w:tc>
          <w:tcPr>
            <w:tcW w:w="727" w:type="dxa"/>
          </w:tcPr>
          <w:p w:rsidR="004C55CE" w:rsidRPr="00EE003F" w:rsidRDefault="004C55CE" w:rsidP="004C55CE">
            <w:pPr>
              <w:pStyle w:val="BasicParagraph"/>
              <w:jc w:val="center"/>
              <w:rPr>
                <w:rFonts w:ascii="Arial Narrow" w:hAnsi="Arial Narrow"/>
                <w:color w:val="auto"/>
              </w:rPr>
            </w:pPr>
            <w:r w:rsidRPr="00EE003F">
              <w:rPr>
                <w:rStyle w:val="negritatablas"/>
                <w:rFonts w:ascii="Arial Narrow" w:hAnsi="Arial Narrow"/>
                <w:color w:val="auto"/>
                <w:sz w:val="38"/>
                <w:szCs w:val="38"/>
              </w:rPr>
              <w:t>2</w:t>
            </w:r>
          </w:p>
        </w:tc>
        <w:tc>
          <w:tcPr>
            <w:tcW w:w="2783" w:type="dxa"/>
          </w:tcPr>
          <w:p w:rsidR="004C55CE" w:rsidRPr="00EE003F" w:rsidRDefault="004C55CE" w:rsidP="004C55C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Garantizar el acceso a servicios de calidad que permitan el desarrollo pleno de las capacidades y derechos de la población, en condiciones equitativas y sostenibles</w:t>
            </w:r>
          </w:p>
        </w:tc>
        <w:tc>
          <w:tcPr>
            <w:tcW w:w="1985" w:type="dxa"/>
          </w:tcPr>
          <w:p w:rsidR="004C55CE" w:rsidRPr="00EE003F" w:rsidRDefault="004C55CE" w:rsidP="004C55C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Pobreza Multidimensional</w:t>
            </w:r>
          </w:p>
        </w:tc>
        <w:tc>
          <w:tcPr>
            <w:tcW w:w="850" w:type="dxa"/>
          </w:tcPr>
          <w:p w:rsidR="00854E17" w:rsidRPr="00EE003F" w:rsidRDefault="00854E17" w:rsidP="004C55CE">
            <w:pPr>
              <w:pStyle w:val="BasicParagraph"/>
              <w:rPr>
                <w:rStyle w:val="cuerpodetextotablas"/>
                <w:rFonts w:ascii="Arial Narrow" w:hAnsi="Arial Narrow"/>
                <w:color w:val="auto"/>
              </w:rPr>
            </w:pPr>
          </w:p>
          <w:p w:rsidR="004C55CE" w:rsidRPr="00EE003F" w:rsidRDefault="004C55CE" w:rsidP="004C55CE">
            <w:pPr>
              <w:pStyle w:val="BasicParagraph"/>
              <w:rPr>
                <w:rFonts w:ascii="Arial Narrow" w:hAnsi="Arial Narrow"/>
                <w:color w:val="auto"/>
              </w:rPr>
            </w:pPr>
            <w:r w:rsidRPr="00EE003F">
              <w:rPr>
                <w:rStyle w:val="cuerpodetextotablas"/>
                <w:rFonts w:ascii="Arial Narrow" w:hAnsi="Arial Narrow"/>
                <w:color w:val="auto"/>
              </w:rPr>
              <w:t>PNUD</w:t>
            </w:r>
          </w:p>
        </w:tc>
        <w:tc>
          <w:tcPr>
            <w:tcW w:w="709"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781D1C">
            <w:pPr>
              <w:pStyle w:val="BasicParagraph"/>
              <w:jc w:val="center"/>
              <w:rPr>
                <w:rFonts w:ascii="Arial Narrow" w:hAnsi="Arial Narrow"/>
                <w:color w:val="auto"/>
              </w:rPr>
            </w:pPr>
            <w:r w:rsidRPr="00EE003F">
              <w:rPr>
                <w:rStyle w:val="cuerpodetextotablas"/>
                <w:rFonts w:ascii="Arial Narrow" w:hAnsi="Arial Narrow"/>
                <w:color w:val="auto"/>
              </w:rPr>
              <w:t>0,043</w:t>
            </w:r>
            <w:r w:rsidRPr="00EE003F">
              <w:rPr>
                <w:rStyle w:val="cuerpodetextotablas"/>
                <w:rFonts w:ascii="Arial Narrow" w:hAnsi="Arial Narrow"/>
                <w:color w:val="auto"/>
              </w:rPr>
              <w:br/>
              <w:t>(201</w:t>
            </w:r>
            <w:r w:rsidR="00781D1C" w:rsidRPr="00EE003F">
              <w:rPr>
                <w:rStyle w:val="cuerpodetextotablas"/>
                <w:rFonts w:ascii="Arial Narrow" w:hAnsi="Arial Narrow"/>
                <w:color w:val="auto"/>
              </w:rPr>
              <w:t>3</w:t>
            </w:r>
            <w:r w:rsidRPr="00EE003F">
              <w:rPr>
                <w:rStyle w:val="cuerpodetextotablas"/>
                <w:rFonts w:ascii="Arial Narrow" w:hAnsi="Arial Narrow"/>
                <w:color w:val="auto"/>
              </w:rPr>
              <w:t>)</w:t>
            </w:r>
          </w:p>
        </w:tc>
        <w:tc>
          <w:tcPr>
            <w:tcW w:w="851"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781D1C">
            <w:pPr>
              <w:pStyle w:val="BasicParagraph"/>
              <w:jc w:val="center"/>
              <w:rPr>
                <w:rFonts w:ascii="Arial Narrow" w:hAnsi="Arial Narrow"/>
                <w:color w:val="auto"/>
              </w:rPr>
            </w:pPr>
            <w:r w:rsidRPr="00EE003F">
              <w:rPr>
                <w:rStyle w:val="cuerpodetextotablas"/>
                <w:rFonts w:ascii="Arial Narrow" w:hAnsi="Arial Narrow"/>
                <w:color w:val="auto"/>
              </w:rPr>
              <w:t>0.</w:t>
            </w:r>
            <w:r w:rsidR="00732D1D" w:rsidRPr="00EE003F">
              <w:rPr>
                <w:rStyle w:val="cuerpodetextotablas"/>
                <w:rFonts w:ascii="Arial Narrow" w:hAnsi="Arial Narrow"/>
                <w:color w:val="auto"/>
              </w:rPr>
              <w:t>0</w:t>
            </w:r>
            <w:r w:rsidR="00781D1C" w:rsidRPr="00EE003F">
              <w:rPr>
                <w:rStyle w:val="cuerpodetextotablas"/>
                <w:rFonts w:ascii="Arial Narrow" w:hAnsi="Arial Narrow"/>
                <w:color w:val="auto"/>
              </w:rPr>
              <w:t>40</w:t>
            </w:r>
          </w:p>
        </w:tc>
        <w:tc>
          <w:tcPr>
            <w:tcW w:w="708"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Fonts w:ascii="Arial Narrow" w:hAnsi="Arial Narrow"/>
                <w:color w:val="auto"/>
              </w:rPr>
            </w:pPr>
            <w:r w:rsidRPr="00EE003F">
              <w:rPr>
                <w:rStyle w:val="cuerpodetextotablas"/>
                <w:rFonts w:ascii="Arial Narrow" w:hAnsi="Arial Narrow"/>
                <w:color w:val="auto"/>
              </w:rPr>
              <w:t>0,014</w:t>
            </w:r>
          </w:p>
        </w:tc>
      </w:tr>
      <w:tr w:rsidR="006E3336" w:rsidRPr="00EE003F" w:rsidTr="003F62C2">
        <w:trPr>
          <w:trHeight w:val="803"/>
        </w:trPr>
        <w:tc>
          <w:tcPr>
            <w:tcW w:w="727" w:type="dxa"/>
          </w:tcPr>
          <w:p w:rsidR="004C55CE" w:rsidRPr="00EE003F" w:rsidRDefault="004C55CE" w:rsidP="004C55CE">
            <w:pPr>
              <w:pStyle w:val="BasicParagraph"/>
              <w:jc w:val="center"/>
              <w:rPr>
                <w:rFonts w:ascii="Arial Narrow" w:hAnsi="Arial Narrow"/>
                <w:color w:val="auto"/>
              </w:rPr>
            </w:pPr>
            <w:r w:rsidRPr="00EE003F">
              <w:rPr>
                <w:rStyle w:val="negritatablas"/>
                <w:rFonts w:ascii="Arial Narrow" w:hAnsi="Arial Narrow"/>
                <w:color w:val="auto"/>
                <w:sz w:val="38"/>
                <w:szCs w:val="38"/>
              </w:rPr>
              <w:t>3</w:t>
            </w:r>
          </w:p>
        </w:tc>
        <w:tc>
          <w:tcPr>
            <w:tcW w:w="2783" w:type="dxa"/>
          </w:tcPr>
          <w:p w:rsidR="004C55CE" w:rsidRPr="00EE003F" w:rsidRDefault="004C55CE" w:rsidP="004C55C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Desarrollar y consolidar la gobernabilidad democrática y una fuerte institucionalidad pública (*)</w:t>
            </w:r>
          </w:p>
        </w:tc>
        <w:tc>
          <w:tcPr>
            <w:tcW w:w="1985" w:type="dxa"/>
          </w:tcPr>
          <w:p w:rsidR="004C55CE" w:rsidRPr="00EE003F" w:rsidRDefault="004C55CE" w:rsidP="004C55C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Efectividad Gubernamental</w:t>
            </w:r>
          </w:p>
        </w:tc>
        <w:tc>
          <w:tcPr>
            <w:tcW w:w="850" w:type="dxa"/>
          </w:tcPr>
          <w:p w:rsidR="004C55CE" w:rsidRPr="00EE003F" w:rsidRDefault="004C55CE" w:rsidP="004C55CE">
            <w:pPr>
              <w:pStyle w:val="BasicParagraph"/>
              <w:rPr>
                <w:rFonts w:ascii="Arial Narrow" w:hAnsi="Arial Narrow"/>
                <w:color w:val="auto"/>
              </w:rPr>
            </w:pPr>
            <w:r w:rsidRPr="00EE003F">
              <w:rPr>
                <w:rStyle w:val="cuerpodetextotablas"/>
                <w:rFonts w:ascii="Arial Narrow" w:hAnsi="Arial Narrow"/>
                <w:color w:val="auto"/>
              </w:rPr>
              <w:t>WGI - Banco Mundial</w:t>
            </w:r>
          </w:p>
        </w:tc>
        <w:tc>
          <w:tcPr>
            <w:tcW w:w="709"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005B46">
            <w:pPr>
              <w:pStyle w:val="BasicParagraph"/>
              <w:jc w:val="center"/>
              <w:rPr>
                <w:rFonts w:ascii="Arial Narrow" w:hAnsi="Arial Narrow"/>
                <w:color w:val="auto"/>
              </w:rPr>
            </w:pPr>
            <w:r w:rsidRPr="00EE003F">
              <w:rPr>
                <w:rStyle w:val="cuerpodetextotablas"/>
                <w:rFonts w:ascii="Arial Narrow" w:hAnsi="Arial Narrow"/>
                <w:color w:val="auto"/>
              </w:rPr>
              <w:t>2,2</w:t>
            </w:r>
          </w:p>
        </w:tc>
        <w:tc>
          <w:tcPr>
            <w:tcW w:w="851"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r w:rsidRPr="00EE003F">
              <w:rPr>
                <w:rStyle w:val="cuerpodetextotablas"/>
                <w:rFonts w:ascii="Arial Narrow" w:hAnsi="Arial Narrow"/>
                <w:color w:val="auto"/>
              </w:rPr>
              <w:t>2,</w:t>
            </w:r>
            <w:r w:rsidR="00732D1D" w:rsidRPr="00EE003F">
              <w:rPr>
                <w:rStyle w:val="cuerpodetextotablas"/>
                <w:rFonts w:ascii="Arial Narrow" w:hAnsi="Arial Narrow"/>
                <w:color w:val="auto"/>
              </w:rPr>
              <w:t>3</w:t>
            </w:r>
          </w:p>
          <w:p w:rsidR="004C55CE" w:rsidRPr="00EE003F" w:rsidRDefault="004C55CE" w:rsidP="004C55CE">
            <w:pPr>
              <w:pStyle w:val="BasicParagraph"/>
              <w:jc w:val="center"/>
              <w:rPr>
                <w:rFonts w:ascii="Arial Narrow" w:hAnsi="Arial Narrow"/>
                <w:color w:val="auto"/>
              </w:rPr>
            </w:pPr>
          </w:p>
        </w:tc>
        <w:tc>
          <w:tcPr>
            <w:tcW w:w="708"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r w:rsidRPr="00EE003F">
              <w:rPr>
                <w:rStyle w:val="cuerpodetextotablas"/>
                <w:rFonts w:ascii="Arial Narrow" w:hAnsi="Arial Narrow"/>
                <w:color w:val="auto"/>
              </w:rPr>
              <w:t>2,</w:t>
            </w:r>
            <w:r w:rsidR="00732D1D" w:rsidRPr="00EE003F">
              <w:rPr>
                <w:rStyle w:val="cuerpodetextotablas"/>
                <w:rFonts w:ascii="Arial Narrow" w:hAnsi="Arial Narrow"/>
                <w:color w:val="auto"/>
              </w:rPr>
              <w:t>4</w:t>
            </w:r>
          </w:p>
          <w:p w:rsidR="004C55CE" w:rsidRPr="00EE003F" w:rsidRDefault="004C55CE" w:rsidP="004C55CE">
            <w:pPr>
              <w:pStyle w:val="BasicParagraph"/>
              <w:jc w:val="center"/>
              <w:rPr>
                <w:rFonts w:ascii="Arial Narrow" w:hAnsi="Arial Narrow"/>
                <w:color w:val="auto"/>
              </w:rPr>
            </w:pPr>
          </w:p>
        </w:tc>
      </w:tr>
      <w:tr w:rsidR="006E3336" w:rsidRPr="00EE003F" w:rsidTr="003F62C2">
        <w:trPr>
          <w:trHeight w:val="942"/>
        </w:trPr>
        <w:tc>
          <w:tcPr>
            <w:tcW w:w="727" w:type="dxa"/>
          </w:tcPr>
          <w:p w:rsidR="004C55CE" w:rsidRPr="00EE003F" w:rsidRDefault="004C55CE" w:rsidP="004C55CE">
            <w:pPr>
              <w:pStyle w:val="BasicParagraph"/>
              <w:jc w:val="center"/>
              <w:rPr>
                <w:rFonts w:ascii="Arial Narrow" w:hAnsi="Arial Narrow"/>
                <w:color w:val="auto"/>
              </w:rPr>
            </w:pPr>
            <w:r w:rsidRPr="00EE003F">
              <w:rPr>
                <w:rStyle w:val="negritatablas"/>
                <w:rFonts w:ascii="Arial Narrow" w:hAnsi="Arial Narrow"/>
                <w:color w:val="auto"/>
                <w:sz w:val="38"/>
                <w:szCs w:val="38"/>
              </w:rPr>
              <w:t>4</w:t>
            </w:r>
          </w:p>
        </w:tc>
        <w:tc>
          <w:tcPr>
            <w:tcW w:w="2783" w:type="dxa"/>
          </w:tcPr>
          <w:p w:rsidR="004C55CE" w:rsidRPr="00EE003F" w:rsidRDefault="004C55CE" w:rsidP="004C55C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Desarrollar una economía diversificada y sofisticada</w:t>
            </w:r>
            <w:r w:rsidR="00697446" w:rsidRPr="00EE003F">
              <w:rPr>
                <w:rStyle w:val="cuerpodetextotablas"/>
                <w:rFonts w:ascii="Arial Narrow" w:hAnsi="Arial Narrow"/>
                <w:color w:val="auto"/>
              </w:rPr>
              <w:t>,</w:t>
            </w:r>
            <w:r w:rsidRPr="00EE003F">
              <w:rPr>
                <w:rStyle w:val="cuerpodetextotablas"/>
                <w:rFonts w:ascii="Arial Narrow" w:hAnsi="Arial Narrow"/>
                <w:color w:val="auto"/>
              </w:rPr>
              <w:t xml:space="preserve"> con crecimiento sostenible</w:t>
            </w:r>
            <w:r w:rsidR="00697446" w:rsidRPr="00EE003F">
              <w:rPr>
                <w:rStyle w:val="cuerpodetextotablas"/>
                <w:rFonts w:ascii="Arial Narrow" w:hAnsi="Arial Narrow"/>
                <w:color w:val="auto"/>
              </w:rPr>
              <w:t>,</w:t>
            </w:r>
            <w:r w:rsidRPr="00EE003F">
              <w:rPr>
                <w:rStyle w:val="cuerpodetextotablas"/>
                <w:rFonts w:ascii="Arial Narrow" w:hAnsi="Arial Narrow"/>
                <w:color w:val="auto"/>
              </w:rPr>
              <w:t xml:space="preserve"> en una estructura descentralizada</w:t>
            </w:r>
            <w:r w:rsidR="00697446" w:rsidRPr="00EE003F">
              <w:rPr>
                <w:rStyle w:val="cuerpodetextotablas"/>
                <w:rFonts w:ascii="Arial Narrow" w:hAnsi="Arial Narrow"/>
                <w:color w:val="auto"/>
              </w:rPr>
              <w:t>,</w:t>
            </w:r>
            <w:r w:rsidRPr="00EE003F">
              <w:rPr>
                <w:rStyle w:val="cuerpodetextotablas"/>
                <w:rFonts w:ascii="Arial Narrow" w:hAnsi="Arial Narrow"/>
                <w:color w:val="auto"/>
              </w:rPr>
              <w:t xml:space="preserve"> generadora de empleo digno.</w:t>
            </w:r>
          </w:p>
        </w:tc>
        <w:tc>
          <w:tcPr>
            <w:tcW w:w="1985" w:type="dxa"/>
          </w:tcPr>
          <w:p w:rsidR="004C55CE" w:rsidRPr="00EE003F" w:rsidRDefault="004C55CE" w:rsidP="000160F1">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PBI per cápita (paridad de poder de compra, dólares constantes del 20</w:t>
            </w:r>
            <w:r w:rsidR="000160F1" w:rsidRPr="00EE003F">
              <w:rPr>
                <w:rStyle w:val="cuerpodetextotablas"/>
                <w:rFonts w:ascii="Arial Narrow" w:hAnsi="Arial Narrow"/>
                <w:color w:val="auto"/>
              </w:rPr>
              <w:t>11</w:t>
            </w:r>
            <w:r w:rsidRPr="00EE003F">
              <w:rPr>
                <w:rStyle w:val="cuerpodetextotablas"/>
                <w:rFonts w:ascii="Arial Narrow" w:hAnsi="Arial Narrow"/>
                <w:color w:val="auto"/>
              </w:rPr>
              <w:t>)</w:t>
            </w:r>
          </w:p>
        </w:tc>
        <w:tc>
          <w:tcPr>
            <w:tcW w:w="850" w:type="dxa"/>
          </w:tcPr>
          <w:p w:rsidR="004C55CE" w:rsidRPr="00EE003F" w:rsidRDefault="004C55CE" w:rsidP="004C55CE">
            <w:pPr>
              <w:pStyle w:val="BasicParagraph"/>
              <w:suppressAutoHyphens/>
              <w:rPr>
                <w:rFonts w:ascii="Arial Narrow" w:hAnsi="Arial Narrow"/>
                <w:color w:val="auto"/>
              </w:rPr>
            </w:pPr>
            <w:r w:rsidRPr="00EE003F">
              <w:rPr>
                <w:rStyle w:val="cuerpodetextotablas"/>
                <w:rFonts w:ascii="Arial Narrow" w:hAnsi="Arial Narrow"/>
                <w:color w:val="auto"/>
              </w:rPr>
              <w:t>Banco Mundial, MEF, CEPLAN</w:t>
            </w:r>
          </w:p>
        </w:tc>
        <w:tc>
          <w:tcPr>
            <w:tcW w:w="709"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005B46" w:rsidP="004C55CE">
            <w:pPr>
              <w:pStyle w:val="BasicParagraph"/>
              <w:jc w:val="center"/>
              <w:rPr>
                <w:rStyle w:val="cuerpodetextotablas"/>
                <w:rFonts w:ascii="Arial Narrow" w:hAnsi="Arial Narrow"/>
                <w:color w:val="auto"/>
              </w:rPr>
            </w:pPr>
            <w:r w:rsidRPr="00EE003F">
              <w:rPr>
                <w:rStyle w:val="cuerpodetextotablas"/>
                <w:rFonts w:ascii="Arial Narrow" w:hAnsi="Arial Narrow"/>
                <w:color w:val="auto"/>
              </w:rPr>
              <w:t>116</w:t>
            </w:r>
            <w:r w:rsidR="000160F1" w:rsidRPr="00EE003F">
              <w:rPr>
                <w:rStyle w:val="cuerpodetextotablas"/>
                <w:rFonts w:ascii="Arial Narrow" w:hAnsi="Arial Narrow"/>
                <w:color w:val="auto"/>
              </w:rPr>
              <w:t>56</w:t>
            </w:r>
          </w:p>
          <w:p w:rsidR="004C55CE" w:rsidRPr="00EE003F" w:rsidRDefault="004C55CE" w:rsidP="004C55CE">
            <w:pPr>
              <w:pStyle w:val="BasicParagraph"/>
              <w:jc w:val="center"/>
              <w:rPr>
                <w:rFonts w:ascii="Arial Narrow" w:hAnsi="Arial Narrow"/>
                <w:color w:val="auto"/>
              </w:rPr>
            </w:pPr>
            <w:r w:rsidRPr="00EE003F" w:rsidDel="00EB0587">
              <w:rPr>
                <w:rStyle w:val="cuerpodetextotablas"/>
                <w:rFonts w:ascii="Arial Narrow" w:hAnsi="Arial Narrow"/>
              </w:rPr>
              <w:t xml:space="preserve"> </w:t>
            </w:r>
            <w:r w:rsidRPr="00EE003F">
              <w:rPr>
                <w:rStyle w:val="cuerpodetextotablas"/>
                <w:rFonts w:ascii="Arial Narrow" w:hAnsi="Arial Narrow"/>
                <w:color w:val="auto"/>
              </w:rPr>
              <w:t>(2015)</w:t>
            </w:r>
          </w:p>
        </w:tc>
        <w:tc>
          <w:tcPr>
            <w:tcW w:w="851"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005B46" w:rsidP="000160F1">
            <w:pPr>
              <w:pStyle w:val="BasicParagraph"/>
              <w:jc w:val="center"/>
              <w:rPr>
                <w:rFonts w:ascii="Arial Narrow" w:hAnsi="Arial Narrow"/>
                <w:color w:val="auto"/>
              </w:rPr>
            </w:pPr>
            <w:r w:rsidRPr="00EE003F">
              <w:rPr>
                <w:rStyle w:val="cuerpodetextotablas"/>
                <w:rFonts w:ascii="Arial Narrow" w:hAnsi="Arial Narrow"/>
                <w:color w:val="auto"/>
              </w:rPr>
              <w:t>119</w:t>
            </w:r>
            <w:r w:rsidR="000160F1" w:rsidRPr="00EE003F">
              <w:rPr>
                <w:rStyle w:val="cuerpodetextotablas"/>
                <w:rFonts w:ascii="Arial Narrow" w:hAnsi="Arial Narrow"/>
                <w:color w:val="auto"/>
              </w:rPr>
              <w:t>50</w:t>
            </w:r>
          </w:p>
        </w:tc>
        <w:tc>
          <w:tcPr>
            <w:tcW w:w="708"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005B46" w:rsidP="000160F1">
            <w:pPr>
              <w:pStyle w:val="BasicParagraph"/>
              <w:jc w:val="center"/>
              <w:rPr>
                <w:rFonts w:ascii="Arial Narrow" w:hAnsi="Arial Narrow"/>
                <w:color w:val="auto"/>
              </w:rPr>
            </w:pPr>
            <w:r w:rsidRPr="00EE003F">
              <w:rPr>
                <w:rStyle w:val="cuerpodetextotablas"/>
                <w:rFonts w:ascii="Arial Narrow" w:hAnsi="Arial Narrow"/>
                <w:color w:val="auto"/>
              </w:rPr>
              <w:t>141</w:t>
            </w:r>
            <w:r w:rsidR="000160F1" w:rsidRPr="00EE003F">
              <w:rPr>
                <w:rStyle w:val="cuerpodetextotablas"/>
                <w:rFonts w:ascii="Arial Narrow" w:hAnsi="Arial Narrow"/>
                <w:color w:val="auto"/>
              </w:rPr>
              <w:t>26</w:t>
            </w:r>
          </w:p>
        </w:tc>
      </w:tr>
      <w:tr w:rsidR="006E3336" w:rsidRPr="00EE003F" w:rsidTr="003F62C2">
        <w:trPr>
          <w:trHeight w:val="1383"/>
        </w:trPr>
        <w:tc>
          <w:tcPr>
            <w:tcW w:w="727" w:type="dxa"/>
          </w:tcPr>
          <w:p w:rsidR="004C55CE" w:rsidRPr="00EE003F" w:rsidRDefault="004C55CE" w:rsidP="004C55CE">
            <w:pPr>
              <w:pStyle w:val="BasicParagraph"/>
              <w:jc w:val="center"/>
              <w:rPr>
                <w:rFonts w:ascii="Arial Narrow" w:hAnsi="Arial Narrow"/>
                <w:color w:val="auto"/>
              </w:rPr>
            </w:pPr>
            <w:r w:rsidRPr="00EE003F">
              <w:rPr>
                <w:rStyle w:val="negritatablas"/>
                <w:rFonts w:ascii="Arial Narrow" w:hAnsi="Arial Narrow"/>
                <w:color w:val="auto"/>
                <w:sz w:val="38"/>
                <w:szCs w:val="38"/>
              </w:rPr>
              <w:t>5</w:t>
            </w:r>
          </w:p>
        </w:tc>
        <w:tc>
          <w:tcPr>
            <w:tcW w:w="2783" w:type="dxa"/>
          </w:tcPr>
          <w:p w:rsidR="004C55CE" w:rsidRPr="00EE003F" w:rsidRDefault="004C55CE" w:rsidP="004C55C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Territorio cohesionado y organizado en ciudades sostenibles con provisión asegurada de infraestructura de calidad.</w:t>
            </w:r>
          </w:p>
        </w:tc>
        <w:tc>
          <w:tcPr>
            <w:tcW w:w="1985" w:type="dxa"/>
          </w:tcPr>
          <w:p w:rsidR="004C55CE" w:rsidRPr="00EE003F" w:rsidRDefault="004C55CE" w:rsidP="004C55C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Porcentaje de la participación del valor agregado bruto departamental (exceptuando Lima) sobre el valor agregado total</w:t>
            </w:r>
          </w:p>
        </w:tc>
        <w:tc>
          <w:tcPr>
            <w:tcW w:w="850" w:type="dxa"/>
          </w:tcPr>
          <w:p w:rsidR="00854E17" w:rsidRPr="00EE003F" w:rsidRDefault="00854E17" w:rsidP="004C55CE">
            <w:pPr>
              <w:pStyle w:val="BasicParagraph"/>
              <w:rPr>
                <w:rStyle w:val="cuerpodetextotablas"/>
                <w:rFonts w:ascii="Arial Narrow" w:hAnsi="Arial Narrow"/>
                <w:color w:val="auto"/>
              </w:rPr>
            </w:pPr>
          </w:p>
          <w:p w:rsidR="00854E17" w:rsidRPr="00EE003F" w:rsidRDefault="00854E17" w:rsidP="004C55CE">
            <w:pPr>
              <w:pStyle w:val="BasicParagraph"/>
              <w:rPr>
                <w:rStyle w:val="cuerpodetextotablas"/>
                <w:rFonts w:ascii="Arial Narrow" w:hAnsi="Arial Narrow"/>
                <w:color w:val="auto"/>
              </w:rPr>
            </w:pPr>
          </w:p>
          <w:p w:rsidR="004C55CE" w:rsidRPr="00EE003F" w:rsidRDefault="004C55CE" w:rsidP="004C55CE">
            <w:pPr>
              <w:pStyle w:val="BasicParagraph"/>
              <w:rPr>
                <w:rFonts w:ascii="Arial Narrow" w:hAnsi="Arial Narrow"/>
                <w:color w:val="auto"/>
              </w:rPr>
            </w:pPr>
            <w:r w:rsidRPr="00EE003F">
              <w:rPr>
                <w:rStyle w:val="cuerpodetextotablas"/>
                <w:rFonts w:ascii="Arial Narrow" w:hAnsi="Arial Narrow"/>
                <w:color w:val="auto"/>
              </w:rPr>
              <w:t>INEI</w:t>
            </w:r>
          </w:p>
        </w:tc>
        <w:tc>
          <w:tcPr>
            <w:tcW w:w="709"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Fonts w:ascii="Arial Narrow" w:hAnsi="Arial Narrow"/>
                <w:color w:val="auto"/>
              </w:rPr>
            </w:pPr>
            <w:r w:rsidRPr="00EE003F">
              <w:rPr>
                <w:rStyle w:val="cuerpodetextotablas"/>
                <w:rFonts w:ascii="Arial Narrow" w:hAnsi="Arial Narrow"/>
                <w:color w:val="auto"/>
              </w:rPr>
              <w:t>50,84</w:t>
            </w:r>
          </w:p>
        </w:tc>
        <w:tc>
          <w:tcPr>
            <w:tcW w:w="851"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r w:rsidRPr="00EE003F">
              <w:rPr>
                <w:rStyle w:val="cuerpodetextotablas"/>
                <w:rFonts w:ascii="Arial Narrow" w:hAnsi="Arial Narrow"/>
                <w:color w:val="auto"/>
              </w:rPr>
              <w:t>50,71</w:t>
            </w:r>
          </w:p>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Fonts w:ascii="Arial Narrow" w:hAnsi="Arial Narrow"/>
                <w:color w:val="auto"/>
              </w:rPr>
            </w:pPr>
          </w:p>
        </w:tc>
        <w:tc>
          <w:tcPr>
            <w:tcW w:w="708"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r w:rsidRPr="00EE003F">
              <w:rPr>
                <w:rStyle w:val="cuerpodetextotablas"/>
                <w:rFonts w:ascii="Arial Narrow" w:hAnsi="Arial Narrow"/>
                <w:color w:val="auto"/>
              </w:rPr>
              <w:t>51,30</w:t>
            </w:r>
          </w:p>
          <w:p w:rsidR="004C55CE" w:rsidRPr="00EE003F" w:rsidRDefault="004C55CE" w:rsidP="004C55CE">
            <w:pPr>
              <w:pStyle w:val="BasicParagraph"/>
              <w:jc w:val="center"/>
              <w:rPr>
                <w:rFonts w:ascii="Arial Narrow" w:hAnsi="Arial Narrow"/>
                <w:color w:val="auto"/>
              </w:rPr>
            </w:pPr>
          </w:p>
        </w:tc>
      </w:tr>
      <w:tr w:rsidR="006E3336" w:rsidRPr="00EE003F" w:rsidTr="003F62C2">
        <w:trPr>
          <w:trHeight w:val="1628"/>
        </w:trPr>
        <w:tc>
          <w:tcPr>
            <w:tcW w:w="727" w:type="dxa"/>
          </w:tcPr>
          <w:p w:rsidR="004C55CE" w:rsidRPr="00EE003F" w:rsidRDefault="004C55CE" w:rsidP="004C55CE">
            <w:pPr>
              <w:pStyle w:val="BasicParagraph"/>
              <w:jc w:val="center"/>
              <w:rPr>
                <w:rFonts w:ascii="Arial Narrow" w:hAnsi="Arial Narrow"/>
                <w:color w:val="auto"/>
              </w:rPr>
            </w:pPr>
            <w:r w:rsidRPr="00EE003F">
              <w:rPr>
                <w:rStyle w:val="negritatablas"/>
                <w:rFonts w:ascii="Arial Narrow" w:hAnsi="Arial Narrow"/>
                <w:color w:val="auto"/>
                <w:sz w:val="38"/>
                <w:szCs w:val="38"/>
              </w:rPr>
              <w:t>6</w:t>
            </w:r>
          </w:p>
        </w:tc>
        <w:tc>
          <w:tcPr>
            <w:tcW w:w="2783" w:type="dxa"/>
          </w:tcPr>
          <w:p w:rsidR="004C55CE" w:rsidRPr="00EE003F" w:rsidRDefault="004C55CE" w:rsidP="004C55C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Aprovechamiento eficiente, responsable y sostenible de la diversidad biológica, asegurando una calidad ambiental  adecuada para la vida saludable de las personas y el desarrollo sostenible del país.</w:t>
            </w:r>
          </w:p>
        </w:tc>
        <w:tc>
          <w:tcPr>
            <w:tcW w:w="1985" w:type="dxa"/>
          </w:tcPr>
          <w:p w:rsidR="004C55CE" w:rsidRPr="00EE003F" w:rsidRDefault="004C55CE" w:rsidP="004C55CE">
            <w:pPr>
              <w:pStyle w:val="BasicParagraph"/>
              <w:suppressAutoHyphens/>
              <w:ind w:left="113" w:right="57"/>
              <w:rPr>
                <w:rStyle w:val="cuerpodetextotablas"/>
                <w:rFonts w:ascii="Arial Narrow" w:hAnsi="Arial Narrow"/>
                <w:color w:val="auto"/>
              </w:rPr>
            </w:pPr>
            <w:r w:rsidRPr="00EE003F">
              <w:rPr>
                <w:rStyle w:val="cuerpodetextotablas"/>
                <w:rFonts w:ascii="Arial Narrow" w:hAnsi="Arial Narrow"/>
                <w:color w:val="auto"/>
              </w:rPr>
              <w:t xml:space="preserve">EPI </w:t>
            </w:r>
          </w:p>
          <w:p w:rsidR="004C55CE" w:rsidRPr="00EE003F" w:rsidRDefault="004C55CE" w:rsidP="004C55CE">
            <w:pPr>
              <w:pStyle w:val="BasicParagraph"/>
              <w:suppressAutoHyphens/>
              <w:ind w:left="113" w:right="57"/>
              <w:rPr>
                <w:rStyle w:val="cuerpodetextotablas"/>
                <w:rFonts w:ascii="Arial Narrow" w:hAnsi="Arial Narrow"/>
                <w:color w:val="auto"/>
              </w:rPr>
            </w:pPr>
            <w:r w:rsidRPr="00EE003F">
              <w:rPr>
                <w:rStyle w:val="cuerpodetextotablas"/>
                <w:rFonts w:ascii="Arial Narrow" w:hAnsi="Arial Narrow"/>
                <w:color w:val="auto"/>
              </w:rPr>
              <w:t>(siglas en inglés de Enviromental Performance Index)</w:t>
            </w:r>
          </w:p>
          <w:p w:rsidR="004C55CE" w:rsidRPr="00EE003F" w:rsidRDefault="004C55CE" w:rsidP="004C55CE">
            <w:pPr>
              <w:pStyle w:val="BasicParagraph"/>
              <w:suppressAutoHyphens/>
              <w:ind w:left="113" w:right="57"/>
              <w:rPr>
                <w:rFonts w:ascii="Arial Narrow" w:hAnsi="Arial Narrow"/>
                <w:color w:val="auto"/>
              </w:rPr>
            </w:pPr>
          </w:p>
        </w:tc>
        <w:tc>
          <w:tcPr>
            <w:tcW w:w="850" w:type="dxa"/>
          </w:tcPr>
          <w:p w:rsidR="00854E17" w:rsidRPr="00EE003F" w:rsidRDefault="00854E17" w:rsidP="004C55CE">
            <w:pPr>
              <w:pStyle w:val="BasicParagraph"/>
              <w:rPr>
                <w:rStyle w:val="cuerpodetextotablas"/>
                <w:rFonts w:ascii="Arial Narrow" w:hAnsi="Arial Narrow"/>
                <w:color w:val="auto"/>
              </w:rPr>
            </w:pPr>
          </w:p>
          <w:p w:rsidR="00854E17" w:rsidRPr="00EE003F" w:rsidRDefault="00854E17" w:rsidP="004C55CE">
            <w:pPr>
              <w:pStyle w:val="BasicParagraph"/>
              <w:rPr>
                <w:rStyle w:val="cuerpodetextotablas"/>
                <w:rFonts w:ascii="Arial Narrow" w:hAnsi="Arial Narrow"/>
                <w:color w:val="auto"/>
              </w:rPr>
            </w:pPr>
          </w:p>
          <w:p w:rsidR="004C55CE" w:rsidRPr="00EE003F" w:rsidRDefault="004C55CE" w:rsidP="004C55CE">
            <w:pPr>
              <w:pStyle w:val="BasicParagraph"/>
              <w:rPr>
                <w:rFonts w:ascii="Arial Narrow" w:hAnsi="Arial Narrow"/>
                <w:color w:val="auto"/>
              </w:rPr>
            </w:pPr>
            <w:r w:rsidRPr="00EE003F">
              <w:rPr>
                <w:rStyle w:val="cuerpodetextotablas"/>
                <w:rFonts w:ascii="Arial Narrow" w:hAnsi="Arial Narrow"/>
                <w:color w:val="auto"/>
              </w:rPr>
              <w:t>Universidad de Yale</w:t>
            </w:r>
          </w:p>
        </w:tc>
        <w:tc>
          <w:tcPr>
            <w:tcW w:w="709"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r w:rsidRPr="00EE003F">
              <w:rPr>
                <w:rStyle w:val="cuerpodetextotablas"/>
                <w:rFonts w:ascii="Arial Narrow" w:hAnsi="Arial Narrow"/>
                <w:color w:val="auto"/>
              </w:rPr>
              <w:t>45,05</w:t>
            </w:r>
          </w:p>
          <w:p w:rsidR="004C55CE" w:rsidRPr="00EE003F" w:rsidRDefault="004C55CE" w:rsidP="004C55CE">
            <w:pPr>
              <w:pStyle w:val="BasicParagraph"/>
              <w:jc w:val="center"/>
              <w:rPr>
                <w:rFonts w:ascii="Arial Narrow" w:hAnsi="Arial Narrow"/>
                <w:color w:val="auto"/>
              </w:rPr>
            </w:pPr>
            <w:r w:rsidRPr="00EE003F">
              <w:rPr>
                <w:rStyle w:val="cuerpodetextotablas"/>
                <w:rFonts w:ascii="Arial Narrow" w:hAnsi="Arial Narrow"/>
                <w:color w:val="auto"/>
              </w:rPr>
              <w:t>(2014)</w:t>
            </w:r>
          </w:p>
        </w:tc>
        <w:tc>
          <w:tcPr>
            <w:tcW w:w="851"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3B023B" w:rsidP="0029381A">
            <w:pPr>
              <w:pStyle w:val="BasicParagraph"/>
              <w:jc w:val="center"/>
              <w:rPr>
                <w:rFonts w:ascii="Arial Narrow" w:hAnsi="Arial Narrow"/>
                <w:color w:val="auto"/>
              </w:rPr>
            </w:pPr>
            <w:r w:rsidRPr="00EE003F">
              <w:rPr>
                <w:rStyle w:val="cuerpodetextotablas"/>
                <w:rFonts w:ascii="Arial Narrow" w:hAnsi="Arial Narrow"/>
                <w:color w:val="auto"/>
              </w:rPr>
              <w:t>4</w:t>
            </w:r>
            <w:r w:rsidR="0029381A" w:rsidRPr="00EE003F">
              <w:rPr>
                <w:rStyle w:val="cuerpodetextotablas"/>
                <w:rFonts w:ascii="Arial Narrow" w:hAnsi="Arial Narrow"/>
                <w:color w:val="auto"/>
              </w:rPr>
              <w:t>7</w:t>
            </w:r>
            <w:r w:rsidRPr="00EE003F">
              <w:rPr>
                <w:rStyle w:val="cuerpodetextotablas"/>
                <w:rFonts w:ascii="Arial Narrow" w:hAnsi="Arial Narrow"/>
                <w:color w:val="auto"/>
              </w:rPr>
              <w:t>,</w:t>
            </w:r>
            <w:r w:rsidR="0029381A" w:rsidRPr="00EE003F">
              <w:rPr>
                <w:rStyle w:val="cuerpodetextotablas"/>
                <w:rFonts w:ascii="Arial Narrow" w:hAnsi="Arial Narrow"/>
                <w:color w:val="auto"/>
              </w:rPr>
              <w:t>7</w:t>
            </w:r>
          </w:p>
        </w:tc>
        <w:tc>
          <w:tcPr>
            <w:tcW w:w="708" w:type="dxa"/>
          </w:tcPr>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4C55CE" w:rsidP="004C55CE">
            <w:pPr>
              <w:pStyle w:val="BasicParagraph"/>
              <w:jc w:val="center"/>
              <w:rPr>
                <w:rStyle w:val="cuerpodetextotablas"/>
                <w:rFonts w:ascii="Arial Narrow" w:hAnsi="Arial Narrow"/>
                <w:color w:val="auto"/>
              </w:rPr>
            </w:pPr>
          </w:p>
          <w:p w:rsidR="004C55CE" w:rsidRPr="00EE003F" w:rsidRDefault="003B023B" w:rsidP="0029381A">
            <w:pPr>
              <w:pStyle w:val="BasicParagraph"/>
              <w:jc w:val="center"/>
              <w:rPr>
                <w:rFonts w:ascii="Arial Narrow" w:hAnsi="Arial Narrow"/>
                <w:color w:val="auto"/>
              </w:rPr>
            </w:pPr>
            <w:r w:rsidRPr="00EE003F">
              <w:rPr>
                <w:rStyle w:val="cuerpodetextotablas"/>
                <w:rFonts w:ascii="Arial Narrow" w:hAnsi="Arial Narrow"/>
                <w:color w:val="auto"/>
              </w:rPr>
              <w:t>50,</w:t>
            </w:r>
            <w:r w:rsidR="0029381A" w:rsidRPr="00EE003F">
              <w:rPr>
                <w:rStyle w:val="cuerpodetextotablas"/>
                <w:rFonts w:ascii="Arial Narrow" w:hAnsi="Arial Narrow"/>
                <w:color w:val="auto"/>
              </w:rPr>
              <w:t>4</w:t>
            </w:r>
          </w:p>
        </w:tc>
      </w:tr>
    </w:tbl>
    <w:p w:rsidR="004C55CE" w:rsidRPr="00EE003F" w:rsidRDefault="004C55CE" w:rsidP="004C55CE">
      <w:pPr>
        <w:jc w:val="both"/>
        <w:rPr>
          <w:rFonts w:ascii="Arial Narrow" w:hAnsi="Arial Narrow"/>
          <w:sz w:val="20"/>
          <w:szCs w:val="20"/>
        </w:rPr>
      </w:pPr>
      <w:r w:rsidRPr="00EE003F">
        <w:rPr>
          <w:rFonts w:ascii="Arial Narrow" w:hAnsi="Arial Narrow"/>
          <w:sz w:val="20"/>
          <w:szCs w:val="20"/>
        </w:rPr>
        <w:t xml:space="preserve">(*) El indicador tiene un rango de valores entre -2,5 a 2,5. Este ha sido </w:t>
      </w:r>
      <w:proofErr w:type="spellStart"/>
      <w:r w:rsidRPr="00EE003F">
        <w:rPr>
          <w:rFonts w:ascii="Arial Narrow" w:hAnsi="Arial Narrow"/>
          <w:sz w:val="20"/>
          <w:szCs w:val="20"/>
        </w:rPr>
        <w:t>reescalado</w:t>
      </w:r>
      <w:proofErr w:type="spellEnd"/>
      <w:r w:rsidRPr="00EE003F">
        <w:rPr>
          <w:rFonts w:ascii="Arial Narrow" w:hAnsi="Arial Narrow"/>
          <w:sz w:val="20"/>
          <w:szCs w:val="20"/>
        </w:rPr>
        <w:t xml:space="preserve"> a un intervalo entre 0 y 5: el menor valor implica peor desempeño en dicho indicador, mientras que 5 se refiere al mejor desempeño.</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En este sentido, se han utilizado distintas técnicas estadísticas para determinar cuáles son los indicadores más relevantes para cada eje y qué indicadores se pueden rechazar.</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El primer paso fue la identificación de indicadores, seleccionados a partir de la determinación del objetivo nacional de cada eje estratégico y de los objetivos específicos que señalan los principales problemas en cada eje.</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Luego se identificaron aquellos indicadores que contribuyen al seguimiento y evaluación de los objetivos determinados. Este proceso se dio bajo metodologías que consideraban un enfoque cualitativo y cuantitativo, en el que finalmente se realizó un diagnóstico y se determinaron aquellos indicadores con una base teórica y estadística.</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El análisis cualitativo se inició con la sistematización de fuentes y determinación de objetivos, a partir de su evaluación y revisión, utilizando insumos esenciales que permitan tener un marco general de las políticas nacionales de desarrollo; la participación en talleres que traten las problemáticas de cada eje; la revisión literaria que identifique los conceptos básicos, principales teorías y contrastaciones empíricas, tanto de informes de organismos nacionales e internacionales, documentos de trabajo, noticias; como planes temáticos y sectoriales de cada institución del Gobierno. La sistematización de estas fuentes de información permitió la elaboración de un árbol de problemas y una matriz de objetivos y acciones por cada eje estratégico. </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La selección de indicadores a partir del árbol de problemas y la matriz de objetivos y acciones se dio una vez que los objetivos nacionales y específicos fueron planteados, tomando como referencia indicadores de organismos nacionales como internacionales, que lograron capturar gran parte de los conceptos establecidos a cada objetivo. Dichos indicadores cumplieron las siguientes características básicas: fórmula validada por organismos internacionales, continuidad en el tiempo y comparabilidad internacional.</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Además, se realizó un análisis cuantitativo a partir de la recopilación de indicadores del Plan Estratégico de Desarrollo Nacional aprobado en el año 2011. La identificación partió de los objetivos desarrollados en el citado plan y comprendió los indicadores líderes (concerniente a cada objetivo nacional), así como los indicadores de acuerdo a cada objetivo específico.</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Se consideró un modelo econométrico que identifique la contribución estadística de cada indicador con el objetivo de determinar de forma integral la contribución de los objetivos específicos al objetivo nacional, se dispuso elaborar para cada eje un modelo econométrico que especifique cuantitativamente la participación de cada indicador al indicador líder. A través de ello, se busca seleccionar aquellos indicadores que expliquen estadística y teóricamente la causalidad del modelo.</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En los ejes 1, 3 y 6 para conocer la contribución de las variables tomadas en cuenta se realizaron regresiones econométricas. En ese sentido, dada la naturaleza de la base de datos con la que se trabajó, se usó la metodología de datos de panel con regresiones con efectos fijos y efectos aleatorios. En los ejes 2, 4 y 5, debido al tratamiento de variables de interés no observables, se dispuso emplear la metodología de análisis factorial para encontrar los indicadores líderes. Este método permite extraer la información relevante de cada indicador (acorde a cada objetivo específico) y disminuir el número de variables del sistema perdiendo la mínima información posible en el proceso. En ambas metodologías, que una variable sea o no significativa es tomado solo como referencia, la decisión de relevancia para un indicador también toma en cuenta cuestiones conceptuales y teóricas.</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A partir de estos objetivos se dispuso considerar aquellos indicadores desarrollados en el análisis cuantitativo. Si bien es cierto que los indicadores finales del PEDN Perú hacia el 2021 parten de objetivos no estrictamente iguales que el plan emitido en 2011, se ratificaron aquellos indicadores que contemplen conceptualmente lo formulado en estos nuevos objetivos y expliquen estadísticamente su contribución a cada indicador líder y permiten su monitoreo.</w:t>
      </w:r>
    </w:p>
    <w:p w:rsidR="004843F2" w:rsidRPr="00EE003F" w:rsidRDefault="004843F2" w:rsidP="004843F2">
      <w:pPr>
        <w:rPr>
          <w:b/>
          <w:sz w:val="28"/>
          <w:lang w:val="es-ES_tradnl"/>
        </w:rPr>
      </w:pPr>
    </w:p>
    <w:p w:rsidR="004C55CE" w:rsidRPr="00EE003F" w:rsidRDefault="004C55CE" w:rsidP="004843F2">
      <w:pPr>
        <w:rPr>
          <w:b/>
          <w:sz w:val="28"/>
          <w:lang w:val="es-ES_tradnl"/>
        </w:rPr>
      </w:pPr>
      <w:r w:rsidRPr="00EE003F">
        <w:rPr>
          <w:b/>
          <w:sz w:val="28"/>
          <w:lang w:val="es-ES_tradnl"/>
        </w:rPr>
        <w:t>Proyecciones al 2021</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Usando el modelo </w:t>
      </w:r>
      <w:proofErr w:type="spellStart"/>
      <w:r w:rsidRPr="00EE003F">
        <w:rPr>
          <w:rFonts w:ascii="Arial Narrow" w:hAnsi="Arial Narrow"/>
          <w:sz w:val="24"/>
          <w:szCs w:val="24"/>
        </w:rPr>
        <w:t>IFs</w:t>
      </w:r>
      <w:proofErr w:type="spellEnd"/>
      <w:r w:rsidRPr="00EE003F">
        <w:rPr>
          <w:rFonts w:ascii="Arial Narrow" w:hAnsi="Arial Narrow"/>
          <w:sz w:val="24"/>
          <w:szCs w:val="24"/>
        </w:rPr>
        <w:t xml:space="preserve"> como herramienta prospectiva cuantitativa, se construyeron posibles escenarios sobre el crecimiento económico del Perú al año 2021. Asimismo, las proyecciones han incorporado los supuestos del  Marco Macroeconómico Multianual 201</w:t>
      </w:r>
      <w:r w:rsidR="0029163D" w:rsidRPr="00EE003F">
        <w:rPr>
          <w:rFonts w:ascii="Arial Narrow" w:hAnsi="Arial Narrow"/>
          <w:sz w:val="24"/>
          <w:szCs w:val="24"/>
        </w:rPr>
        <w:t>7</w:t>
      </w:r>
      <w:r w:rsidRPr="00EE003F">
        <w:rPr>
          <w:rFonts w:ascii="Arial Narrow" w:hAnsi="Arial Narrow"/>
          <w:sz w:val="24"/>
          <w:szCs w:val="24"/>
        </w:rPr>
        <w:t>-201</w:t>
      </w:r>
      <w:r w:rsidR="0029163D" w:rsidRPr="00EE003F">
        <w:rPr>
          <w:rFonts w:ascii="Arial Narrow" w:hAnsi="Arial Narrow"/>
          <w:sz w:val="24"/>
          <w:szCs w:val="24"/>
        </w:rPr>
        <w:t>9</w:t>
      </w:r>
      <w:r w:rsidRPr="00EE003F">
        <w:rPr>
          <w:rFonts w:ascii="Arial Narrow" w:hAnsi="Arial Narrow"/>
          <w:sz w:val="24"/>
          <w:szCs w:val="24"/>
        </w:rPr>
        <w:t xml:space="preserve"> y del Informe preelectoral Administración 2011-2016 respectivamente. Como resultado se prevé un crecimiento del Producto Bruto Interno real (PBI) para el periodo 2016-2021 </w:t>
      </w:r>
      <w:r w:rsidR="0009039F" w:rsidRPr="00EE003F">
        <w:rPr>
          <w:rFonts w:ascii="Arial Narrow" w:hAnsi="Arial Narrow"/>
          <w:sz w:val="24"/>
          <w:szCs w:val="24"/>
        </w:rPr>
        <w:t>superior a 4</w:t>
      </w:r>
      <w:r w:rsidRPr="00EE003F">
        <w:rPr>
          <w:rFonts w:ascii="Arial Narrow" w:hAnsi="Arial Narrow"/>
          <w:sz w:val="24"/>
          <w:szCs w:val="24"/>
        </w:rPr>
        <w:t xml:space="preserve">% por ciento promedio anual. El escenario apuesta es resultado de las reformas implementadas como el enfoque de política social establecido en la estrategia nacional “Incluir para Crecer”. </w:t>
      </w:r>
    </w:p>
    <w:p w:rsidR="004C55CE" w:rsidRPr="00EE003F" w:rsidRDefault="004C55CE"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El PEDN Perú hacia el 2021 tiene en cuenta las políticas que reforman los sectores Salud y Educación, el Plan Nacional de Diversificación Productiva y la Estrategia Nacional </w:t>
      </w:r>
      <w:r w:rsidR="00B466E8" w:rsidRPr="00EE003F">
        <w:rPr>
          <w:rFonts w:ascii="Arial Narrow" w:hAnsi="Arial Narrow"/>
          <w:sz w:val="24"/>
          <w:szCs w:val="24"/>
        </w:rPr>
        <w:t xml:space="preserve">para el Desarrollo de la Ciencia, Tecnología e Innovación </w:t>
      </w:r>
      <w:r w:rsidRPr="00EE003F">
        <w:rPr>
          <w:rFonts w:ascii="Arial Narrow" w:hAnsi="Arial Narrow"/>
          <w:sz w:val="24"/>
          <w:szCs w:val="24"/>
        </w:rPr>
        <w:t xml:space="preserve">“Crear para Crecer” de CONCYTEC, las cuales resultaran en incrementos de la productividad y la sofisticación de la estructura productiva. Los resultados obtenidos son consistentes con las proyecciones realizadas por organismos internacionales como el Banco Mundial, el FMI y organismos privados como </w:t>
      </w:r>
      <w:proofErr w:type="spellStart"/>
      <w:r w:rsidRPr="00EE003F">
        <w:rPr>
          <w:rFonts w:ascii="Arial Narrow" w:hAnsi="Arial Narrow"/>
          <w:sz w:val="24"/>
          <w:szCs w:val="24"/>
        </w:rPr>
        <w:t>The</w:t>
      </w:r>
      <w:proofErr w:type="spellEnd"/>
      <w:r w:rsidRPr="00EE003F">
        <w:rPr>
          <w:rFonts w:ascii="Arial Narrow" w:hAnsi="Arial Narrow"/>
          <w:sz w:val="24"/>
          <w:szCs w:val="24"/>
        </w:rPr>
        <w:t xml:space="preserve"> </w:t>
      </w:r>
      <w:proofErr w:type="spellStart"/>
      <w:r w:rsidRPr="00EE003F">
        <w:rPr>
          <w:rFonts w:ascii="Arial Narrow" w:hAnsi="Arial Narrow"/>
          <w:sz w:val="24"/>
          <w:szCs w:val="24"/>
        </w:rPr>
        <w:t>Economist</w:t>
      </w:r>
      <w:proofErr w:type="spellEnd"/>
      <w:r w:rsidRPr="00EE003F">
        <w:rPr>
          <w:rFonts w:ascii="Arial Narrow" w:hAnsi="Arial Narrow"/>
          <w:sz w:val="24"/>
          <w:szCs w:val="24"/>
        </w:rPr>
        <w:t xml:space="preserve"> </w:t>
      </w:r>
      <w:proofErr w:type="spellStart"/>
      <w:r w:rsidRPr="00EE003F">
        <w:rPr>
          <w:rFonts w:ascii="Arial Narrow" w:hAnsi="Arial Narrow"/>
          <w:sz w:val="24"/>
          <w:szCs w:val="24"/>
        </w:rPr>
        <w:t>Intelligence</w:t>
      </w:r>
      <w:proofErr w:type="spellEnd"/>
      <w:r w:rsidRPr="00EE003F">
        <w:rPr>
          <w:rFonts w:ascii="Arial Narrow" w:hAnsi="Arial Narrow"/>
          <w:sz w:val="24"/>
          <w:szCs w:val="24"/>
        </w:rPr>
        <w:t xml:space="preserve"> </w:t>
      </w:r>
      <w:proofErr w:type="spellStart"/>
      <w:r w:rsidRPr="00EE003F">
        <w:rPr>
          <w:rFonts w:ascii="Arial Narrow" w:hAnsi="Arial Narrow"/>
          <w:sz w:val="24"/>
          <w:szCs w:val="24"/>
        </w:rPr>
        <w:t>Unit</w:t>
      </w:r>
      <w:proofErr w:type="spellEnd"/>
      <w:r w:rsidRPr="00EE003F">
        <w:rPr>
          <w:rFonts w:ascii="Arial Narrow" w:hAnsi="Arial Narrow"/>
          <w:sz w:val="24"/>
          <w:szCs w:val="24"/>
        </w:rPr>
        <w:t xml:space="preserve"> (EIU).</w:t>
      </w:r>
    </w:p>
    <w:p w:rsidR="00C86D99" w:rsidRPr="00EE003F" w:rsidRDefault="00C86D99" w:rsidP="004C55CE">
      <w:pPr>
        <w:jc w:val="both"/>
        <w:rPr>
          <w:rFonts w:ascii="Arial Narrow" w:hAnsi="Arial Narrow"/>
          <w:sz w:val="20"/>
          <w:szCs w:val="20"/>
        </w:rPr>
      </w:pPr>
    </w:p>
    <w:p w:rsidR="004C55CE" w:rsidRPr="00EE003F" w:rsidRDefault="004C55CE" w:rsidP="004C55CE">
      <w:pPr>
        <w:rPr>
          <w:rFonts w:ascii="Arial Narrow" w:hAnsi="Arial Narrow"/>
          <w:b/>
          <w:sz w:val="24"/>
          <w:szCs w:val="24"/>
        </w:rPr>
      </w:pPr>
      <w:r w:rsidRPr="00EE003F">
        <w:rPr>
          <w:rFonts w:ascii="Arial Narrow" w:hAnsi="Arial Narrow"/>
          <w:b/>
          <w:sz w:val="24"/>
          <w:szCs w:val="24"/>
        </w:rPr>
        <w:t>Proyecciones de crecimiento económico para el Perú</w:t>
      </w:r>
    </w:p>
    <w:p w:rsidR="00EE0E00" w:rsidRPr="00EE003F" w:rsidRDefault="0051781B" w:rsidP="004C55CE">
      <w:pPr>
        <w:jc w:val="both"/>
        <w:rPr>
          <w:rFonts w:ascii="Arial Narrow" w:hAnsi="Arial Narrow"/>
          <w:b/>
          <w:sz w:val="20"/>
          <w:szCs w:val="20"/>
        </w:rPr>
      </w:pPr>
      <w:r w:rsidRPr="00EE003F">
        <w:rPr>
          <w:noProof/>
          <w:lang w:eastAsia="es-PE"/>
        </w:rPr>
        <w:drawing>
          <wp:inline distT="0" distB="0" distL="0" distR="0" wp14:anchorId="7835F863" wp14:editId="736D73EA">
            <wp:extent cx="5398936" cy="6774511"/>
            <wp:effectExtent l="0" t="0" r="0" b="7620"/>
            <wp:docPr id="254"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6776693"/>
                    </a:xfrm>
                    <a:prstGeom prst="rect">
                      <a:avLst/>
                    </a:prstGeom>
                    <a:noFill/>
                    <a:extLst/>
                  </pic:spPr>
                </pic:pic>
              </a:graphicData>
            </a:graphic>
          </wp:inline>
        </w:drawing>
      </w:r>
    </w:p>
    <w:p w:rsidR="00EA63A7" w:rsidRPr="00EE003F" w:rsidRDefault="009E6861" w:rsidP="004629B0">
      <w:pPr>
        <w:jc w:val="both"/>
        <w:rPr>
          <w:rFonts w:ascii="Arial Narrow" w:hAnsi="Arial Narrow"/>
          <w:b/>
          <w:sz w:val="32"/>
          <w:szCs w:val="32"/>
        </w:rPr>
      </w:pPr>
      <w:r w:rsidRPr="00EE003F">
        <w:rPr>
          <w:rFonts w:ascii="Arial Narrow" w:hAnsi="Arial Narrow"/>
          <w:b/>
          <w:sz w:val="20"/>
          <w:szCs w:val="20"/>
        </w:rPr>
        <w:t>Fuente:</w:t>
      </w:r>
      <w:r w:rsidRPr="00EE003F">
        <w:rPr>
          <w:rFonts w:ascii="Arial Narrow" w:hAnsi="Arial Narrow"/>
          <w:sz w:val="20"/>
          <w:szCs w:val="20"/>
        </w:rPr>
        <w:t xml:space="preserve"> </w:t>
      </w:r>
      <w:r w:rsidR="007860C1" w:rsidRPr="00EE003F">
        <w:rPr>
          <w:rFonts w:ascii="Arial Narrow" w:hAnsi="Arial Narrow"/>
          <w:sz w:val="20"/>
          <w:szCs w:val="20"/>
        </w:rPr>
        <w:t xml:space="preserve">Marco Macroeconómico Multianual 2017-2019 (MEF), </w:t>
      </w:r>
      <w:r w:rsidRPr="00EE003F">
        <w:rPr>
          <w:rFonts w:ascii="Arial Narrow" w:hAnsi="Arial Narrow"/>
          <w:sz w:val="20"/>
          <w:szCs w:val="20"/>
        </w:rPr>
        <w:t>Informe Pre-</w:t>
      </w:r>
      <w:r w:rsidR="0040737B" w:rsidRPr="00EE003F">
        <w:rPr>
          <w:rFonts w:ascii="Arial Narrow" w:hAnsi="Arial Narrow"/>
          <w:sz w:val="20"/>
          <w:szCs w:val="20"/>
        </w:rPr>
        <w:t xml:space="preserve">electoral Administración 2011-2016 (MEF), BCRP, Modelo </w:t>
      </w:r>
      <w:proofErr w:type="spellStart"/>
      <w:r w:rsidR="0040737B" w:rsidRPr="00EE003F">
        <w:rPr>
          <w:rFonts w:ascii="Arial Narrow" w:hAnsi="Arial Narrow"/>
          <w:sz w:val="20"/>
          <w:szCs w:val="20"/>
        </w:rPr>
        <w:t>IFs-Ceplan</w:t>
      </w:r>
      <w:proofErr w:type="spellEnd"/>
    </w:p>
    <w:p w:rsidR="004D510E" w:rsidRPr="00EE003F" w:rsidRDefault="00465944" w:rsidP="009C05D7">
      <w:pPr>
        <w:pStyle w:val="Ttulo2"/>
        <w:jc w:val="left"/>
        <w:rPr>
          <w:rFonts w:asciiTheme="minorHAnsi" w:hAnsiTheme="minorHAnsi"/>
          <w:lang w:val="es-ES_tradnl"/>
        </w:rPr>
      </w:pPr>
      <w:bookmarkStart w:id="28" w:name="_Toc453004669"/>
      <w:r w:rsidRPr="00EE003F">
        <w:rPr>
          <w:rFonts w:asciiTheme="minorHAnsi" w:hAnsiTheme="minorHAnsi"/>
          <w:lang w:val="es-ES_tradnl"/>
        </w:rPr>
        <w:t>Visión del país con enfoque territorial</w:t>
      </w:r>
      <w:bookmarkEnd w:id="28"/>
    </w:p>
    <w:p w:rsidR="00416F5F" w:rsidRPr="00EE003F" w:rsidRDefault="00416F5F" w:rsidP="004648A4">
      <w:pPr>
        <w:jc w:val="both"/>
        <w:rPr>
          <w:rFonts w:ascii="Arial Narrow" w:hAnsi="Arial Narrow"/>
          <w:b/>
          <w:sz w:val="28"/>
          <w:szCs w:val="32"/>
        </w:rPr>
      </w:pPr>
      <w:r w:rsidRPr="00EE003F">
        <w:rPr>
          <w:rFonts w:ascii="Arial Narrow" w:hAnsi="Arial Narrow"/>
          <w:b/>
          <w:sz w:val="28"/>
          <w:szCs w:val="32"/>
        </w:rPr>
        <w:t>Elaborado en base a la Política de Estado</w:t>
      </w:r>
    </w:p>
    <w:p w:rsidR="004D510E" w:rsidRPr="00EE003F" w:rsidRDefault="00465944" w:rsidP="004648A4">
      <w:pPr>
        <w:jc w:val="both"/>
        <w:rPr>
          <w:rFonts w:ascii="Arial Narrow" w:hAnsi="Arial Narrow"/>
          <w:b/>
          <w:sz w:val="24"/>
          <w:szCs w:val="24"/>
        </w:rPr>
      </w:pPr>
      <w:r w:rsidRPr="00EE003F">
        <w:rPr>
          <w:rFonts w:ascii="Arial Narrow" w:hAnsi="Arial Narrow"/>
          <w:b/>
          <w:sz w:val="24"/>
          <w:szCs w:val="24"/>
        </w:rPr>
        <w:t>Caracterización del territorio peruano</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La caracterización del territorio peruano se realiza en función a la descripción y análisis actual del territorio y a partir de los sistemas que lo componen: contexto internacional, poblacional, relacional, ambiental, productivo, infraestructura de equipamiento y patrimonial, y las relaciones entre estos.</w:t>
      </w:r>
    </w:p>
    <w:p w:rsidR="004D510E"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El territorio peruano comprende una gran diversidad de culturas, el mar territorial, costa, sierra y selva. En ese sentido, la caracterización comprenderá los siguientes sistemas:</w:t>
      </w:r>
    </w:p>
    <w:p w:rsidR="00EA63A7" w:rsidRPr="00EE003F" w:rsidRDefault="00EA63A7" w:rsidP="001A4E17">
      <w:pPr>
        <w:rPr>
          <w:rFonts w:ascii="Arial Narrow" w:hAnsi="Arial Narrow"/>
          <w:b/>
          <w:sz w:val="24"/>
          <w:szCs w:val="24"/>
        </w:rPr>
      </w:pPr>
    </w:p>
    <w:p w:rsidR="004D510E" w:rsidRPr="00EE003F" w:rsidRDefault="00465944" w:rsidP="001A4E17">
      <w:pPr>
        <w:rPr>
          <w:rFonts w:ascii="Arial Narrow" w:hAnsi="Arial Narrow"/>
          <w:b/>
          <w:sz w:val="24"/>
          <w:szCs w:val="24"/>
        </w:rPr>
      </w:pPr>
      <w:r w:rsidRPr="00EE003F">
        <w:rPr>
          <w:rFonts w:ascii="Arial Narrow" w:hAnsi="Arial Narrow"/>
          <w:b/>
          <w:sz w:val="24"/>
          <w:szCs w:val="24"/>
        </w:rPr>
        <w:t>Sistemas territoriales</w:t>
      </w:r>
    </w:p>
    <w:tbl>
      <w:tblPr>
        <w:tblStyle w:val="Tablaconcuadrcula"/>
        <w:tblW w:w="0" w:type="auto"/>
        <w:tblLayout w:type="fixed"/>
        <w:tblLook w:val="0000" w:firstRow="0" w:lastRow="0" w:firstColumn="0" w:lastColumn="0" w:noHBand="0" w:noVBand="0"/>
      </w:tblPr>
      <w:tblGrid>
        <w:gridCol w:w="7710"/>
      </w:tblGrid>
      <w:tr w:rsidR="006E3336" w:rsidRPr="00EE003F" w:rsidTr="00C810AE">
        <w:trPr>
          <w:trHeight w:val="60"/>
        </w:trPr>
        <w:tc>
          <w:tcPr>
            <w:tcW w:w="7710" w:type="dxa"/>
          </w:tcPr>
          <w:p w:rsidR="00B7616D" w:rsidRPr="00EE003F" w:rsidRDefault="00B7616D" w:rsidP="00C810AE">
            <w:pPr>
              <w:pStyle w:val="BasicParagraph"/>
              <w:ind w:left="340"/>
              <w:rPr>
                <w:rFonts w:ascii="Arial Narrow" w:hAnsi="Arial Narrow"/>
                <w:color w:val="auto"/>
              </w:rPr>
            </w:pPr>
            <w:r w:rsidRPr="00EE003F">
              <w:rPr>
                <w:rStyle w:val="negritatablas"/>
                <w:rFonts w:ascii="Arial Narrow" w:hAnsi="Arial Narrow"/>
                <w:color w:val="auto"/>
              </w:rPr>
              <w:t>Contexto internacional</w:t>
            </w:r>
          </w:p>
        </w:tc>
      </w:tr>
      <w:tr w:rsidR="006E3336" w:rsidRPr="00EE003F" w:rsidTr="00C810AE">
        <w:trPr>
          <w:trHeight w:val="60"/>
        </w:trPr>
        <w:tc>
          <w:tcPr>
            <w:tcW w:w="7710" w:type="dxa"/>
          </w:tcPr>
          <w:p w:rsidR="00B7616D" w:rsidRPr="00EE003F" w:rsidRDefault="00B7616D" w:rsidP="00C810AE">
            <w:pPr>
              <w:pStyle w:val="BasicParagraph"/>
              <w:suppressAutoHyphens/>
              <w:spacing w:before="113"/>
              <w:rPr>
                <w:rFonts w:ascii="Arial Narrow" w:hAnsi="Arial Narrow"/>
                <w:color w:val="auto"/>
              </w:rPr>
            </w:pPr>
            <w:r w:rsidRPr="00EE003F">
              <w:rPr>
                <w:rStyle w:val="cuerpodetextotablas"/>
                <w:rFonts w:ascii="Arial Narrow" w:hAnsi="Arial Narrow"/>
                <w:color w:val="auto"/>
              </w:rPr>
              <w:t>Globalización, crisis económica, territorios emergentes, proyectos internacionales, etc.</w:t>
            </w:r>
          </w:p>
        </w:tc>
      </w:tr>
      <w:tr w:rsidR="006E3336" w:rsidRPr="00EE003F" w:rsidTr="00C810AE">
        <w:trPr>
          <w:trHeight w:val="60"/>
        </w:trPr>
        <w:tc>
          <w:tcPr>
            <w:tcW w:w="7710" w:type="dxa"/>
          </w:tcPr>
          <w:p w:rsidR="00B7616D" w:rsidRPr="00EE003F" w:rsidRDefault="00B7616D" w:rsidP="00C810AE">
            <w:pPr>
              <w:pStyle w:val="BasicParagraph"/>
              <w:ind w:left="340"/>
              <w:rPr>
                <w:rFonts w:ascii="Arial Narrow" w:hAnsi="Arial Narrow"/>
                <w:color w:val="auto"/>
              </w:rPr>
            </w:pPr>
            <w:r w:rsidRPr="00EE003F">
              <w:rPr>
                <w:rStyle w:val="negritatablas"/>
                <w:rFonts w:ascii="Arial Narrow" w:hAnsi="Arial Narrow"/>
                <w:color w:val="auto"/>
              </w:rPr>
              <w:t>Sistema poblacional</w:t>
            </w:r>
          </w:p>
        </w:tc>
      </w:tr>
      <w:tr w:rsidR="006E3336" w:rsidRPr="00EE003F" w:rsidTr="00C810AE">
        <w:trPr>
          <w:trHeight w:val="60"/>
        </w:trPr>
        <w:tc>
          <w:tcPr>
            <w:tcW w:w="7710" w:type="dxa"/>
          </w:tcPr>
          <w:p w:rsidR="00B7616D" w:rsidRPr="00EE003F" w:rsidRDefault="00B7616D" w:rsidP="00C810AE">
            <w:pPr>
              <w:pStyle w:val="BasicParagraph"/>
              <w:suppressAutoHyphens/>
              <w:spacing w:before="113"/>
              <w:rPr>
                <w:rFonts w:ascii="Arial Narrow" w:hAnsi="Arial Narrow"/>
                <w:color w:val="auto"/>
              </w:rPr>
            </w:pPr>
            <w:r w:rsidRPr="00EE003F">
              <w:rPr>
                <w:rStyle w:val="cuerpodetextotablas"/>
                <w:rFonts w:ascii="Arial Narrow" w:hAnsi="Arial Narrow"/>
                <w:color w:val="auto"/>
              </w:rPr>
              <w:t xml:space="preserve">Centros poblados, </w:t>
            </w:r>
            <w:proofErr w:type="spellStart"/>
            <w:r w:rsidRPr="00EE003F">
              <w:rPr>
                <w:rStyle w:val="cuerpodetextotablas"/>
                <w:rFonts w:ascii="Arial Narrow" w:hAnsi="Arial Narrow"/>
                <w:color w:val="auto"/>
              </w:rPr>
              <w:t>jerarquia</w:t>
            </w:r>
            <w:proofErr w:type="spellEnd"/>
            <w:r w:rsidRPr="00EE003F">
              <w:rPr>
                <w:rStyle w:val="cuerpodetextotablas"/>
                <w:rFonts w:ascii="Arial Narrow" w:hAnsi="Arial Narrow"/>
                <w:color w:val="auto"/>
              </w:rPr>
              <w:t>, rol y funciones, identificar áreas con población especialmente vulnerables, comunidades campesinas, nativas, etc.</w:t>
            </w:r>
          </w:p>
        </w:tc>
      </w:tr>
      <w:tr w:rsidR="006E3336" w:rsidRPr="00EE003F" w:rsidTr="00C810AE">
        <w:trPr>
          <w:trHeight w:val="60"/>
        </w:trPr>
        <w:tc>
          <w:tcPr>
            <w:tcW w:w="7710" w:type="dxa"/>
          </w:tcPr>
          <w:p w:rsidR="00B7616D" w:rsidRPr="00EE003F" w:rsidRDefault="00B7616D" w:rsidP="00C810AE">
            <w:pPr>
              <w:pStyle w:val="BasicParagraph"/>
              <w:ind w:left="340"/>
              <w:rPr>
                <w:rFonts w:ascii="Arial Narrow" w:hAnsi="Arial Narrow"/>
                <w:color w:val="auto"/>
              </w:rPr>
            </w:pPr>
            <w:r w:rsidRPr="00EE003F">
              <w:rPr>
                <w:rStyle w:val="negritatablas"/>
                <w:rFonts w:ascii="Arial Narrow" w:hAnsi="Arial Narrow"/>
                <w:color w:val="auto"/>
              </w:rPr>
              <w:t>Sistema relacional</w:t>
            </w:r>
          </w:p>
        </w:tc>
      </w:tr>
      <w:tr w:rsidR="006E3336" w:rsidRPr="00EE003F" w:rsidTr="00C810AE">
        <w:trPr>
          <w:trHeight w:val="60"/>
        </w:trPr>
        <w:tc>
          <w:tcPr>
            <w:tcW w:w="7710" w:type="dxa"/>
          </w:tcPr>
          <w:p w:rsidR="00B7616D" w:rsidRPr="00EE003F" w:rsidRDefault="00B7616D" w:rsidP="00C810AE">
            <w:pPr>
              <w:pStyle w:val="BasicParagraph"/>
              <w:suppressAutoHyphens/>
              <w:spacing w:before="113"/>
              <w:rPr>
                <w:rFonts w:ascii="Arial Narrow" w:hAnsi="Arial Narrow"/>
                <w:color w:val="auto"/>
              </w:rPr>
            </w:pPr>
            <w:r w:rsidRPr="00EE003F">
              <w:rPr>
                <w:rStyle w:val="cuerpodetextotablas"/>
                <w:rFonts w:ascii="Arial Narrow" w:hAnsi="Arial Narrow"/>
                <w:color w:val="auto"/>
              </w:rPr>
              <w:t>Principales redes de comunicación y transportes de viajeros y mercancías, redes de abastecimiento de agua, depuración, energía y telecomunicaciones</w:t>
            </w:r>
          </w:p>
        </w:tc>
      </w:tr>
      <w:tr w:rsidR="006E3336" w:rsidRPr="00EE003F" w:rsidTr="00C810AE">
        <w:trPr>
          <w:trHeight w:val="60"/>
        </w:trPr>
        <w:tc>
          <w:tcPr>
            <w:tcW w:w="7710" w:type="dxa"/>
          </w:tcPr>
          <w:p w:rsidR="00B7616D" w:rsidRPr="00EE003F" w:rsidRDefault="00B7616D" w:rsidP="00C810AE">
            <w:pPr>
              <w:pStyle w:val="BasicParagraph"/>
              <w:ind w:left="340"/>
              <w:rPr>
                <w:rFonts w:ascii="Arial Narrow" w:hAnsi="Arial Narrow"/>
                <w:color w:val="auto"/>
              </w:rPr>
            </w:pPr>
            <w:r w:rsidRPr="00EE003F">
              <w:rPr>
                <w:rStyle w:val="negritatablas"/>
                <w:rFonts w:ascii="Arial Narrow" w:hAnsi="Arial Narrow"/>
                <w:color w:val="auto"/>
              </w:rPr>
              <w:t>Sistema ambiental</w:t>
            </w:r>
          </w:p>
        </w:tc>
      </w:tr>
      <w:tr w:rsidR="006E3336" w:rsidRPr="00EE003F" w:rsidTr="00C810AE">
        <w:trPr>
          <w:trHeight w:val="60"/>
        </w:trPr>
        <w:tc>
          <w:tcPr>
            <w:tcW w:w="7710" w:type="dxa"/>
          </w:tcPr>
          <w:p w:rsidR="00B7616D" w:rsidRPr="00EE003F" w:rsidRDefault="00B7616D" w:rsidP="00C810AE">
            <w:pPr>
              <w:pStyle w:val="BasicParagraph"/>
              <w:suppressAutoHyphens/>
              <w:spacing w:before="113"/>
              <w:rPr>
                <w:rFonts w:ascii="Arial Narrow" w:hAnsi="Arial Narrow"/>
                <w:color w:val="auto"/>
              </w:rPr>
            </w:pPr>
            <w:r w:rsidRPr="00EE003F">
              <w:rPr>
                <w:rStyle w:val="cuerpodetextotablas"/>
                <w:rFonts w:ascii="Arial Narrow" w:hAnsi="Arial Narrow"/>
                <w:color w:val="auto"/>
              </w:rPr>
              <w:t>Áreas Naturales Protegidas (ANP), hidrografía principal, áreas con alto riesgo y zonas de topografía adversa.</w:t>
            </w:r>
          </w:p>
        </w:tc>
      </w:tr>
      <w:tr w:rsidR="006E3336" w:rsidRPr="00EE003F" w:rsidTr="00C810AE">
        <w:trPr>
          <w:trHeight w:val="60"/>
        </w:trPr>
        <w:tc>
          <w:tcPr>
            <w:tcW w:w="7710" w:type="dxa"/>
          </w:tcPr>
          <w:p w:rsidR="00B7616D" w:rsidRPr="00EE003F" w:rsidRDefault="00B7616D" w:rsidP="00C810AE">
            <w:pPr>
              <w:pStyle w:val="BasicParagraph"/>
              <w:ind w:left="340"/>
              <w:rPr>
                <w:rFonts w:ascii="Arial Narrow" w:hAnsi="Arial Narrow"/>
                <w:color w:val="auto"/>
              </w:rPr>
            </w:pPr>
            <w:r w:rsidRPr="00EE003F">
              <w:rPr>
                <w:rStyle w:val="negritatablas"/>
                <w:rFonts w:ascii="Arial Narrow" w:hAnsi="Arial Narrow"/>
                <w:color w:val="auto"/>
              </w:rPr>
              <w:t>Sistema productivo</w:t>
            </w:r>
          </w:p>
        </w:tc>
      </w:tr>
      <w:tr w:rsidR="006E3336" w:rsidRPr="00EE003F" w:rsidTr="00C810AE">
        <w:trPr>
          <w:trHeight w:val="60"/>
        </w:trPr>
        <w:tc>
          <w:tcPr>
            <w:tcW w:w="7710" w:type="dxa"/>
          </w:tcPr>
          <w:p w:rsidR="00B7616D" w:rsidRPr="00EE003F" w:rsidRDefault="00B7616D" w:rsidP="00C810AE">
            <w:pPr>
              <w:pStyle w:val="BasicParagraph"/>
              <w:suppressAutoHyphens/>
              <w:spacing w:before="113"/>
              <w:rPr>
                <w:rFonts w:ascii="Arial Narrow" w:hAnsi="Arial Narrow"/>
                <w:color w:val="auto"/>
              </w:rPr>
            </w:pPr>
            <w:r w:rsidRPr="00EE003F">
              <w:rPr>
                <w:rStyle w:val="cuerpodetextotablas"/>
                <w:rFonts w:ascii="Arial Narrow" w:hAnsi="Arial Narrow"/>
                <w:color w:val="auto"/>
              </w:rPr>
              <w:t>Zonas de producción agraria, zonas de utilización minera, concentración de actividades y áreas turísticas. (Reales y potenciales).</w:t>
            </w:r>
          </w:p>
        </w:tc>
      </w:tr>
      <w:tr w:rsidR="006E3336" w:rsidRPr="00EE003F" w:rsidTr="00C810AE">
        <w:trPr>
          <w:trHeight w:val="60"/>
        </w:trPr>
        <w:tc>
          <w:tcPr>
            <w:tcW w:w="7710" w:type="dxa"/>
          </w:tcPr>
          <w:p w:rsidR="00B7616D" w:rsidRPr="00EE003F" w:rsidRDefault="00B7616D" w:rsidP="00C810AE">
            <w:pPr>
              <w:pStyle w:val="BasicParagraph"/>
              <w:ind w:left="340"/>
              <w:rPr>
                <w:rFonts w:ascii="Arial Narrow" w:hAnsi="Arial Narrow"/>
                <w:color w:val="auto"/>
              </w:rPr>
            </w:pPr>
            <w:r w:rsidRPr="00EE003F">
              <w:rPr>
                <w:rStyle w:val="negritatablas"/>
                <w:rFonts w:ascii="Arial Narrow" w:hAnsi="Arial Narrow"/>
                <w:color w:val="auto"/>
              </w:rPr>
              <w:t xml:space="preserve">Sistema </w:t>
            </w:r>
            <w:proofErr w:type="spellStart"/>
            <w:r w:rsidRPr="00EE003F">
              <w:rPr>
                <w:rStyle w:val="negritatablas"/>
                <w:rFonts w:ascii="Arial Narrow" w:hAnsi="Arial Narrow"/>
                <w:color w:val="auto"/>
              </w:rPr>
              <w:t>equipamental</w:t>
            </w:r>
            <w:proofErr w:type="spellEnd"/>
          </w:p>
        </w:tc>
      </w:tr>
      <w:tr w:rsidR="006E3336" w:rsidRPr="00EE003F" w:rsidTr="00C810AE">
        <w:trPr>
          <w:trHeight w:val="60"/>
        </w:trPr>
        <w:tc>
          <w:tcPr>
            <w:tcW w:w="7710" w:type="dxa"/>
          </w:tcPr>
          <w:p w:rsidR="00B7616D" w:rsidRPr="00EE003F" w:rsidRDefault="00B7616D" w:rsidP="00C810AE">
            <w:pPr>
              <w:pStyle w:val="BasicParagraph"/>
              <w:suppressAutoHyphens/>
              <w:spacing w:before="113"/>
              <w:rPr>
                <w:rFonts w:ascii="Arial Narrow" w:hAnsi="Arial Narrow"/>
                <w:color w:val="auto"/>
              </w:rPr>
            </w:pPr>
            <w:r w:rsidRPr="00EE003F">
              <w:rPr>
                <w:rStyle w:val="cuerpodetextotablas"/>
                <w:rFonts w:ascii="Arial Narrow" w:hAnsi="Arial Narrow"/>
                <w:color w:val="auto"/>
              </w:rPr>
              <w:t>Principales infraestructuras de educación, salud, recreación, cultura y seguridad.</w:t>
            </w:r>
          </w:p>
        </w:tc>
      </w:tr>
      <w:tr w:rsidR="006E3336" w:rsidRPr="00EE003F" w:rsidTr="00C810AE">
        <w:trPr>
          <w:trHeight w:val="60"/>
        </w:trPr>
        <w:tc>
          <w:tcPr>
            <w:tcW w:w="7710" w:type="dxa"/>
          </w:tcPr>
          <w:p w:rsidR="00B7616D" w:rsidRPr="00EE003F" w:rsidRDefault="00B7616D" w:rsidP="00C810AE">
            <w:pPr>
              <w:pStyle w:val="BasicParagraph"/>
              <w:ind w:left="340"/>
              <w:rPr>
                <w:rFonts w:ascii="Arial Narrow" w:hAnsi="Arial Narrow"/>
                <w:color w:val="auto"/>
              </w:rPr>
            </w:pPr>
            <w:r w:rsidRPr="00EE003F">
              <w:rPr>
                <w:rStyle w:val="negritatablas"/>
                <w:rFonts w:ascii="Arial Narrow" w:hAnsi="Arial Narrow"/>
                <w:color w:val="auto"/>
              </w:rPr>
              <w:t>Sistema patrimonial</w:t>
            </w:r>
          </w:p>
        </w:tc>
      </w:tr>
      <w:tr w:rsidR="006E3336" w:rsidRPr="00EE003F" w:rsidTr="00C810AE">
        <w:trPr>
          <w:trHeight w:val="60"/>
        </w:trPr>
        <w:tc>
          <w:tcPr>
            <w:tcW w:w="7710" w:type="dxa"/>
          </w:tcPr>
          <w:p w:rsidR="00B7616D" w:rsidRPr="00EE003F" w:rsidRDefault="00B7616D" w:rsidP="00C810AE">
            <w:pPr>
              <w:pStyle w:val="BasicParagraph"/>
              <w:suppressAutoHyphens/>
              <w:spacing w:before="113"/>
              <w:rPr>
                <w:rFonts w:ascii="Arial Narrow" w:hAnsi="Arial Narrow"/>
                <w:color w:val="auto"/>
              </w:rPr>
            </w:pPr>
            <w:r w:rsidRPr="00EE003F">
              <w:rPr>
                <w:rStyle w:val="cuerpodetextotablas"/>
                <w:rFonts w:ascii="Arial Narrow" w:hAnsi="Arial Narrow"/>
                <w:color w:val="auto"/>
              </w:rPr>
              <w:t>Bienes de Patrimonio Cultural de la Nación</w:t>
            </w:r>
          </w:p>
        </w:tc>
      </w:tr>
    </w:tbl>
    <w:p w:rsidR="004D510E" w:rsidRPr="00EE003F" w:rsidRDefault="004D510E" w:rsidP="001A4E17">
      <w:pPr>
        <w:rPr>
          <w:rFonts w:ascii="Arial Narrow" w:hAnsi="Arial Narrow"/>
          <w:sz w:val="24"/>
          <w:szCs w:val="24"/>
        </w:rPr>
      </w:pP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La ubicación geopolítica del Perú en América Latina resulta estratégica de cara a las tendencias de desarrollo económico global. Su ubicación en la zona central de América del Sur, en el centro del área andina, conectado con la Amazonía y de cara al Pacífico, permite la integración y cooperación fronteriza, regional, subregional y hemisférica.</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En lo referente a las vías de comunicación, la presencia de los grandes ejes longitudinales (Carretera Panamericana, Longitudinal de la Sierra y Marginal de la Selva), sumados a los ejes trasversales constituidos por las vías interoceánicas Norte, Centro y Sur, significan un nuevo impulso a la cohesión territorial. Estas cumplen un papel importante en el desarrollo de las actividades sociales y económicas, al articular grandes territorios nacionales y facilitando la integración con los países vecinos. </w:t>
      </w:r>
    </w:p>
    <w:p w:rsidR="004D510E"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Estos ejes constituyen un gran motor para el desarrollo del mercado interno y el comercio internacional, con Ecuador y Colombia por el Norte, Brasil por el Este y Bolivia y Chile por el Sur. Conectan en su recorrido los siguientes ámbitos:</w:t>
      </w:r>
    </w:p>
    <w:p w:rsidR="00465944" w:rsidRPr="00EE003F" w:rsidRDefault="00465944" w:rsidP="00EA63A7">
      <w:pPr>
        <w:pStyle w:val="Prrafodelista"/>
        <w:numPr>
          <w:ilvl w:val="0"/>
          <w:numId w:val="1"/>
        </w:numPr>
        <w:spacing w:before="120" w:after="0" w:line="240" w:lineRule="auto"/>
        <w:jc w:val="both"/>
        <w:rPr>
          <w:rFonts w:ascii="Arial Narrow" w:hAnsi="Arial Narrow"/>
          <w:sz w:val="24"/>
          <w:szCs w:val="24"/>
        </w:rPr>
      </w:pPr>
      <w:r w:rsidRPr="00EE003F">
        <w:rPr>
          <w:rFonts w:ascii="Arial Narrow" w:hAnsi="Arial Narrow"/>
          <w:b/>
          <w:sz w:val="24"/>
          <w:szCs w:val="24"/>
        </w:rPr>
        <w:t>En el norte:</w:t>
      </w:r>
      <w:r w:rsidRPr="00EE003F">
        <w:rPr>
          <w:rFonts w:ascii="Arial Narrow" w:hAnsi="Arial Narrow"/>
          <w:sz w:val="24"/>
          <w:szCs w:val="24"/>
        </w:rPr>
        <w:t xml:space="preserve"> Paita, Olmos, Jaén, Tarapoto, </w:t>
      </w:r>
      <w:proofErr w:type="spellStart"/>
      <w:r w:rsidRPr="00EE003F">
        <w:rPr>
          <w:rFonts w:ascii="Arial Narrow" w:hAnsi="Arial Narrow"/>
          <w:sz w:val="24"/>
          <w:szCs w:val="24"/>
        </w:rPr>
        <w:t>Yurimaguas</w:t>
      </w:r>
      <w:proofErr w:type="spellEnd"/>
      <w:r w:rsidRPr="00EE003F">
        <w:rPr>
          <w:rFonts w:ascii="Arial Narrow" w:hAnsi="Arial Narrow"/>
          <w:sz w:val="24"/>
          <w:szCs w:val="24"/>
        </w:rPr>
        <w:t xml:space="preserve"> e Iquitos.</w:t>
      </w:r>
    </w:p>
    <w:p w:rsidR="00465944" w:rsidRPr="00EE003F" w:rsidRDefault="00465944" w:rsidP="00EA63A7">
      <w:pPr>
        <w:pStyle w:val="Prrafodelista"/>
        <w:numPr>
          <w:ilvl w:val="0"/>
          <w:numId w:val="1"/>
        </w:numPr>
        <w:spacing w:before="120" w:after="0" w:line="240" w:lineRule="auto"/>
        <w:jc w:val="both"/>
        <w:rPr>
          <w:rFonts w:ascii="Arial Narrow" w:hAnsi="Arial Narrow"/>
          <w:sz w:val="24"/>
          <w:szCs w:val="24"/>
        </w:rPr>
      </w:pPr>
      <w:r w:rsidRPr="00EE003F">
        <w:rPr>
          <w:rFonts w:ascii="Arial Narrow" w:hAnsi="Arial Narrow"/>
          <w:b/>
          <w:sz w:val="24"/>
          <w:szCs w:val="24"/>
        </w:rPr>
        <w:t>Eje Central:</w:t>
      </w:r>
      <w:r w:rsidRPr="00EE003F">
        <w:rPr>
          <w:rFonts w:ascii="Arial Narrow" w:hAnsi="Arial Narrow"/>
          <w:sz w:val="24"/>
          <w:szCs w:val="24"/>
        </w:rPr>
        <w:t xml:space="preserve"> Lima, La Oroya, Pasco, Huancayo, Huánuco, Tingo María y Pucallpa.</w:t>
      </w:r>
    </w:p>
    <w:p w:rsidR="004D510E" w:rsidRPr="00EE003F" w:rsidRDefault="00465944" w:rsidP="00EA63A7">
      <w:pPr>
        <w:pStyle w:val="Prrafodelista"/>
        <w:numPr>
          <w:ilvl w:val="0"/>
          <w:numId w:val="1"/>
        </w:numPr>
        <w:spacing w:before="120" w:after="0" w:line="240" w:lineRule="auto"/>
        <w:jc w:val="both"/>
        <w:rPr>
          <w:rFonts w:ascii="Arial Narrow" w:hAnsi="Arial Narrow"/>
          <w:sz w:val="24"/>
          <w:szCs w:val="24"/>
        </w:rPr>
      </w:pPr>
      <w:r w:rsidRPr="00EE003F">
        <w:rPr>
          <w:rFonts w:ascii="Arial Narrow" w:hAnsi="Arial Narrow"/>
          <w:b/>
          <w:sz w:val="24"/>
          <w:szCs w:val="24"/>
        </w:rPr>
        <w:t>Eje Sur:</w:t>
      </w:r>
      <w:r w:rsidRPr="00EE003F">
        <w:rPr>
          <w:rFonts w:ascii="Arial Narrow" w:hAnsi="Arial Narrow"/>
          <w:sz w:val="24"/>
          <w:szCs w:val="24"/>
        </w:rPr>
        <w:t xml:space="preserve"> Arequipa, Cusco, Tacna, Moquegua, Puno y Madre de Dios.</w:t>
      </w:r>
    </w:p>
    <w:p w:rsidR="004D510E"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En lo referido a los aspectos sociales y económicos, la dinámica poblacional del Perú demuestra que ha experimentado un aumento progresivo de la población. Al 2021, el Perú tendrá una población aproximada de 33 millones 150 mil habitantes, de los cuales cerca del 76% habitará en zonas urbanas. La población se concentrará principalmente en Lima, representando aproximadamente el 30.8% de la población nacional y otras zonas con alta población serán la costa norte y parte de la sierra centro y sur.</w:t>
      </w:r>
    </w:p>
    <w:p w:rsidR="00EA63A7" w:rsidRPr="00EE003F" w:rsidRDefault="00EA63A7" w:rsidP="00EA63A7">
      <w:pPr>
        <w:spacing w:before="120" w:after="0" w:line="240" w:lineRule="auto"/>
        <w:jc w:val="both"/>
        <w:rPr>
          <w:rFonts w:ascii="Arial Narrow" w:hAnsi="Arial Narrow"/>
          <w:sz w:val="24"/>
          <w:szCs w:val="24"/>
        </w:rPr>
      </w:pPr>
    </w:p>
    <w:p w:rsidR="004D510E" w:rsidRPr="00EE003F" w:rsidRDefault="00465944" w:rsidP="001A4E17">
      <w:pPr>
        <w:rPr>
          <w:rFonts w:ascii="Arial Narrow" w:hAnsi="Arial Narrow"/>
          <w:b/>
          <w:sz w:val="24"/>
          <w:szCs w:val="24"/>
        </w:rPr>
      </w:pPr>
      <w:r w:rsidRPr="00EE003F">
        <w:rPr>
          <w:rFonts w:ascii="Arial Narrow" w:hAnsi="Arial Narrow"/>
          <w:b/>
          <w:sz w:val="24"/>
          <w:szCs w:val="24"/>
        </w:rPr>
        <w:t>Perú: Población total proyectada al año 2021 por departamentos y sexo</w:t>
      </w:r>
    </w:p>
    <w:tbl>
      <w:tblPr>
        <w:tblStyle w:val="Tablaconcuadrcula"/>
        <w:tblW w:w="0" w:type="auto"/>
        <w:tblLayout w:type="fixed"/>
        <w:tblLook w:val="0000" w:firstRow="0" w:lastRow="0" w:firstColumn="0" w:lastColumn="0" w:noHBand="0" w:noVBand="0"/>
      </w:tblPr>
      <w:tblGrid>
        <w:gridCol w:w="1710"/>
        <w:gridCol w:w="1398"/>
        <w:gridCol w:w="1342"/>
        <w:gridCol w:w="1228"/>
        <w:gridCol w:w="1445"/>
      </w:tblGrid>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Style w:val="cuerpodetextotablas"/>
                <w:rFonts w:ascii="Arial Narrow" w:hAnsi="Arial Narrow"/>
                <w:color w:val="auto"/>
              </w:rPr>
            </w:pPr>
            <w:r w:rsidRPr="00EE003F">
              <w:rPr>
                <w:rStyle w:val="cuerpodetextotablas"/>
                <w:rFonts w:ascii="Arial Narrow" w:hAnsi="Arial Narrow"/>
                <w:color w:val="auto"/>
              </w:rPr>
              <w:t>Departamento</w:t>
            </w:r>
          </w:p>
        </w:tc>
        <w:tc>
          <w:tcPr>
            <w:tcW w:w="1398" w:type="dxa"/>
          </w:tcPr>
          <w:p w:rsidR="0029264A" w:rsidRPr="00EE003F" w:rsidRDefault="0029264A" w:rsidP="00962397">
            <w:pPr>
              <w:pStyle w:val="BasicParagraph"/>
              <w:suppressAutoHyphens/>
              <w:spacing w:line="240" w:lineRule="auto"/>
              <w:jc w:val="center"/>
              <w:rPr>
                <w:rStyle w:val="cuerpodetextotablas"/>
                <w:rFonts w:ascii="Arial Narrow" w:hAnsi="Arial Narrow"/>
                <w:color w:val="auto"/>
              </w:rPr>
            </w:pPr>
            <w:r w:rsidRPr="00EE003F">
              <w:rPr>
                <w:rStyle w:val="cuerpodetextotablas"/>
                <w:rFonts w:ascii="Arial Narrow" w:hAnsi="Arial Narrow"/>
                <w:color w:val="auto"/>
              </w:rPr>
              <w:t>Hombres</w:t>
            </w:r>
          </w:p>
        </w:tc>
        <w:tc>
          <w:tcPr>
            <w:tcW w:w="1342" w:type="dxa"/>
          </w:tcPr>
          <w:p w:rsidR="0029264A" w:rsidRPr="00EE003F" w:rsidRDefault="0029264A" w:rsidP="00962397">
            <w:pPr>
              <w:pStyle w:val="BasicParagraph"/>
              <w:suppressAutoHyphens/>
              <w:spacing w:line="240" w:lineRule="auto"/>
              <w:jc w:val="center"/>
              <w:rPr>
                <w:rStyle w:val="cuerpodetextotablas"/>
                <w:rFonts w:ascii="Arial Narrow" w:hAnsi="Arial Narrow"/>
                <w:color w:val="auto"/>
              </w:rPr>
            </w:pPr>
            <w:r w:rsidRPr="00EE003F">
              <w:rPr>
                <w:rStyle w:val="cuerpodetextotablas"/>
                <w:rFonts w:ascii="Arial Narrow" w:hAnsi="Arial Narrow"/>
                <w:color w:val="auto"/>
              </w:rPr>
              <w:t>Mujeres</w:t>
            </w:r>
          </w:p>
        </w:tc>
        <w:tc>
          <w:tcPr>
            <w:tcW w:w="1228" w:type="dxa"/>
          </w:tcPr>
          <w:p w:rsidR="0029264A" w:rsidRPr="00EE003F" w:rsidRDefault="00884CF0" w:rsidP="00962397">
            <w:pPr>
              <w:pStyle w:val="BasicParagraph"/>
              <w:suppressAutoHyphens/>
              <w:spacing w:line="240" w:lineRule="auto"/>
              <w:jc w:val="center"/>
              <w:rPr>
                <w:rStyle w:val="cuerpodetextotablas"/>
                <w:rFonts w:ascii="Arial Narrow" w:hAnsi="Arial Narrow"/>
                <w:color w:val="auto"/>
              </w:rPr>
            </w:pPr>
            <w:r w:rsidRPr="00EE003F">
              <w:rPr>
                <w:rStyle w:val="cuerpodetextotablas"/>
                <w:rFonts w:ascii="Arial Narrow" w:hAnsi="Arial Narrow"/>
                <w:color w:val="auto"/>
              </w:rPr>
              <w:t>T</w:t>
            </w:r>
            <w:r w:rsidR="0029264A" w:rsidRPr="00EE003F">
              <w:rPr>
                <w:rStyle w:val="cuerpodetextotablas"/>
                <w:rFonts w:ascii="Arial Narrow" w:hAnsi="Arial Narrow"/>
                <w:color w:val="auto"/>
              </w:rPr>
              <w:t>otal</w:t>
            </w:r>
          </w:p>
        </w:tc>
        <w:tc>
          <w:tcPr>
            <w:tcW w:w="1445" w:type="dxa"/>
          </w:tcPr>
          <w:p w:rsidR="0029264A" w:rsidRPr="00EE003F" w:rsidRDefault="0029264A" w:rsidP="00962397">
            <w:pPr>
              <w:pStyle w:val="BasicParagraph"/>
              <w:suppressAutoHyphens/>
              <w:spacing w:line="240" w:lineRule="auto"/>
              <w:jc w:val="center"/>
              <w:rPr>
                <w:rStyle w:val="cuerpodetextotablas"/>
                <w:rFonts w:ascii="Arial Narrow" w:hAnsi="Arial Narrow"/>
                <w:color w:val="auto"/>
              </w:rPr>
            </w:pPr>
            <w:r w:rsidRPr="00EE003F">
              <w:rPr>
                <w:rStyle w:val="cuerpodetextotablas"/>
                <w:rFonts w:ascii="Arial Narrow" w:hAnsi="Arial Narrow"/>
                <w:color w:val="auto"/>
              </w:rPr>
              <w:t>Porcentaje del total de la población</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Lima</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5 229 337</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5 535 091</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10 764 428</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32,47%</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La Libertad</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995 897</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999 810</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1 995 707</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6,02%</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Piura</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967 116</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960 085</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1 927 201</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5,81%</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Cajamarca</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779 514</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766 289</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1 545 803</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4,66%</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Puno</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752 923</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746 610</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1 499 533</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4,52%</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Junín</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710 675</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696 362</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1 407 037</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4,24%</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Arequipa</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678 467</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693 608</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1 372 075</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4,14%</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Cusco</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687 818</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671 066</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1 358 884</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4,10%</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Lambayeque</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639 006</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679 973</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1 318 979</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3,98%</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Áncash</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603 525</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578 730</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1 182 255</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3,57%</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Prov. Const. del Callao</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542 742</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552 832</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1 095 574</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3,30%</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Loreto</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570 747</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522 663</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1 093 410</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3,30%</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San Martín</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491 267</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413 471</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904 738</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2,73%</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Huánuco</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454 437</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439 352</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893 789</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2,70%</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Ica</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418 951</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413 288</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832 239</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2,51%</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Ayacucho</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376 556</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356 227</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732 783</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2,21%</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Ucayali</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279 705</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248 590</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528 295</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1,59%</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Huancavelica</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259 518</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255 130</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514 648</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1,55%</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Apurímac</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240 139</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228 881</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469 020</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1,41%</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Amazonas</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225 288</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202 413</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427 701</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1,29%</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Tacna</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189 170</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177 287</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366 457</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1,11%</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Pasco</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169 596</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147 056</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316 652</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0,96%</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 xml:space="preserve">Tumbes </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137 352</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116 646</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253 998</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0,77%</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Moquegua</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101 908</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89 603</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191 511</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0,58%</w:t>
            </w:r>
          </w:p>
        </w:tc>
      </w:tr>
      <w:tr w:rsidR="006E3336" w:rsidRPr="00EE003F" w:rsidTr="00C810AE">
        <w:trPr>
          <w:trHeight w:val="60"/>
        </w:trPr>
        <w:tc>
          <w:tcPr>
            <w:tcW w:w="1710"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Madre de Dios</w:t>
            </w:r>
          </w:p>
        </w:tc>
        <w:tc>
          <w:tcPr>
            <w:tcW w:w="139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89 661</w:t>
            </w:r>
          </w:p>
        </w:tc>
        <w:tc>
          <w:tcPr>
            <w:tcW w:w="1342"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66 638</w:t>
            </w:r>
          </w:p>
        </w:tc>
        <w:tc>
          <w:tcPr>
            <w:tcW w:w="1228"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156 299</w:t>
            </w:r>
          </w:p>
        </w:tc>
        <w:tc>
          <w:tcPr>
            <w:tcW w:w="1445" w:type="dxa"/>
          </w:tcPr>
          <w:p w:rsidR="0029264A" w:rsidRPr="00EE003F" w:rsidRDefault="0029264A" w:rsidP="00962397">
            <w:pPr>
              <w:pStyle w:val="BasicParagraph"/>
              <w:suppressAutoHyphens/>
              <w:spacing w:line="240" w:lineRule="auto"/>
              <w:jc w:val="center"/>
              <w:rPr>
                <w:rFonts w:ascii="Arial Narrow" w:hAnsi="Arial Narrow"/>
                <w:color w:val="auto"/>
              </w:rPr>
            </w:pPr>
            <w:r w:rsidRPr="00EE003F">
              <w:rPr>
                <w:rStyle w:val="cuerpodetextotablas"/>
                <w:rFonts w:ascii="Arial Narrow" w:hAnsi="Arial Narrow"/>
                <w:color w:val="auto"/>
              </w:rPr>
              <w:t>0,47%</w:t>
            </w:r>
          </w:p>
        </w:tc>
      </w:tr>
    </w:tbl>
    <w:p w:rsidR="000E6064" w:rsidRPr="00EE003F" w:rsidRDefault="000E6064" w:rsidP="004648A4">
      <w:pPr>
        <w:jc w:val="both"/>
        <w:rPr>
          <w:rFonts w:ascii="Arial Narrow" w:hAnsi="Arial Narrow"/>
          <w:i/>
          <w:sz w:val="24"/>
          <w:szCs w:val="24"/>
        </w:rPr>
      </w:pPr>
    </w:p>
    <w:p w:rsidR="00B51BD0" w:rsidRPr="00EE003F" w:rsidRDefault="00B51BD0" w:rsidP="00B51BD0">
      <w:pPr>
        <w:jc w:val="both"/>
        <w:rPr>
          <w:rFonts w:ascii="Arial Narrow" w:hAnsi="Arial Narrow"/>
          <w:sz w:val="20"/>
          <w:szCs w:val="24"/>
        </w:rPr>
      </w:pPr>
      <w:r w:rsidRPr="00EE003F">
        <w:rPr>
          <w:rFonts w:ascii="Arial Narrow" w:hAnsi="Arial Narrow"/>
          <w:sz w:val="20"/>
          <w:szCs w:val="24"/>
        </w:rPr>
        <w:t>Fuente: INEI (2009). Boletín 37 - Perú Estimaciones y Proyecciones de Población por Departamento sexo y grupo quinquenales de edad 1995-2025</w:t>
      </w:r>
    </w:p>
    <w:p w:rsidR="000E6064" w:rsidRPr="00EE003F" w:rsidRDefault="00B51BD0" w:rsidP="004648A4">
      <w:pPr>
        <w:jc w:val="both"/>
        <w:rPr>
          <w:rFonts w:ascii="Arial Narrow" w:hAnsi="Arial Narrow"/>
          <w:i/>
          <w:sz w:val="24"/>
          <w:szCs w:val="24"/>
        </w:rPr>
      </w:pPr>
      <w:r w:rsidRPr="00EE003F">
        <w:rPr>
          <w:rFonts w:ascii="Arial Narrow" w:hAnsi="Arial Narrow"/>
          <w:sz w:val="20"/>
          <w:szCs w:val="24"/>
        </w:rPr>
        <w:t xml:space="preserve">Elaboración: </w:t>
      </w:r>
      <w:proofErr w:type="spellStart"/>
      <w:r w:rsidRPr="00EE003F">
        <w:rPr>
          <w:rFonts w:ascii="Arial Narrow" w:hAnsi="Arial Narrow"/>
          <w:sz w:val="20"/>
          <w:szCs w:val="24"/>
        </w:rPr>
        <w:t>Ceplan</w:t>
      </w:r>
      <w:proofErr w:type="spellEnd"/>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Las tendencias de la población peruana señalan que, hacia el año 2021, Lima albergaría a más de 10 millones de personas manteniendo su protagonismo a nivel nacional y convirtiéndola en la única </w:t>
      </w:r>
      <w:proofErr w:type="spellStart"/>
      <w:r w:rsidRPr="00EE003F">
        <w:rPr>
          <w:rFonts w:ascii="Arial Narrow" w:hAnsi="Arial Narrow"/>
          <w:sz w:val="24"/>
          <w:szCs w:val="24"/>
        </w:rPr>
        <w:t>megaciudad</w:t>
      </w:r>
      <w:proofErr w:type="spellEnd"/>
      <w:r w:rsidRPr="00EE003F">
        <w:rPr>
          <w:rFonts w:ascii="Arial Narrow" w:hAnsi="Arial Narrow"/>
          <w:sz w:val="24"/>
          <w:szCs w:val="24"/>
        </w:rPr>
        <w:t xml:space="preserve"> del Perú. Esta situación tendrá su explicación en el incesante proceso de migración interna motivado por la representatividad de la capital en la producción nacional así como su estatus en términos de condiciones de vida. Otros departamentos que desatacan son La Libertad y Piura, centros de atracción de la población proveniente de los departamentos de Amazonas, Cajamarca y San Martín; además, destacan Cusco y Arequipa en el sur del país.</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De otro lado, la heterogeneidad del territorio peruano trae consigo la identificación de diversas zonas productivas y en muchos casos con un gran potencial de especialización y/o diversificación, como por ejemplo: las diferencias entre la costa norte, costa central y la costa de Ica y de los valles de Arequipa, Moquegua y Tacna, propicios a su vez para una cartera de productos diferenciados; o las altiplanicies de Puno y Cusco con el Valle del Mantaro, los Valles interandinos de Huancavelica, Apurímac, Ayacucho, Huánuco, Pasco y Cajamarca; o la Amazonía peruana, con notorias diferencias entre la biodiversidad de Madre de Dios, Ucayali, San Martín, Loreto y Amazonas; tomando especial atención en las poblaciones pertenecientes a comunidades campesinas y nativas.</w:t>
      </w:r>
    </w:p>
    <w:p w:rsidR="004D510E"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Todas estas características propias de los territorios tendrán que ser identificadas en los procesos de planeamiento regional para promover su desarrollo.</w:t>
      </w:r>
    </w:p>
    <w:p w:rsidR="00EA63A7" w:rsidRPr="00EE003F" w:rsidRDefault="00EA63A7" w:rsidP="00EA63A7">
      <w:pPr>
        <w:spacing w:before="120" w:after="0" w:line="240" w:lineRule="auto"/>
        <w:jc w:val="both"/>
        <w:rPr>
          <w:rFonts w:ascii="Arial Narrow" w:hAnsi="Arial Narrow"/>
          <w:sz w:val="24"/>
          <w:szCs w:val="24"/>
        </w:rPr>
      </w:pPr>
    </w:p>
    <w:p w:rsidR="004D510E" w:rsidRPr="00EE003F" w:rsidRDefault="00465944" w:rsidP="004648A4">
      <w:pPr>
        <w:jc w:val="both"/>
        <w:rPr>
          <w:rFonts w:ascii="Arial Narrow" w:hAnsi="Arial Narrow"/>
          <w:b/>
          <w:sz w:val="24"/>
          <w:szCs w:val="24"/>
        </w:rPr>
      </w:pPr>
      <w:r w:rsidRPr="00EE003F">
        <w:rPr>
          <w:rFonts w:ascii="Arial Narrow" w:hAnsi="Arial Narrow"/>
          <w:b/>
          <w:sz w:val="24"/>
          <w:szCs w:val="24"/>
        </w:rPr>
        <w:t>Planeamiento territorial nacional al 2021</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La construcción de la propuesta para el territorio nacional considera la complejidad del territorio peruano y el contexto internacional, así como su sostenibilidad.</w:t>
      </w:r>
    </w:p>
    <w:p w:rsidR="004D510E"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Se considera la dinámica económica y se construyen distintos escenarios, luego se analiza cómo estos condicionarán la dinámica urbana y la ocupación del territorio, y cuáles serán las implicancias e impactos en el desarrollo de nuevas infraestructuras y la prestación de servicios.</w:t>
      </w:r>
    </w:p>
    <w:p w:rsidR="00EA63A7" w:rsidRPr="00EE003F" w:rsidRDefault="00EA63A7" w:rsidP="00EA63A7">
      <w:pPr>
        <w:spacing w:before="120" w:after="0" w:line="240" w:lineRule="auto"/>
        <w:jc w:val="both"/>
        <w:rPr>
          <w:rFonts w:ascii="Arial Narrow" w:hAnsi="Arial Narrow"/>
          <w:sz w:val="24"/>
          <w:szCs w:val="24"/>
        </w:rPr>
      </w:pPr>
    </w:p>
    <w:p w:rsidR="004D510E" w:rsidRPr="00EE003F" w:rsidRDefault="0029264A" w:rsidP="004648A4">
      <w:pPr>
        <w:jc w:val="both"/>
        <w:rPr>
          <w:rFonts w:ascii="Arial Narrow" w:hAnsi="Arial Narrow"/>
          <w:sz w:val="24"/>
          <w:szCs w:val="24"/>
        </w:rPr>
      </w:pPr>
      <w:r w:rsidRPr="00EE003F">
        <w:rPr>
          <w:rFonts w:ascii="Arial Narrow" w:hAnsi="Arial Narrow"/>
          <w:noProof/>
          <w:lang w:eastAsia="es-PE"/>
        </w:rPr>
        <w:drawing>
          <wp:inline distT="0" distB="0" distL="0" distR="0" wp14:anchorId="5486462B" wp14:editId="3E3EC393">
            <wp:extent cx="3689350" cy="3260090"/>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9350" cy="3260090"/>
                    </a:xfrm>
                    <a:prstGeom prst="rect">
                      <a:avLst/>
                    </a:prstGeom>
                    <a:noFill/>
                    <a:ln>
                      <a:noFill/>
                    </a:ln>
                  </pic:spPr>
                </pic:pic>
              </a:graphicData>
            </a:graphic>
          </wp:inline>
        </w:drawing>
      </w:r>
    </w:p>
    <w:p w:rsidR="004D510E" w:rsidRPr="00EE003F" w:rsidRDefault="004D510E" w:rsidP="004648A4">
      <w:pPr>
        <w:jc w:val="both"/>
        <w:rPr>
          <w:rFonts w:ascii="Arial Narrow" w:hAnsi="Arial Narrow"/>
          <w:sz w:val="24"/>
          <w:szCs w:val="24"/>
        </w:rPr>
      </w:pP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Bajo esta premisa, la propuesta proyecta las políticas que promueven la cohesión del territorio en sus aspectos físicos, económicos, sociales y culturales, en los distintos niveles de gobierno (nacional, regional y local). Se basa en el desarrollo de una red de ciudades sostenibles y asegura la provisión de infraestructura productiva, adecuada y de calidad, para favorecer la integración, la competitividad y la productividad del país.</w:t>
      </w:r>
    </w:p>
    <w:p w:rsidR="004D510E"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La propuesta toma en cuenta la </w:t>
      </w:r>
      <w:r w:rsidR="00F543D0" w:rsidRPr="00EE003F">
        <w:rPr>
          <w:rFonts w:ascii="Arial Narrow" w:hAnsi="Arial Narrow"/>
          <w:sz w:val="24"/>
          <w:szCs w:val="24"/>
        </w:rPr>
        <w:t>v</w:t>
      </w:r>
      <w:r w:rsidRPr="00EE003F">
        <w:rPr>
          <w:rFonts w:ascii="Arial Narrow" w:hAnsi="Arial Narrow"/>
          <w:sz w:val="24"/>
          <w:szCs w:val="24"/>
        </w:rPr>
        <w:t xml:space="preserve">isión compartida de futuro que se tiene como país, así como la integración de los diversos componentes hasta aquí señalados: condiciones de desarrollo sociocultural y económico, características productivas con base en las potencialidades de los territorios, vías de integración longitudinal y transversal, así como el potencial beneficio de integración con los países </w:t>
      </w:r>
      <w:r w:rsidR="00B12004" w:rsidRPr="00EE003F">
        <w:rPr>
          <w:rFonts w:ascii="Arial Narrow" w:hAnsi="Arial Narrow"/>
          <w:sz w:val="24"/>
          <w:szCs w:val="24"/>
        </w:rPr>
        <w:t>fronterizos</w:t>
      </w:r>
      <w:r w:rsidR="0040737B" w:rsidRPr="00EE003F">
        <w:rPr>
          <w:rStyle w:val="Refdenotaalpie"/>
          <w:rFonts w:ascii="Arial Narrow" w:hAnsi="Arial Narrow"/>
          <w:sz w:val="24"/>
          <w:szCs w:val="24"/>
        </w:rPr>
        <w:footnoteReference w:id="21"/>
      </w:r>
      <w:r w:rsidR="0040737B" w:rsidRPr="00EE003F">
        <w:rPr>
          <w:rFonts w:ascii="Arial Narrow" w:hAnsi="Arial Narrow"/>
          <w:sz w:val="24"/>
          <w:szCs w:val="24"/>
        </w:rPr>
        <w:t>.</w:t>
      </w:r>
    </w:p>
    <w:p w:rsidR="00465944" w:rsidRPr="00EE003F" w:rsidRDefault="0029264A" w:rsidP="001A4E17">
      <w:pPr>
        <w:rPr>
          <w:rFonts w:ascii="Arial Narrow" w:hAnsi="Arial Narrow"/>
          <w:sz w:val="24"/>
          <w:szCs w:val="24"/>
        </w:rPr>
      </w:pPr>
      <w:r w:rsidRPr="00EE003F">
        <w:rPr>
          <w:rFonts w:ascii="Arial Narrow" w:hAnsi="Arial Narrow"/>
          <w:noProof/>
          <w:lang w:eastAsia="es-PE"/>
        </w:rPr>
        <w:drawing>
          <wp:inline distT="0" distB="0" distL="0" distR="0" wp14:anchorId="08E1C415" wp14:editId="582C1FC3">
            <wp:extent cx="4563745" cy="6655435"/>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3745" cy="6655435"/>
                    </a:xfrm>
                    <a:prstGeom prst="rect">
                      <a:avLst/>
                    </a:prstGeom>
                    <a:noFill/>
                    <a:ln>
                      <a:noFill/>
                    </a:ln>
                  </pic:spPr>
                </pic:pic>
              </a:graphicData>
            </a:graphic>
          </wp:inline>
        </w:drawing>
      </w:r>
    </w:p>
    <w:p w:rsidR="00465944" w:rsidRPr="00EE003F" w:rsidRDefault="00465944" w:rsidP="00465944">
      <w:pPr>
        <w:rPr>
          <w:rFonts w:ascii="Arial Narrow" w:hAnsi="Arial Narrow"/>
          <w:sz w:val="20"/>
          <w:szCs w:val="20"/>
        </w:rPr>
      </w:pPr>
      <w:r w:rsidRPr="00EE003F">
        <w:rPr>
          <w:rFonts w:ascii="Arial Narrow" w:hAnsi="Arial Narrow"/>
          <w:sz w:val="20"/>
          <w:szCs w:val="20"/>
        </w:rPr>
        <w:t>Los límites político administrativos son referenciales en tanto se realiza la demarcación territorial a nivel nacional.</w:t>
      </w:r>
    </w:p>
    <w:p w:rsidR="00465944" w:rsidRPr="00EE003F" w:rsidRDefault="00465944" w:rsidP="004648A4">
      <w:pPr>
        <w:jc w:val="both"/>
        <w:rPr>
          <w:rFonts w:ascii="Arial Narrow" w:hAnsi="Arial Narrow"/>
          <w:sz w:val="20"/>
          <w:szCs w:val="20"/>
        </w:rPr>
      </w:pPr>
      <w:r w:rsidRPr="00EE003F">
        <w:rPr>
          <w:rFonts w:ascii="Arial Narrow" w:hAnsi="Arial Narrow"/>
          <w:sz w:val="20"/>
          <w:szCs w:val="20"/>
        </w:rPr>
        <w:t xml:space="preserve">Fuente: MTC y varios en CEPLAN (2011).Documento de </w:t>
      </w:r>
      <w:r w:rsidR="00A95F7E" w:rsidRPr="00EE003F">
        <w:rPr>
          <w:rFonts w:ascii="Arial Narrow" w:hAnsi="Arial Narrow"/>
          <w:sz w:val="20"/>
          <w:szCs w:val="20"/>
        </w:rPr>
        <w:t xml:space="preserve">trabajo </w:t>
      </w:r>
      <w:r w:rsidRPr="00EE003F">
        <w:rPr>
          <w:rFonts w:ascii="Arial Narrow" w:hAnsi="Arial Narrow"/>
          <w:sz w:val="20"/>
          <w:szCs w:val="20"/>
        </w:rPr>
        <w:t>N° 14.</w:t>
      </w:r>
    </w:p>
    <w:p w:rsidR="00465944" w:rsidRPr="00EE003F" w:rsidRDefault="00465944" w:rsidP="004648A4">
      <w:pPr>
        <w:jc w:val="both"/>
        <w:rPr>
          <w:rFonts w:ascii="Arial Narrow" w:hAnsi="Arial Narrow"/>
          <w:b/>
          <w:sz w:val="24"/>
          <w:szCs w:val="24"/>
        </w:rPr>
      </w:pPr>
      <w:r w:rsidRPr="00EE003F">
        <w:rPr>
          <w:rFonts w:ascii="Arial Narrow" w:hAnsi="Arial Narrow"/>
          <w:b/>
          <w:sz w:val="24"/>
          <w:szCs w:val="24"/>
        </w:rPr>
        <w:t xml:space="preserve">Espacios Transversales de Planificación </w:t>
      </w:r>
      <w:proofErr w:type="spellStart"/>
      <w:r w:rsidRPr="00EE003F">
        <w:rPr>
          <w:rFonts w:ascii="Arial Narrow" w:hAnsi="Arial Narrow"/>
          <w:b/>
          <w:sz w:val="24"/>
          <w:szCs w:val="24"/>
        </w:rPr>
        <w:t>Macroregional</w:t>
      </w:r>
      <w:proofErr w:type="spellEnd"/>
      <w:r w:rsidRPr="00EE003F">
        <w:rPr>
          <w:rFonts w:ascii="Arial Narrow" w:hAnsi="Arial Narrow"/>
          <w:b/>
          <w:sz w:val="24"/>
          <w:szCs w:val="24"/>
        </w:rPr>
        <w:t xml:space="preserve"> – ETPM</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Los ETPM son áreas marco para la planificación y gestión de acciones de desarrollo, donde los gobiernos regionales y locales pueden trabajar en forma conjunta para buscar el desarrollo socioeconómico interno, aprovechando su interrelación a través de los corredores económicos logísticos, generando espacios de cohesión territorial organizados en sistemas de ciudades sostenibles.</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Los ETPM se establecen para lograr convergencia productiva y </w:t>
      </w:r>
      <w:proofErr w:type="spellStart"/>
      <w:r w:rsidRPr="00EE003F">
        <w:rPr>
          <w:rFonts w:ascii="Arial Narrow" w:hAnsi="Arial Narrow"/>
          <w:sz w:val="24"/>
          <w:szCs w:val="24"/>
        </w:rPr>
        <w:t>asociatividad</w:t>
      </w:r>
      <w:proofErr w:type="spellEnd"/>
      <w:r w:rsidRPr="00EE003F">
        <w:rPr>
          <w:rFonts w:ascii="Arial Narrow" w:hAnsi="Arial Narrow"/>
          <w:sz w:val="24"/>
          <w:szCs w:val="24"/>
        </w:rPr>
        <w:t xml:space="preserve">, y permiten una visión integral de desarrollo. Además, buscan un desarrollo más equitativo </w:t>
      </w:r>
      <w:proofErr w:type="spellStart"/>
      <w:r w:rsidRPr="00EE003F">
        <w:rPr>
          <w:rFonts w:ascii="Arial Narrow" w:hAnsi="Arial Narrow"/>
          <w:sz w:val="24"/>
          <w:szCs w:val="24"/>
        </w:rPr>
        <w:t>intra</w:t>
      </w:r>
      <w:proofErr w:type="spellEnd"/>
      <w:r w:rsidR="00010811" w:rsidRPr="00EE003F">
        <w:rPr>
          <w:rFonts w:ascii="Arial Narrow" w:hAnsi="Arial Narrow"/>
          <w:sz w:val="24"/>
          <w:szCs w:val="24"/>
        </w:rPr>
        <w:t xml:space="preserve"> </w:t>
      </w:r>
      <w:r w:rsidRPr="00EE003F">
        <w:rPr>
          <w:rFonts w:ascii="Arial Narrow" w:hAnsi="Arial Narrow"/>
          <w:sz w:val="24"/>
          <w:szCs w:val="24"/>
        </w:rPr>
        <w:t>e interregional, que integra el mar territorial, la costa, sierra y selva. La articulación se</w:t>
      </w:r>
      <w:r w:rsidR="00010811" w:rsidRPr="00EE003F">
        <w:rPr>
          <w:rFonts w:ascii="Arial Narrow" w:hAnsi="Arial Narrow"/>
          <w:sz w:val="24"/>
          <w:szCs w:val="24"/>
        </w:rPr>
        <w:t xml:space="preserve"> </w:t>
      </w:r>
      <w:r w:rsidRPr="00EE003F">
        <w:rPr>
          <w:rFonts w:ascii="Arial Narrow" w:hAnsi="Arial Narrow"/>
          <w:sz w:val="24"/>
          <w:szCs w:val="24"/>
        </w:rPr>
        <w:t>da con el fin de generar proyectos, infraestructura, provisión de servicios y cadenas</w:t>
      </w:r>
      <w:r w:rsidR="00010811" w:rsidRPr="00EE003F">
        <w:rPr>
          <w:rFonts w:ascii="Arial Narrow" w:hAnsi="Arial Narrow"/>
          <w:sz w:val="24"/>
          <w:szCs w:val="24"/>
        </w:rPr>
        <w:t xml:space="preserve"> </w:t>
      </w:r>
      <w:r w:rsidRPr="00EE003F">
        <w:rPr>
          <w:rFonts w:ascii="Arial Narrow" w:hAnsi="Arial Narrow"/>
          <w:sz w:val="24"/>
          <w:szCs w:val="24"/>
        </w:rPr>
        <w:t>productivas, clúster, conglomerados, mercados internos y externos.</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El planteamiento de estos espacios </w:t>
      </w:r>
      <w:proofErr w:type="spellStart"/>
      <w:r w:rsidRPr="00EE003F">
        <w:rPr>
          <w:rFonts w:ascii="Arial Narrow" w:hAnsi="Arial Narrow"/>
          <w:sz w:val="24"/>
          <w:szCs w:val="24"/>
        </w:rPr>
        <w:t>supradepartamentales</w:t>
      </w:r>
      <w:proofErr w:type="spellEnd"/>
      <w:r w:rsidRPr="00EE003F">
        <w:rPr>
          <w:rFonts w:ascii="Arial Narrow" w:hAnsi="Arial Narrow"/>
          <w:sz w:val="24"/>
          <w:szCs w:val="24"/>
        </w:rPr>
        <w:t xml:space="preserve"> no interfiere con la</w:t>
      </w:r>
      <w:r w:rsidR="00010811" w:rsidRPr="00EE003F">
        <w:rPr>
          <w:rFonts w:ascii="Arial Narrow" w:hAnsi="Arial Narrow"/>
          <w:sz w:val="24"/>
          <w:szCs w:val="24"/>
        </w:rPr>
        <w:t xml:space="preserve"> </w:t>
      </w:r>
      <w:r w:rsidRPr="00EE003F">
        <w:rPr>
          <w:rFonts w:ascii="Arial Narrow" w:hAnsi="Arial Narrow"/>
          <w:sz w:val="24"/>
          <w:szCs w:val="24"/>
        </w:rPr>
        <w:t>construcción de espacios regionales que promueven los procesos de desconcentración</w:t>
      </w:r>
      <w:r w:rsidR="00010811" w:rsidRPr="00EE003F">
        <w:rPr>
          <w:rFonts w:ascii="Arial Narrow" w:hAnsi="Arial Narrow"/>
          <w:sz w:val="24"/>
          <w:szCs w:val="24"/>
        </w:rPr>
        <w:t xml:space="preserve"> </w:t>
      </w:r>
      <w:r w:rsidRPr="00EE003F">
        <w:rPr>
          <w:rFonts w:ascii="Arial Narrow" w:hAnsi="Arial Narrow"/>
          <w:sz w:val="24"/>
          <w:szCs w:val="24"/>
        </w:rPr>
        <w:t>y descentralización, y que corresponden a procesos políticos. Se trata de una mirada</w:t>
      </w:r>
      <w:r w:rsidR="00010811" w:rsidRPr="00EE003F">
        <w:rPr>
          <w:rFonts w:ascii="Arial Narrow" w:hAnsi="Arial Narrow"/>
          <w:sz w:val="24"/>
          <w:szCs w:val="24"/>
        </w:rPr>
        <w:t xml:space="preserve"> </w:t>
      </w:r>
      <w:r w:rsidRPr="00EE003F">
        <w:rPr>
          <w:rFonts w:ascii="Arial Narrow" w:hAnsi="Arial Narrow"/>
          <w:sz w:val="24"/>
          <w:szCs w:val="24"/>
        </w:rPr>
        <w:t>integral del territorio y de acciones consensuadas de efecto sinérgico entre los</w:t>
      </w:r>
      <w:r w:rsidR="00010811" w:rsidRPr="00EE003F">
        <w:rPr>
          <w:rFonts w:ascii="Arial Narrow" w:hAnsi="Arial Narrow"/>
          <w:sz w:val="24"/>
          <w:szCs w:val="24"/>
        </w:rPr>
        <w:t xml:space="preserve"> </w:t>
      </w:r>
      <w:r w:rsidRPr="00EE003F">
        <w:rPr>
          <w:rFonts w:ascii="Arial Narrow" w:hAnsi="Arial Narrow"/>
          <w:sz w:val="24"/>
          <w:szCs w:val="24"/>
        </w:rPr>
        <w:t>gobiernos existentes y mejora la articulación entre los tres niveles de gobierno.</w:t>
      </w:r>
    </w:p>
    <w:p w:rsidR="00010811"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Considera la correspondencia entre la población -distribución, actividades, demanda</w:t>
      </w:r>
      <w:r w:rsidR="00010811" w:rsidRPr="00EE003F">
        <w:rPr>
          <w:rFonts w:ascii="Arial Narrow" w:hAnsi="Arial Narrow"/>
          <w:sz w:val="24"/>
          <w:szCs w:val="24"/>
        </w:rPr>
        <w:t xml:space="preserve"> </w:t>
      </w:r>
      <w:r w:rsidRPr="00EE003F">
        <w:rPr>
          <w:rFonts w:ascii="Arial Narrow" w:hAnsi="Arial Narrow"/>
          <w:sz w:val="24"/>
          <w:szCs w:val="24"/>
        </w:rPr>
        <w:t>de servicios, la sostenibilidad de las condiciones ambientales y las potencialidades,</w:t>
      </w:r>
      <w:r w:rsidR="00010811" w:rsidRPr="00EE003F">
        <w:rPr>
          <w:rFonts w:ascii="Arial Narrow" w:hAnsi="Arial Narrow"/>
          <w:sz w:val="24"/>
          <w:szCs w:val="24"/>
        </w:rPr>
        <w:t xml:space="preserve"> </w:t>
      </w:r>
      <w:r w:rsidRPr="00EE003F">
        <w:rPr>
          <w:rFonts w:ascii="Arial Narrow" w:hAnsi="Arial Narrow"/>
          <w:sz w:val="24"/>
          <w:szCs w:val="24"/>
        </w:rPr>
        <w:t>limitaciones y disponibilidad de los recursos. Así como, las condiciones para integrarse</w:t>
      </w:r>
      <w:r w:rsidR="00010811" w:rsidRPr="00EE003F">
        <w:rPr>
          <w:rFonts w:ascii="Arial Narrow" w:hAnsi="Arial Narrow"/>
          <w:sz w:val="24"/>
          <w:szCs w:val="24"/>
        </w:rPr>
        <w:t xml:space="preserve"> </w:t>
      </w:r>
      <w:r w:rsidRPr="00EE003F">
        <w:rPr>
          <w:rFonts w:ascii="Arial Narrow" w:hAnsi="Arial Narrow"/>
          <w:sz w:val="24"/>
          <w:szCs w:val="24"/>
        </w:rPr>
        <w:t>al proceso de globalización, superando las desventajas existentes.</w:t>
      </w:r>
      <w:r w:rsidR="00010811" w:rsidRPr="00EE003F">
        <w:rPr>
          <w:rFonts w:ascii="Arial Narrow" w:hAnsi="Arial Narrow"/>
          <w:sz w:val="24"/>
          <w:szCs w:val="24"/>
        </w:rPr>
        <w:t xml:space="preserve"> </w:t>
      </w:r>
    </w:p>
    <w:p w:rsidR="00010811"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Se busca fomentar el desarrollo interno del país dentro de los Espacios Transversales</w:t>
      </w:r>
      <w:r w:rsidR="00010811" w:rsidRPr="00EE003F">
        <w:rPr>
          <w:rFonts w:ascii="Arial Narrow" w:hAnsi="Arial Narrow"/>
          <w:sz w:val="24"/>
          <w:szCs w:val="24"/>
        </w:rPr>
        <w:t xml:space="preserve"> </w:t>
      </w:r>
      <w:r w:rsidRPr="00EE003F">
        <w:rPr>
          <w:rFonts w:ascii="Arial Narrow" w:hAnsi="Arial Narrow"/>
          <w:sz w:val="24"/>
          <w:szCs w:val="24"/>
        </w:rPr>
        <w:t xml:space="preserve">de Planificación </w:t>
      </w:r>
      <w:proofErr w:type="spellStart"/>
      <w:r w:rsidRPr="00EE003F">
        <w:rPr>
          <w:rFonts w:ascii="Arial Narrow" w:hAnsi="Arial Narrow"/>
          <w:sz w:val="24"/>
          <w:szCs w:val="24"/>
        </w:rPr>
        <w:t>Macroregional</w:t>
      </w:r>
      <w:proofErr w:type="spellEnd"/>
      <w:r w:rsidRPr="00EE003F">
        <w:rPr>
          <w:rFonts w:ascii="Arial Narrow" w:hAnsi="Arial Narrow"/>
          <w:sz w:val="24"/>
          <w:szCs w:val="24"/>
        </w:rPr>
        <w:t>, a través de los ejes transversales y longitudinales,</w:t>
      </w:r>
      <w:r w:rsidR="00010811" w:rsidRPr="00EE003F">
        <w:rPr>
          <w:rFonts w:ascii="Arial Narrow" w:hAnsi="Arial Narrow"/>
          <w:sz w:val="24"/>
          <w:szCs w:val="24"/>
        </w:rPr>
        <w:t xml:space="preserve"> </w:t>
      </w:r>
      <w:r w:rsidRPr="00EE003F">
        <w:rPr>
          <w:rFonts w:ascii="Arial Narrow" w:hAnsi="Arial Narrow"/>
          <w:sz w:val="24"/>
          <w:szCs w:val="24"/>
        </w:rPr>
        <w:t>convirtiéndose estos en los ejes principales de la red de carreteras que integrarán</w:t>
      </w:r>
      <w:r w:rsidR="00010811" w:rsidRPr="00EE003F">
        <w:rPr>
          <w:rFonts w:ascii="Arial Narrow" w:hAnsi="Arial Narrow"/>
          <w:sz w:val="24"/>
          <w:szCs w:val="24"/>
        </w:rPr>
        <w:t xml:space="preserve"> </w:t>
      </w:r>
      <w:r w:rsidRPr="00EE003F">
        <w:rPr>
          <w:rFonts w:ascii="Arial Narrow" w:hAnsi="Arial Narrow"/>
          <w:sz w:val="24"/>
          <w:szCs w:val="24"/>
        </w:rPr>
        <w:t>el territorio nacional, incrementando la conectividad y el acceso a las zonas menos</w:t>
      </w:r>
      <w:r w:rsidR="00010811" w:rsidRPr="00EE003F">
        <w:rPr>
          <w:rFonts w:ascii="Arial Narrow" w:hAnsi="Arial Narrow"/>
          <w:sz w:val="24"/>
          <w:szCs w:val="24"/>
        </w:rPr>
        <w:t xml:space="preserve"> </w:t>
      </w:r>
      <w:r w:rsidRPr="00EE003F">
        <w:rPr>
          <w:rFonts w:ascii="Arial Narrow" w:hAnsi="Arial Narrow"/>
          <w:sz w:val="24"/>
          <w:szCs w:val="24"/>
        </w:rPr>
        <w:t>desarrolladas. De esta manera se fomentarán las actividades económicas internas</w:t>
      </w:r>
      <w:r w:rsidR="00010811" w:rsidRPr="00EE003F">
        <w:rPr>
          <w:rFonts w:ascii="Arial Narrow" w:hAnsi="Arial Narrow"/>
          <w:sz w:val="24"/>
          <w:szCs w:val="24"/>
        </w:rPr>
        <w:t xml:space="preserve"> </w:t>
      </w:r>
      <w:r w:rsidRPr="00EE003F">
        <w:rPr>
          <w:rFonts w:ascii="Arial Narrow" w:hAnsi="Arial Narrow"/>
          <w:sz w:val="24"/>
          <w:szCs w:val="24"/>
        </w:rPr>
        <w:t>generando empleo, superando los desequilibrios territoriales, desarrollando las fronteras</w:t>
      </w:r>
      <w:r w:rsidR="00010811" w:rsidRPr="00EE003F">
        <w:rPr>
          <w:rFonts w:ascii="Arial Narrow" w:hAnsi="Arial Narrow"/>
          <w:sz w:val="24"/>
          <w:szCs w:val="24"/>
        </w:rPr>
        <w:t xml:space="preserve"> </w:t>
      </w:r>
      <w:r w:rsidRPr="00EE003F">
        <w:rPr>
          <w:rFonts w:ascii="Arial Narrow" w:hAnsi="Arial Narrow"/>
          <w:sz w:val="24"/>
          <w:szCs w:val="24"/>
        </w:rPr>
        <w:t>y mejorando el potencial actual, promoviendo un adecuado uso de los recursos.</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Los </w:t>
      </w:r>
      <w:r w:rsidR="00C3350C" w:rsidRPr="00EE003F">
        <w:rPr>
          <w:rFonts w:ascii="Arial Narrow" w:hAnsi="Arial Narrow"/>
          <w:sz w:val="24"/>
          <w:szCs w:val="24"/>
        </w:rPr>
        <w:t>ETPM</w:t>
      </w:r>
      <w:r w:rsidRPr="00EE003F">
        <w:rPr>
          <w:rFonts w:ascii="Arial Narrow" w:hAnsi="Arial Narrow"/>
          <w:sz w:val="24"/>
          <w:szCs w:val="24"/>
        </w:rPr>
        <w:t xml:space="preserve"> </w:t>
      </w:r>
      <w:r w:rsidR="001F4BBE" w:rsidRPr="00EE003F">
        <w:rPr>
          <w:rFonts w:ascii="Arial Narrow" w:hAnsi="Arial Narrow"/>
          <w:sz w:val="24"/>
          <w:szCs w:val="24"/>
        </w:rPr>
        <w:t>podrían organizarse considerando</w:t>
      </w:r>
      <w:r w:rsidRPr="00EE003F">
        <w:rPr>
          <w:rFonts w:ascii="Arial Narrow" w:hAnsi="Arial Narrow"/>
          <w:sz w:val="24"/>
          <w:szCs w:val="24"/>
        </w:rPr>
        <w:t xml:space="preserve"> los</w:t>
      </w:r>
      <w:r w:rsidR="00010811" w:rsidRPr="00EE003F">
        <w:rPr>
          <w:rFonts w:ascii="Arial Narrow" w:hAnsi="Arial Narrow"/>
          <w:sz w:val="24"/>
          <w:szCs w:val="24"/>
        </w:rPr>
        <w:t xml:space="preserve"> </w:t>
      </w:r>
      <w:r w:rsidRPr="00EE003F">
        <w:rPr>
          <w:rFonts w:ascii="Arial Narrow" w:hAnsi="Arial Narrow"/>
          <w:sz w:val="24"/>
          <w:szCs w:val="24"/>
        </w:rPr>
        <w:t>siguientes departamentos:</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b/>
          <w:sz w:val="24"/>
          <w:szCs w:val="24"/>
        </w:rPr>
        <w:t>ETPM Norte</w:t>
      </w:r>
      <w:r w:rsidRPr="00EE003F">
        <w:rPr>
          <w:rFonts w:ascii="Arial Narrow" w:hAnsi="Arial Narrow"/>
          <w:sz w:val="24"/>
          <w:szCs w:val="24"/>
        </w:rPr>
        <w:t>: Tumbes, Piura, Lambayeque, La Libertad, Cajamarca, Amazonas, San</w:t>
      </w:r>
      <w:r w:rsidR="00010811" w:rsidRPr="00EE003F">
        <w:rPr>
          <w:rFonts w:ascii="Arial Narrow" w:hAnsi="Arial Narrow"/>
          <w:sz w:val="24"/>
          <w:szCs w:val="24"/>
        </w:rPr>
        <w:t xml:space="preserve"> </w:t>
      </w:r>
      <w:r w:rsidRPr="00EE003F">
        <w:rPr>
          <w:rFonts w:ascii="Arial Narrow" w:hAnsi="Arial Narrow"/>
          <w:sz w:val="24"/>
          <w:szCs w:val="24"/>
        </w:rPr>
        <w:t>Martín y Loreto.</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b/>
          <w:sz w:val="24"/>
          <w:szCs w:val="24"/>
        </w:rPr>
        <w:t>ETPM Centro</w:t>
      </w:r>
      <w:r w:rsidRPr="00EE003F">
        <w:rPr>
          <w:rFonts w:ascii="Arial Narrow" w:hAnsi="Arial Narrow"/>
          <w:sz w:val="24"/>
          <w:szCs w:val="24"/>
        </w:rPr>
        <w:t>: Áncash, Lima, Lima Metropolitana, Callao, Junín, Pasco, Huánuco,</w:t>
      </w:r>
      <w:r w:rsidR="00010811" w:rsidRPr="00EE003F">
        <w:rPr>
          <w:rFonts w:ascii="Arial Narrow" w:hAnsi="Arial Narrow"/>
          <w:sz w:val="24"/>
          <w:szCs w:val="24"/>
        </w:rPr>
        <w:t xml:space="preserve"> </w:t>
      </w:r>
      <w:r w:rsidRPr="00EE003F">
        <w:rPr>
          <w:rFonts w:ascii="Arial Narrow" w:hAnsi="Arial Narrow"/>
          <w:sz w:val="24"/>
          <w:szCs w:val="24"/>
        </w:rPr>
        <w:t>Ucayali.</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b/>
          <w:sz w:val="24"/>
          <w:szCs w:val="24"/>
        </w:rPr>
        <w:t>ETPM Sur</w:t>
      </w:r>
      <w:r w:rsidRPr="00EE003F">
        <w:rPr>
          <w:rFonts w:ascii="Arial Narrow" w:hAnsi="Arial Narrow"/>
          <w:sz w:val="24"/>
          <w:szCs w:val="24"/>
        </w:rPr>
        <w:t>: Ica, Ayacucho, Huancavelica, Arequipa, Cusco, Puno, Moquegua, Tacna</w:t>
      </w:r>
      <w:r w:rsidR="00010811" w:rsidRPr="00EE003F">
        <w:rPr>
          <w:rFonts w:ascii="Arial Narrow" w:hAnsi="Arial Narrow"/>
          <w:sz w:val="24"/>
          <w:szCs w:val="24"/>
        </w:rPr>
        <w:t xml:space="preserve"> </w:t>
      </w:r>
      <w:r w:rsidRPr="00EE003F">
        <w:rPr>
          <w:rFonts w:ascii="Arial Narrow" w:hAnsi="Arial Narrow"/>
          <w:sz w:val="24"/>
          <w:szCs w:val="24"/>
        </w:rPr>
        <w:t>y Madre de Dios y Apurímac.</w:t>
      </w:r>
    </w:p>
    <w:p w:rsidR="00465944" w:rsidRPr="00EE003F" w:rsidRDefault="00465944"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En el marco de estos Espacios Transversales de Planificación </w:t>
      </w:r>
      <w:proofErr w:type="spellStart"/>
      <w:r w:rsidRPr="00EE003F">
        <w:rPr>
          <w:rFonts w:ascii="Arial Narrow" w:hAnsi="Arial Narrow"/>
          <w:sz w:val="24"/>
          <w:szCs w:val="24"/>
        </w:rPr>
        <w:t>Macroregional</w:t>
      </w:r>
      <w:proofErr w:type="spellEnd"/>
      <w:r w:rsidRPr="00EE003F">
        <w:rPr>
          <w:rFonts w:ascii="Arial Narrow" w:hAnsi="Arial Narrow"/>
          <w:sz w:val="24"/>
          <w:szCs w:val="24"/>
        </w:rPr>
        <w:t xml:space="preserve"> – ETPM los</w:t>
      </w:r>
      <w:r w:rsidR="00010811" w:rsidRPr="00EE003F">
        <w:rPr>
          <w:rFonts w:ascii="Arial Narrow" w:hAnsi="Arial Narrow"/>
          <w:sz w:val="24"/>
          <w:szCs w:val="24"/>
        </w:rPr>
        <w:t xml:space="preserve"> </w:t>
      </w:r>
      <w:r w:rsidRPr="00EE003F">
        <w:rPr>
          <w:rFonts w:ascii="Arial Narrow" w:hAnsi="Arial Narrow"/>
          <w:sz w:val="24"/>
          <w:szCs w:val="24"/>
        </w:rPr>
        <w:t>gobiernos regionales y locales (con los diversos actores sociales del territorio) deberán</w:t>
      </w:r>
      <w:r w:rsidR="00010811" w:rsidRPr="00EE003F">
        <w:rPr>
          <w:rFonts w:ascii="Arial Narrow" w:hAnsi="Arial Narrow"/>
          <w:sz w:val="24"/>
          <w:szCs w:val="24"/>
        </w:rPr>
        <w:t xml:space="preserve"> </w:t>
      </w:r>
      <w:r w:rsidRPr="00EE003F">
        <w:rPr>
          <w:rFonts w:ascii="Arial Narrow" w:hAnsi="Arial Narrow"/>
          <w:sz w:val="24"/>
          <w:szCs w:val="24"/>
        </w:rPr>
        <w:t>ejercer acciones desde el presente participando en el proceso de planeamiento</w:t>
      </w:r>
      <w:r w:rsidR="00010811" w:rsidRPr="00EE003F">
        <w:rPr>
          <w:rFonts w:ascii="Arial Narrow" w:hAnsi="Arial Narrow"/>
          <w:sz w:val="24"/>
          <w:szCs w:val="24"/>
        </w:rPr>
        <w:t xml:space="preserve"> </w:t>
      </w:r>
      <w:r w:rsidRPr="00EE003F">
        <w:rPr>
          <w:rFonts w:ascii="Arial Narrow" w:hAnsi="Arial Narrow"/>
          <w:sz w:val="24"/>
          <w:szCs w:val="24"/>
        </w:rPr>
        <w:t>estratégico, de forma tal que se garantice los derechos de los ciudadanos, la inclusión</w:t>
      </w:r>
      <w:r w:rsidR="00010811" w:rsidRPr="00EE003F">
        <w:rPr>
          <w:rFonts w:ascii="Arial Narrow" w:hAnsi="Arial Narrow"/>
          <w:sz w:val="24"/>
          <w:szCs w:val="24"/>
        </w:rPr>
        <w:t xml:space="preserve"> </w:t>
      </w:r>
      <w:r w:rsidRPr="00EE003F">
        <w:rPr>
          <w:rFonts w:ascii="Arial Narrow" w:hAnsi="Arial Narrow"/>
          <w:sz w:val="24"/>
          <w:szCs w:val="24"/>
        </w:rPr>
        <w:t>social y la integración urbano-rural.</w:t>
      </w:r>
    </w:p>
    <w:p w:rsidR="00465944"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Esto se logrará a través de sistemas regionales de investigación, desarrollo e innovación, propiciando la organización de productores y la convergencia productiva para generar empleo interno y una oferta productiva más adecuada y sostenible, que permita atender la seguridad alimentaria interna y desarrollar productividad e innovación para competir en mejores condiciones y con una mayor cartera de productos en los mercados internacionales.</w:t>
      </w:r>
    </w:p>
    <w:p w:rsidR="00EA63A7" w:rsidRPr="00EE003F" w:rsidRDefault="00EA63A7" w:rsidP="00EA63A7">
      <w:pPr>
        <w:spacing w:before="120" w:after="0" w:line="240" w:lineRule="auto"/>
        <w:jc w:val="both"/>
        <w:rPr>
          <w:rFonts w:ascii="Arial Narrow" w:hAnsi="Arial Narrow"/>
          <w:sz w:val="24"/>
          <w:szCs w:val="24"/>
        </w:rPr>
      </w:pPr>
    </w:p>
    <w:p w:rsidR="00465944" w:rsidRPr="00EE003F" w:rsidRDefault="00010811" w:rsidP="004648A4">
      <w:pPr>
        <w:jc w:val="both"/>
        <w:rPr>
          <w:rFonts w:ascii="Arial Narrow" w:hAnsi="Arial Narrow"/>
          <w:b/>
          <w:sz w:val="24"/>
          <w:szCs w:val="24"/>
        </w:rPr>
      </w:pPr>
      <w:r w:rsidRPr="00EE003F">
        <w:rPr>
          <w:rFonts w:ascii="Arial Narrow" w:hAnsi="Arial Narrow"/>
          <w:b/>
          <w:sz w:val="24"/>
          <w:szCs w:val="24"/>
        </w:rPr>
        <w:t>Sistema de ciudades sostenibles</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Como soporte al desarrollo de los </w:t>
      </w:r>
      <w:r w:rsidRPr="00EE003F">
        <w:rPr>
          <w:rFonts w:ascii="Arial Narrow" w:hAnsi="Arial Narrow"/>
          <w:b/>
          <w:sz w:val="24"/>
          <w:szCs w:val="24"/>
        </w:rPr>
        <w:t xml:space="preserve">Espacios Transversales de Planificación </w:t>
      </w:r>
      <w:proofErr w:type="spellStart"/>
      <w:r w:rsidRPr="00EE003F">
        <w:rPr>
          <w:rFonts w:ascii="Arial Narrow" w:hAnsi="Arial Narrow"/>
          <w:b/>
          <w:sz w:val="24"/>
          <w:szCs w:val="24"/>
        </w:rPr>
        <w:t>Macroregional</w:t>
      </w:r>
      <w:proofErr w:type="spellEnd"/>
      <w:r w:rsidRPr="00EE003F">
        <w:rPr>
          <w:rFonts w:ascii="Arial Narrow" w:hAnsi="Arial Narrow"/>
          <w:b/>
          <w:sz w:val="24"/>
          <w:szCs w:val="24"/>
        </w:rPr>
        <w:t xml:space="preserve"> – ETPM</w:t>
      </w:r>
      <w:r w:rsidRPr="00EE003F">
        <w:rPr>
          <w:rFonts w:ascii="Arial Narrow" w:hAnsi="Arial Narrow"/>
          <w:sz w:val="24"/>
          <w:szCs w:val="24"/>
        </w:rPr>
        <w:t>, se conforman sistemas urbanos que permitan orientar la actual ocupación del territorio hacia un esquema más racional y mejorar las relaciones de las áreas productivas con sus centros de servicio, consolidando mercados internos, y corredores económicos a los cuales están articulados, infraestructura y provisión de servicios.</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Para esto se propone que en el largo plazo, las ciudades intermedias o a las que están en camino de serlo, cumplan con la función de integración con el espacio rural, servicios-acopio y transformación. </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Las ciudades intermedias también podrán constituirse en nuevos centros de atracción para la migración disminuyendo y reorientado los flujos migratorios hacia las grandes ciudades, considerando el rol que deben cumplir como nodos de desarrollo de sus hinterland</w:t>
      </w:r>
      <w:r w:rsidRPr="00EE003F">
        <w:rPr>
          <w:rStyle w:val="Refdenotaalpie"/>
          <w:rFonts w:ascii="Arial Narrow" w:hAnsi="Arial Narrow"/>
          <w:sz w:val="24"/>
          <w:szCs w:val="24"/>
        </w:rPr>
        <w:footnoteReference w:id="22"/>
      </w:r>
      <w:r w:rsidRPr="00EE003F">
        <w:rPr>
          <w:rFonts w:ascii="Arial Narrow" w:hAnsi="Arial Narrow"/>
          <w:sz w:val="24"/>
          <w:szCs w:val="24"/>
        </w:rPr>
        <w:t>. De esta manera, se fortalecerán las relaciones urbano-rurales.</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Este sistema de ciudades debe contribuir a superar la actual concentración de oportunidades para el desarrollo en la región costa. El desarrollo de la sierra y la selva, se logrará a través del fortalecimiento de las ciudades de rango </w:t>
      </w:r>
      <w:proofErr w:type="spellStart"/>
      <w:r w:rsidRPr="00EE003F">
        <w:rPr>
          <w:rFonts w:ascii="Arial Narrow" w:hAnsi="Arial Narrow"/>
          <w:sz w:val="24"/>
          <w:szCs w:val="24"/>
        </w:rPr>
        <w:t>macroregional</w:t>
      </w:r>
      <w:proofErr w:type="spellEnd"/>
      <w:r w:rsidRPr="00EE003F">
        <w:rPr>
          <w:rFonts w:ascii="Arial Narrow" w:hAnsi="Arial Narrow"/>
          <w:sz w:val="24"/>
          <w:szCs w:val="24"/>
        </w:rPr>
        <w:t xml:space="preserve"> y ciudades intermedias de estas regiones, en las cuales el Estado (nacional, regional y local) deberá cerrar las brechas territoriales.</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De esta forma se promoverá la inversión privada, consolidando los corredores económicos para que extiendan sus servicios a las zonas rurales (incluyendo centros de acopio y transformación-comercialización) en las unidades geoeconómicas adyacentes. Adicionalmente, se propone en estas ciudades la promoción del desarrollo de pequeñas y medianas industrias, ligadas a la innovación tecnológica.</w:t>
      </w:r>
    </w:p>
    <w:p w:rsidR="00465944"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El sistema urbano estaría conformado por:</w:t>
      </w:r>
    </w:p>
    <w:p w:rsidR="00010811" w:rsidRPr="00EE003F" w:rsidRDefault="00010811" w:rsidP="00EA63A7">
      <w:pPr>
        <w:pStyle w:val="Prrafodelista"/>
        <w:numPr>
          <w:ilvl w:val="0"/>
          <w:numId w:val="2"/>
        </w:numPr>
        <w:spacing w:before="120" w:after="0" w:line="240" w:lineRule="auto"/>
        <w:jc w:val="both"/>
        <w:rPr>
          <w:rFonts w:ascii="Arial Narrow" w:hAnsi="Arial Narrow"/>
          <w:sz w:val="24"/>
          <w:szCs w:val="24"/>
        </w:rPr>
      </w:pPr>
      <w:r w:rsidRPr="00EE003F">
        <w:rPr>
          <w:rFonts w:ascii="Arial Narrow" w:hAnsi="Arial Narrow"/>
          <w:sz w:val="24"/>
          <w:szCs w:val="24"/>
        </w:rPr>
        <w:t>Metrópoli nacional</w:t>
      </w:r>
    </w:p>
    <w:p w:rsidR="00010811" w:rsidRPr="00EE003F" w:rsidRDefault="00010811" w:rsidP="00EA63A7">
      <w:pPr>
        <w:pStyle w:val="Prrafodelista"/>
        <w:numPr>
          <w:ilvl w:val="0"/>
          <w:numId w:val="2"/>
        </w:numPr>
        <w:spacing w:before="120" w:after="0" w:line="240" w:lineRule="auto"/>
        <w:jc w:val="both"/>
        <w:rPr>
          <w:rFonts w:ascii="Arial Narrow" w:hAnsi="Arial Narrow"/>
          <w:sz w:val="24"/>
          <w:szCs w:val="24"/>
        </w:rPr>
      </w:pPr>
      <w:r w:rsidRPr="00EE003F">
        <w:rPr>
          <w:rFonts w:ascii="Arial Narrow" w:hAnsi="Arial Narrow"/>
          <w:sz w:val="24"/>
          <w:szCs w:val="24"/>
        </w:rPr>
        <w:t>Metrópolis regionales</w:t>
      </w:r>
    </w:p>
    <w:p w:rsidR="00010811" w:rsidRPr="00EE003F" w:rsidRDefault="00010811" w:rsidP="00EA63A7">
      <w:pPr>
        <w:pStyle w:val="Prrafodelista"/>
        <w:numPr>
          <w:ilvl w:val="0"/>
          <w:numId w:val="2"/>
        </w:numPr>
        <w:spacing w:before="120" w:after="0" w:line="240" w:lineRule="auto"/>
        <w:jc w:val="both"/>
        <w:rPr>
          <w:rFonts w:ascii="Arial Narrow" w:hAnsi="Arial Narrow"/>
          <w:sz w:val="24"/>
          <w:szCs w:val="24"/>
        </w:rPr>
      </w:pPr>
      <w:r w:rsidRPr="00EE003F">
        <w:rPr>
          <w:rFonts w:ascii="Arial Narrow" w:hAnsi="Arial Narrow"/>
          <w:sz w:val="24"/>
          <w:szCs w:val="24"/>
        </w:rPr>
        <w:t xml:space="preserve">Centros principales </w:t>
      </w:r>
      <w:proofErr w:type="spellStart"/>
      <w:r w:rsidRPr="00EE003F">
        <w:rPr>
          <w:rFonts w:ascii="Arial Narrow" w:hAnsi="Arial Narrow"/>
          <w:sz w:val="24"/>
          <w:szCs w:val="24"/>
        </w:rPr>
        <w:t>macroregionales</w:t>
      </w:r>
      <w:proofErr w:type="spellEnd"/>
    </w:p>
    <w:p w:rsidR="00010811" w:rsidRPr="00EE003F" w:rsidRDefault="00010811" w:rsidP="00EA63A7">
      <w:pPr>
        <w:pStyle w:val="Prrafodelista"/>
        <w:numPr>
          <w:ilvl w:val="0"/>
          <w:numId w:val="2"/>
        </w:numPr>
        <w:spacing w:before="120" w:after="0" w:line="240" w:lineRule="auto"/>
        <w:jc w:val="both"/>
        <w:rPr>
          <w:rFonts w:ascii="Arial Narrow" w:hAnsi="Arial Narrow"/>
          <w:sz w:val="24"/>
          <w:szCs w:val="24"/>
        </w:rPr>
      </w:pPr>
      <w:r w:rsidRPr="00EE003F">
        <w:rPr>
          <w:rFonts w:ascii="Arial Narrow" w:hAnsi="Arial Narrow"/>
          <w:sz w:val="24"/>
          <w:szCs w:val="24"/>
        </w:rPr>
        <w:t>Centros de servicios regionales</w:t>
      </w:r>
    </w:p>
    <w:p w:rsidR="00465944" w:rsidRPr="00EE003F" w:rsidRDefault="00010811" w:rsidP="00EA63A7">
      <w:pPr>
        <w:pStyle w:val="Prrafodelista"/>
        <w:numPr>
          <w:ilvl w:val="0"/>
          <w:numId w:val="2"/>
        </w:numPr>
        <w:spacing w:before="120" w:after="0" w:line="240" w:lineRule="auto"/>
        <w:jc w:val="both"/>
        <w:rPr>
          <w:rFonts w:ascii="Arial Narrow" w:hAnsi="Arial Narrow"/>
          <w:sz w:val="24"/>
          <w:szCs w:val="24"/>
        </w:rPr>
      </w:pPr>
      <w:r w:rsidRPr="00EE003F">
        <w:rPr>
          <w:rFonts w:ascii="Arial Narrow" w:hAnsi="Arial Narrow"/>
          <w:sz w:val="24"/>
          <w:szCs w:val="24"/>
        </w:rPr>
        <w:t>Centros de servicios subregionales.</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La </w:t>
      </w:r>
      <w:r w:rsidRPr="00EE003F">
        <w:rPr>
          <w:rFonts w:ascii="Arial Narrow" w:hAnsi="Arial Narrow"/>
          <w:b/>
          <w:sz w:val="24"/>
          <w:szCs w:val="24"/>
        </w:rPr>
        <w:t>metrópoli nacional</w:t>
      </w:r>
      <w:r w:rsidRPr="00EE003F">
        <w:rPr>
          <w:rFonts w:ascii="Arial Narrow" w:hAnsi="Arial Narrow"/>
          <w:sz w:val="24"/>
          <w:szCs w:val="24"/>
        </w:rPr>
        <w:t>, Lima-Callao, por su ubicación estratégica en la cuenca del Pacífico, se proyecta como un centro de servicios especializado de puertos, aeropuertos, carreteras, ferrocarriles y sistemas de información que permitan la interconexión con Latinoamérica y el resto del mundo.</w:t>
      </w:r>
      <w:r w:rsidRPr="00EE003F">
        <w:rPr>
          <w:rStyle w:val="Refdenotaalpie"/>
          <w:rFonts w:ascii="Arial Narrow" w:hAnsi="Arial Narrow"/>
          <w:sz w:val="24"/>
          <w:szCs w:val="24"/>
        </w:rPr>
        <w:footnoteReference w:id="23"/>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Las </w:t>
      </w:r>
      <w:r w:rsidRPr="00EE003F">
        <w:rPr>
          <w:rFonts w:ascii="Arial Narrow" w:hAnsi="Arial Narrow"/>
          <w:b/>
          <w:sz w:val="24"/>
          <w:szCs w:val="24"/>
        </w:rPr>
        <w:t xml:space="preserve">metrópolis </w:t>
      </w:r>
      <w:proofErr w:type="spellStart"/>
      <w:r w:rsidRPr="00EE003F">
        <w:rPr>
          <w:rFonts w:ascii="Arial Narrow" w:hAnsi="Arial Narrow"/>
          <w:b/>
          <w:sz w:val="24"/>
          <w:szCs w:val="24"/>
        </w:rPr>
        <w:t>macroregionales</w:t>
      </w:r>
      <w:proofErr w:type="spellEnd"/>
      <w:r w:rsidRPr="00EE003F">
        <w:rPr>
          <w:rFonts w:ascii="Arial Narrow" w:hAnsi="Arial Narrow"/>
          <w:sz w:val="24"/>
          <w:szCs w:val="24"/>
        </w:rPr>
        <w:t xml:space="preserve"> (500 000 a 1 500 000 habitantes) son hegemónicas en sus respectivos espacios (norte, centro y sur), se consolidan con una función complementaria al nivel metropolitano nacional.</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Los </w:t>
      </w:r>
      <w:r w:rsidRPr="00EE003F">
        <w:rPr>
          <w:rFonts w:ascii="Arial Narrow" w:hAnsi="Arial Narrow"/>
          <w:b/>
          <w:sz w:val="24"/>
          <w:szCs w:val="24"/>
        </w:rPr>
        <w:t>centros principales</w:t>
      </w:r>
      <w:r w:rsidRPr="00EE003F">
        <w:rPr>
          <w:rFonts w:ascii="Arial Narrow" w:hAnsi="Arial Narrow"/>
          <w:sz w:val="24"/>
          <w:szCs w:val="24"/>
        </w:rPr>
        <w:t xml:space="preserve"> (200 000 a 499 999 habitantes) deberán desarrollar políticas y proyectos que garanticen su desarrollo y servicios que atiendan a las poblaciones rurales de su entorno, convirtiéndose en mercados internos (centros de acopio, de transformación, entre otros) y de desarrollo de industrias pequeñas y medianas con incubadoras de empresas, parques tecnológicos, CITE y similares.</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Las ciudades consideradas </w:t>
      </w:r>
      <w:r w:rsidRPr="00EE003F">
        <w:rPr>
          <w:rFonts w:ascii="Arial Narrow" w:hAnsi="Arial Narrow"/>
          <w:b/>
          <w:sz w:val="24"/>
          <w:szCs w:val="24"/>
        </w:rPr>
        <w:t>centros de servicios regionales</w:t>
      </w:r>
      <w:r w:rsidRPr="00EE003F">
        <w:rPr>
          <w:rFonts w:ascii="Arial Narrow" w:hAnsi="Arial Narrow"/>
          <w:sz w:val="24"/>
          <w:szCs w:val="24"/>
        </w:rPr>
        <w:t xml:space="preserve"> (50 000 a 199 999 habitantes), deben cumplir una función de mercado regional, centros de acopio y transformación, y se fortalecerán con las industrias existentes (pequeñas y medianas empresas), buscando la articulación con empresas mayores. Requieren de una fuerte inversión en las áreas productivas rurales, para incorporar innovación tecnológica en el campo y las ciudades</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Los </w:t>
      </w:r>
      <w:r w:rsidRPr="00EE003F">
        <w:rPr>
          <w:rFonts w:ascii="Arial Narrow" w:hAnsi="Arial Narrow"/>
          <w:b/>
          <w:sz w:val="24"/>
          <w:szCs w:val="24"/>
        </w:rPr>
        <w:t>centros de servicios subregionales</w:t>
      </w:r>
      <w:r w:rsidRPr="00EE003F">
        <w:rPr>
          <w:rFonts w:ascii="Arial Narrow" w:hAnsi="Arial Narrow"/>
          <w:sz w:val="24"/>
          <w:szCs w:val="24"/>
        </w:rPr>
        <w:t xml:space="preserve"> (20 000 a 49 999), deben estar relacionados directamente con sus áreas rurales. Estas ciudades, cumplirán el mismo papel que las de segundo rango pero en menor escala; y se interrelacionarán directamente con los ámbitos rurales buscando su complementariedad productiva y se complementarán con las ciudades de cuarto rango en lo que corresponde a funciones. Esto significa que las ciudades mencionadas deben tener inversiones en cuanto a servicios, promoción de industrias y de encadenamientos con la producción del ámbito rural, buscando convergencia e innovación.</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El sistema urbano de las principales ciudades a partir de 20 000 habitantes, y los centros principales seleccionados han de cumplir un rol dinamizador de los territorios a los que deben prestar servicios, a partir de un adecuado acondicionamiento territorial. </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En esta propuesta se han priorizado los centros urbanos de segundo y tercer rango poblacional. Los de segundo rango cumplen una función de mercado, centros de acopio y transformación; los del tercer rango deben estar relacionados directamente con sus áreas rurales, cumplirán el mismo papel que los de segundo rango pero en menor escala; sin embargo, se interrelacionarán directamente con los ámbitos rurales buscando su complementariedad productiva, se complementan con las ciudades de cuarto rango en lo que corresponde a funciones. Esto significa que las ciudades mencionadas, deben tener inversiones en cuanto a servicios, promoción de industrias y encadenamientos con la producción del ámbito rural, buscando convergencia e innovación.</w:t>
      </w:r>
    </w:p>
    <w:p w:rsidR="00EA63A7" w:rsidRPr="00EE003F" w:rsidRDefault="00EA63A7" w:rsidP="004648A4">
      <w:pPr>
        <w:jc w:val="both"/>
        <w:rPr>
          <w:rFonts w:ascii="Arial Narrow" w:hAnsi="Arial Narrow"/>
          <w:b/>
          <w:sz w:val="24"/>
          <w:szCs w:val="24"/>
        </w:rPr>
      </w:pPr>
    </w:p>
    <w:p w:rsidR="00010811" w:rsidRPr="00EE003F" w:rsidRDefault="00010811" w:rsidP="004648A4">
      <w:pPr>
        <w:jc w:val="both"/>
        <w:rPr>
          <w:rFonts w:ascii="Arial Narrow" w:hAnsi="Arial Narrow"/>
          <w:b/>
          <w:sz w:val="24"/>
          <w:szCs w:val="24"/>
        </w:rPr>
      </w:pPr>
      <w:r w:rsidRPr="00EE003F">
        <w:rPr>
          <w:rFonts w:ascii="Arial Narrow" w:hAnsi="Arial Narrow"/>
          <w:b/>
          <w:sz w:val="24"/>
          <w:szCs w:val="24"/>
        </w:rPr>
        <w:t>Articulación de los territorios</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Lo importante en la articulación territorial son los corredores económicos, generados a partir de la infraestructura de carreteras (ejes transversales y longitudinales) y el sistema de ciudades. Estos articulan los ETPM, desde los puertos hacia las zonas de sierra y selva.</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Estas vías tienen varias funciones, además del tránsito de vehículos y pasajeros, deben articular territorios productivos, mercados internos y coadyuvar al desarrollo de las ciudades. Se complementan con carreteras menores que constituyen corredores económicos de un menor rango y complementan la estrategia de desarrollo de los espacios </w:t>
      </w:r>
      <w:proofErr w:type="spellStart"/>
      <w:r w:rsidRPr="00EE003F">
        <w:rPr>
          <w:rFonts w:ascii="Arial Narrow" w:hAnsi="Arial Narrow"/>
          <w:sz w:val="24"/>
          <w:szCs w:val="24"/>
        </w:rPr>
        <w:t>subnacionales</w:t>
      </w:r>
      <w:proofErr w:type="spellEnd"/>
      <w:r w:rsidRPr="00EE003F">
        <w:rPr>
          <w:rFonts w:ascii="Arial Narrow" w:hAnsi="Arial Narrow"/>
          <w:sz w:val="24"/>
          <w:szCs w:val="24"/>
        </w:rPr>
        <w:t xml:space="preserve"> (urbano-rural) del norte, centro y sur. Estas últimas carreteras serán definidas por los gobiernos regionales y locales, en sus respectivos procesos de planeamiento estratégico.</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Los principales corredores transversales en esta propuesta corresponden a los ejes: Norte, Centro y Sur, y se complementarán con los ejes longitudinales de la costa sierra y selva: Carretera Longitudinal de la costa o Panamericana, Carretera longitudinal de la sierra o Caminos del Inca y Carretera longitudinal de la selva o Marginal de la Selva. </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Los ejes longitudinales atienden las áreas más desarrolladas de la costa; en la sierra, las zonas mineras y agropecuarias; y en la selva alta conectan los territorios de los departamentos de San Martín, Huánuco y Junín. </w:t>
      </w:r>
    </w:p>
    <w:p w:rsidR="00010811" w:rsidRPr="00EE003F" w:rsidRDefault="00010811" w:rsidP="00EA63A7">
      <w:pPr>
        <w:spacing w:before="120" w:after="0" w:line="240" w:lineRule="auto"/>
        <w:jc w:val="both"/>
        <w:rPr>
          <w:rFonts w:ascii="Arial Narrow" w:hAnsi="Arial Narrow"/>
          <w:sz w:val="24"/>
          <w:szCs w:val="24"/>
        </w:rPr>
      </w:pPr>
      <w:r w:rsidRPr="00EE003F">
        <w:rPr>
          <w:rFonts w:ascii="Arial Narrow" w:hAnsi="Arial Narrow"/>
          <w:sz w:val="24"/>
          <w:szCs w:val="24"/>
        </w:rPr>
        <w:t>Finalmente, se propone que el Perú al 2021 sea un territorio cohesionado, a través del establecimiento de un sistema de ciudades sostenibles y la integración de la población rural a los núcleos urbanos; con producción sostenible y competitiva de bienes y servicios (públicos y privados), que se sustente en un marco normativo que favorezca la productividad, la competitividad y la inversión pública y privada; todo ello basado en las aspiraciones de la población y acorde a sus potencialidades presentes y futuras, sustentadas en la promoción y provisión de la infraestructura necesaria para un desarrollo territorial integral.</w:t>
      </w:r>
    </w:p>
    <w:p w:rsidR="00D14220" w:rsidRPr="00EE003F" w:rsidRDefault="00D14220">
      <w:pPr>
        <w:rPr>
          <w:rFonts w:ascii="Arial Narrow" w:hAnsi="Arial Narrow"/>
          <w:sz w:val="24"/>
          <w:szCs w:val="24"/>
        </w:rPr>
      </w:pPr>
      <w:r w:rsidRPr="00EE003F">
        <w:rPr>
          <w:rFonts w:ascii="Arial Narrow" w:hAnsi="Arial Narrow"/>
          <w:sz w:val="24"/>
          <w:szCs w:val="24"/>
        </w:rPr>
        <w:br w:type="page"/>
      </w:r>
    </w:p>
    <w:p w:rsidR="00010811" w:rsidRPr="00EE003F" w:rsidRDefault="00010811" w:rsidP="009C05D7">
      <w:pPr>
        <w:pStyle w:val="Ttulo1"/>
        <w:jc w:val="center"/>
        <w:rPr>
          <w:rFonts w:ascii="Arial Narrow" w:hAnsi="Arial Narrow" w:cs="RotisSemiSans-Regular"/>
          <w:b/>
          <w:sz w:val="32"/>
          <w:szCs w:val="32"/>
        </w:rPr>
      </w:pPr>
      <w:bookmarkStart w:id="29" w:name="_Toc453004670"/>
      <w:r w:rsidRPr="00EE003F">
        <w:rPr>
          <w:rFonts w:ascii="Arial Narrow" w:hAnsi="Arial Narrow" w:cs="RotisSemiSans-Regular"/>
          <w:b/>
          <w:sz w:val="32"/>
          <w:szCs w:val="32"/>
        </w:rPr>
        <w:t xml:space="preserve">Los </w:t>
      </w:r>
      <w:r w:rsidR="00EF313F" w:rsidRPr="00EE003F">
        <w:rPr>
          <w:rFonts w:ascii="Arial Narrow" w:hAnsi="Arial Narrow" w:cs="RotisSemiSans-Regular"/>
          <w:b/>
          <w:sz w:val="32"/>
          <w:szCs w:val="32"/>
        </w:rPr>
        <w:t>e</w:t>
      </w:r>
      <w:r w:rsidRPr="00EE003F">
        <w:rPr>
          <w:rFonts w:ascii="Arial Narrow" w:hAnsi="Arial Narrow" w:cs="RotisSemiSans-Regular"/>
          <w:b/>
          <w:sz w:val="32"/>
          <w:szCs w:val="32"/>
        </w:rPr>
        <w:t>jes estratégicos</w:t>
      </w:r>
      <w:bookmarkEnd w:id="29"/>
    </w:p>
    <w:p w:rsidR="00DC3F82" w:rsidRPr="00EE003F" w:rsidRDefault="00EF313F" w:rsidP="009C05D7">
      <w:pPr>
        <w:pStyle w:val="Ttulo2"/>
        <w:jc w:val="left"/>
        <w:rPr>
          <w:rFonts w:asciiTheme="minorHAnsi" w:hAnsiTheme="minorHAnsi"/>
          <w:lang w:val="es-ES_tradnl"/>
        </w:rPr>
      </w:pPr>
      <w:bookmarkStart w:id="30" w:name="_Toc453004671"/>
      <w:r w:rsidRPr="00EE003F">
        <w:rPr>
          <w:rFonts w:asciiTheme="minorHAnsi" w:hAnsiTheme="minorHAnsi"/>
          <w:lang w:val="es-ES_tradnl"/>
        </w:rPr>
        <w:t>Eje e</w:t>
      </w:r>
      <w:r w:rsidR="00010811" w:rsidRPr="00EE003F">
        <w:rPr>
          <w:rFonts w:asciiTheme="minorHAnsi" w:hAnsiTheme="minorHAnsi"/>
          <w:lang w:val="es-ES_tradnl"/>
        </w:rPr>
        <w:t>stratégico</w:t>
      </w:r>
      <w:r w:rsidR="005A786D" w:rsidRPr="00EE003F">
        <w:rPr>
          <w:rFonts w:asciiTheme="minorHAnsi" w:hAnsiTheme="minorHAnsi"/>
          <w:lang w:val="es-ES_tradnl"/>
        </w:rPr>
        <w:t xml:space="preserve"> 1</w:t>
      </w:r>
      <w:bookmarkStart w:id="31" w:name="_Toc448398398"/>
      <w:r w:rsidR="009C05D7" w:rsidRPr="00EE003F">
        <w:rPr>
          <w:b w:val="0"/>
          <w:sz w:val="32"/>
          <w:szCs w:val="32"/>
        </w:rPr>
        <w:br/>
      </w:r>
      <w:r w:rsidR="002C2BA8" w:rsidRPr="00EE003F">
        <w:rPr>
          <w:rFonts w:asciiTheme="minorHAnsi" w:hAnsiTheme="minorHAnsi"/>
          <w:lang w:val="es-ES_tradnl"/>
        </w:rPr>
        <w:t>Derechos Humanos e Inclusión Social</w:t>
      </w:r>
      <w:bookmarkEnd w:id="30"/>
      <w:bookmarkEnd w:id="31"/>
      <w:r w:rsidR="002C2BA8" w:rsidRPr="00EE003F">
        <w:rPr>
          <w:rFonts w:asciiTheme="minorHAnsi" w:hAnsiTheme="minorHAnsi"/>
          <w:lang w:val="es-ES_tradnl"/>
        </w:rPr>
        <w:t xml:space="preserve"> </w:t>
      </w:r>
    </w:p>
    <w:p w:rsidR="002C2BA8"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sz w:val="24"/>
          <w:szCs w:val="24"/>
        </w:rPr>
        <w:t>Los derechos humanos y la inclusión social son componentes fundamentales para alcanzar el desarrollo humano de todos los ciudadanos y el desarrollo económico del país. En primer lugar, decimos que los derechos humanos son inherentes a toda persona, sin distinción alguna de sexo, origen nacional o étnico, color, religión, lengua o cualquier otra condición. En el Plan Estratégico de Desarrollo Nacional los derechos humanos son transversales a todos los ejes, pues su pleno ejercicio depende del cumplimiento de diferentes objetivos nacionales (como tener una economía competitiva, adecuada infraestructura, acceso a los servicios o un ambiente sano). A partir de ello, es preciso señalar que el eje “Derechos Humanos e Inclusión Social” pone especial énfasis en los derechos civiles, políticos, culturales, económicos y sociales de carácter esencial, que deben ser respetados por todos y que hacen posible la inclusión social de la población en situación de vulnerabilidad.</w:t>
      </w:r>
    </w:p>
    <w:p w:rsidR="002C2BA8"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sz w:val="24"/>
          <w:szCs w:val="24"/>
        </w:rPr>
        <w:t>La inclusión social es la culminación de un proceso que abarca el alivio temporal de la pobreza extrema y la pobreza, el desarrollo de capacidades y la generación de oportunidades que favorezcan al bienestar de las generaciones presentes y futuras. En ese sentido, este eje recoge el compromiso del país con el reto de la inclusión social, que hoy se encuentra en el centro de las políticas públicas. Bajo el enfoque de la Estrategia Nacional “Incluir para Crecer” del MIDIS, el énfasis no está solo en reducir la pobreza sino, sobre todo, en promover el desarrollo, teniendo en cuenta que la inclusión social es “un proceso de ampliación de las opciones de las personas y mejora de las capacidades humanas y las libertades en un marco de igualdad de oportunidades en el cual todos puedan progresar con libertad” (PNUD, 2013).</w:t>
      </w:r>
    </w:p>
    <w:p w:rsidR="002C2BA8"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sz w:val="24"/>
          <w:szCs w:val="24"/>
        </w:rPr>
        <w:t>El reto de la inclusión social, es una responsabilidad de los tres niveles de gobierno, para lo cual dispondrán de la Plataforma de Prestación de Servicios “Tambos” y las Plataformas Itinerantes de Acción Social, para contribuir a mejorar la calidad de vida, permitir el acceso de la población pobre y extremadamente pobre, especialmente la asentada en los centros poblados rurales, rural dispersa y de los pueblos indígenas (comunidades nativas), a los servicios y actividades en materias sociales y productivas que brinda el Estado, coadyuvando a su desarrollo económico, social y productivo que contribuyan a su inclusión social.</w:t>
      </w:r>
    </w:p>
    <w:p w:rsidR="002C2BA8"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sz w:val="24"/>
          <w:szCs w:val="24"/>
        </w:rPr>
        <w:t>El objetivo nacional del Eje 1 es el: “Ejercicio efectivo de los derechos humanos y dignidad de las personas, con inclusión social de la población más pobre y vulnerable” y su indicador líder es el Índice de Desarrollo Humano. Este índice es el más idóneo para medir este objetivo nacional por su carácter general, pues mide tres dimensiones fundamentales para el ejercicio de derechos fundamentales y la inclusión social: la salud, la educación y los ingresos. En los últimos años, el Perú ha mejorado su posición en este índice, gracias a importantes políticas de inclusión social, como el aseguramiento integral de salud y la expansión de los diferentes programas sociales. El Eje 1 propone mejorar la posición del Perú con acciones que permitan desarrollar capacidades productivas en las familias, implementar sistemas modernos de seguimiento y monitoreo de los programas sociales, garantizar el derecho a la igualdad y diversidad cultural, entre otras.</w:t>
      </w:r>
    </w:p>
    <w:p w:rsidR="002C2BA8"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sz w:val="24"/>
          <w:szCs w:val="24"/>
        </w:rPr>
        <w:t>El reto planteado para el Eje 1 es “Que todos los ciudadanos ejerzan efectivamente sus derechos humanos y se consolide el proceso de inclusión social”. Esto se logrará mediante el desarrollo de capacidades y la generación de oportunidades para la población en proceso de inclusión social, la erradicación de todas las formas de discriminación, el fortalecimiento del derecho a la participación política y a la ciudadanía intercultural y el fomento de una cultura nacional de respeto de los derechos humanos.</w:t>
      </w:r>
    </w:p>
    <w:p w:rsidR="002C2BA8"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Para desarrollar o fortalecer las capacidades productivas individuales y comunitarias, los tres niveles de Gobierno facilitarán su intervención a través de la Plataforma de Prestación de Servicios “Tambos”. </w:t>
      </w:r>
    </w:p>
    <w:p w:rsidR="00010811"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sz w:val="24"/>
          <w:szCs w:val="24"/>
        </w:rPr>
        <w:t>Para medir el avance de las múltiples dimensiones del reto planteado se detallan los objetivos específicos y sus respectivos indicadores de seguimiento:</w:t>
      </w:r>
    </w:p>
    <w:p w:rsidR="002C2BA8"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b/>
          <w:sz w:val="24"/>
          <w:szCs w:val="24"/>
        </w:rPr>
        <w:t>Desarrollo de capacidades y la generación de oportunidades para la población en proceso de inclusión social</w:t>
      </w:r>
      <w:r w:rsidRPr="00EE003F">
        <w:rPr>
          <w:rFonts w:ascii="Arial Narrow" w:hAnsi="Arial Narrow"/>
          <w:sz w:val="24"/>
          <w:szCs w:val="24"/>
        </w:rPr>
        <w:t>. Para la medición de este objetivo se utilizarán los indicadores de tasa de incidencia de la pobreza como porcentaje de la población (INEI</w:t>
      </w:r>
      <w:r w:rsidR="004433E3" w:rsidRPr="00EE003F">
        <w:rPr>
          <w:rFonts w:ascii="Arial Narrow" w:hAnsi="Arial Narrow"/>
          <w:sz w:val="24"/>
          <w:szCs w:val="24"/>
        </w:rPr>
        <w:t>-</w:t>
      </w:r>
      <w:proofErr w:type="spellStart"/>
      <w:r w:rsidRPr="00EE003F">
        <w:rPr>
          <w:rFonts w:ascii="Arial Narrow" w:hAnsi="Arial Narrow"/>
          <w:sz w:val="24"/>
          <w:szCs w:val="24"/>
        </w:rPr>
        <w:t>Enaho</w:t>
      </w:r>
      <w:proofErr w:type="spellEnd"/>
      <w:r w:rsidRPr="00EE003F">
        <w:rPr>
          <w:rFonts w:ascii="Arial Narrow" w:hAnsi="Arial Narrow"/>
          <w:sz w:val="24"/>
          <w:szCs w:val="24"/>
        </w:rPr>
        <w:t>); la tasa de incidencia de la pobreza extrema como porcentaje de la población (INEI-</w:t>
      </w:r>
      <w:proofErr w:type="spellStart"/>
      <w:r w:rsidRPr="00EE003F">
        <w:rPr>
          <w:rFonts w:ascii="Arial Narrow" w:hAnsi="Arial Narrow"/>
          <w:sz w:val="24"/>
          <w:szCs w:val="24"/>
        </w:rPr>
        <w:t>Enaho</w:t>
      </w:r>
      <w:proofErr w:type="spellEnd"/>
      <w:r w:rsidRPr="00EE003F">
        <w:rPr>
          <w:rFonts w:ascii="Arial Narrow" w:hAnsi="Arial Narrow"/>
          <w:sz w:val="24"/>
          <w:szCs w:val="24"/>
        </w:rPr>
        <w:t>); el coeficiente de GINI (INEI); y la proporción de menores de 5 años con desnutrición crónica (INEI-</w:t>
      </w:r>
      <w:proofErr w:type="spellStart"/>
      <w:r w:rsidRPr="00EE003F">
        <w:rPr>
          <w:rFonts w:ascii="Arial Narrow" w:hAnsi="Arial Narrow"/>
          <w:sz w:val="24"/>
          <w:szCs w:val="24"/>
        </w:rPr>
        <w:t>Endes</w:t>
      </w:r>
      <w:proofErr w:type="spellEnd"/>
      <w:r w:rsidRPr="00EE003F">
        <w:rPr>
          <w:rFonts w:ascii="Arial Narrow" w:hAnsi="Arial Narrow"/>
          <w:sz w:val="24"/>
          <w:szCs w:val="24"/>
        </w:rPr>
        <w:t>). Estos indicadores son los mejores para medir los avances de las políticas de erradicación de la pobreza y del hambre, dirigidas especialmente a reducir las inequidades que afectan a las poblaciones más vulnerables del país.</w:t>
      </w:r>
    </w:p>
    <w:p w:rsidR="002C2BA8"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b/>
          <w:sz w:val="24"/>
          <w:szCs w:val="24"/>
        </w:rPr>
        <w:t>Erradicación de todas las formas de discriminación</w:t>
      </w:r>
      <w:r w:rsidRPr="00EE003F">
        <w:rPr>
          <w:rFonts w:ascii="Arial Narrow" w:hAnsi="Arial Narrow"/>
          <w:sz w:val="24"/>
          <w:szCs w:val="24"/>
        </w:rPr>
        <w:t>. Para este objetivo se trabajará con el Índice de Desigualdad de Género (PNUD), el cual sirve como proxy para medir todas las formas de discriminación. Si bien el objetivo tiene un alcance mayor que el indicador propuesto, actualmente no existen indicadores que evalúen los distintos tipos de discriminación (que sean acreditados por organismos internacionales y que tengan permanencia en el tiempo para una mejor medición). El Índice de Desigualdad de Género evalúa la salud reproductiva, el empoderamiento de la mujer y la igualdad en el mercado de trabajo. Cabe señalar que este índice abarca un puntaje de 0 a 1. Cuando el puntaje es más cercano a 0 significa que los hombres y mujeres tienen condiciones sociales más equitativas; cuando se encuentra más próximo a 1 se presenta una mayor inequidad de género.</w:t>
      </w:r>
    </w:p>
    <w:p w:rsidR="002C2BA8"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b/>
          <w:sz w:val="24"/>
          <w:szCs w:val="24"/>
        </w:rPr>
        <w:t>Garantizar el derecho a la participación política y a la ciudadanía intercultural</w:t>
      </w:r>
      <w:r w:rsidRPr="00EE003F">
        <w:rPr>
          <w:rFonts w:ascii="Arial Narrow" w:hAnsi="Arial Narrow"/>
          <w:sz w:val="24"/>
          <w:szCs w:val="24"/>
        </w:rPr>
        <w:t xml:space="preserve">. Se utilizará el Índice de Democracia, el cual es idóneo debido a su rigurosidad metodológica y solidez estadística. Es elaborado por </w:t>
      </w:r>
      <w:proofErr w:type="spellStart"/>
      <w:r w:rsidRPr="00EE003F">
        <w:rPr>
          <w:rFonts w:ascii="Arial Narrow" w:hAnsi="Arial Narrow"/>
          <w:i/>
          <w:sz w:val="24"/>
          <w:szCs w:val="24"/>
        </w:rPr>
        <w:t>The</w:t>
      </w:r>
      <w:proofErr w:type="spellEnd"/>
      <w:r w:rsidRPr="00EE003F">
        <w:rPr>
          <w:rFonts w:ascii="Arial Narrow" w:hAnsi="Arial Narrow"/>
          <w:i/>
          <w:sz w:val="24"/>
          <w:szCs w:val="24"/>
        </w:rPr>
        <w:t xml:space="preserve"> </w:t>
      </w:r>
      <w:proofErr w:type="spellStart"/>
      <w:r w:rsidRPr="00EE003F">
        <w:rPr>
          <w:rFonts w:ascii="Arial Narrow" w:hAnsi="Arial Narrow"/>
          <w:i/>
          <w:sz w:val="24"/>
          <w:szCs w:val="24"/>
        </w:rPr>
        <w:t>Economist</w:t>
      </w:r>
      <w:proofErr w:type="spellEnd"/>
      <w:r w:rsidRPr="00EE003F">
        <w:rPr>
          <w:rFonts w:ascii="Arial Narrow" w:hAnsi="Arial Narrow"/>
          <w:i/>
          <w:sz w:val="24"/>
          <w:szCs w:val="24"/>
        </w:rPr>
        <w:t xml:space="preserve"> </w:t>
      </w:r>
      <w:proofErr w:type="spellStart"/>
      <w:r w:rsidRPr="00EE003F">
        <w:rPr>
          <w:rFonts w:ascii="Arial Narrow" w:hAnsi="Arial Narrow"/>
          <w:i/>
          <w:sz w:val="24"/>
          <w:szCs w:val="24"/>
        </w:rPr>
        <w:t>Intelligence</w:t>
      </w:r>
      <w:proofErr w:type="spellEnd"/>
      <w:r w:rsidRPr="00EE003F">
        <w:rPr>
          <w:rFonts w:ascii="Arial Narrow" w:hAnsi="Arial Narrow"/>
          <w:i/>
          <w:sz w:val="24"/>
          <w:szCs w:val="24"/>
        </w:rPr>
        <w:t xml:space="preserve"> </w:t>
      </w:r>
      <w:proofErr w:type="spellStart"/>
      <w:r w:rsidRPr="00EE003F">
        <w:rPr>
          <w:rFonts w:ascii="Arial Narrow" w:hAnsi="Arial Narrow"/>
          <w:i/>
          <w:sz w:val="24"/>
          <w:szCs w:val="24"/>
        </w:rPr>
        <w:t>Unit</w:t>
      </w:r>
      <w:proofErr w:type="spellEnd"/>
      <w:r w:rsidRPr="00EE003F">
        <w:rPr>
          <w:rFonts w:ascii="Arial Narrow" w:hAnsi="Arial Narrow"/>
          <w:sz w:val="24"/>
          <w:szCs w:val="24"/>
        </w:rPr>
        <w:t xml:space="preserve"> se basa en la estimación de 60 indicadores agrupados en cinco categorías: 1. Proceso electoral y pluralismo; 2. Libertades civiles; 3. Funcionamiento del gobierno; 4. Participación política; 5. Cultura política. Cada categoría tiene una calificación en una escala de 0 a 10,</w:t>
      </w:r>
      <w:r w:rsidR="004433E3" w:rsidRPr="00EE003F">
        <w:rPr>
          <w:rFonts w:ascii="Arial Narrow" w:hAnsi="Arial Narrow"/>
          <w:sz w:val="24"/>
          <w:szCs w:val="24"/>
        </w:rPr>
        <w:t xml:space="preserve"> donde 0 representa el menor valor y 10 el valor máximo</w:t>
      </w:r>
      <w:r w:rsidRPr="00EE003F">
        <w:rPr>
          <w:rFonts w:ascii="Arial Narrow" w:hAnsi="Arial Narrow"/>
          <w:sz w:val="24"/>
          <w:szCs w:val="24"/>
        </w:rPr>
        <w:t xml:space="preserve"> y el Índice de Democracia es el promedio simple de las cinco categorías.</w:t>
      </w:r>
    </w:p>
    <w:p w:rsidR="00010811"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b/>
          <w:sz w:val="24"/>
          <w:szCs w:val="24"/>
        </w:rPr>
        <w:t>Fomentar cultura nacional de respeto de los derechos humanos</w:t>
      </w:r>
      <w:r w:rsidRPr="00EE003F">
        <w:rPr>
          <w:rFonts w:ascii="Arial Narrow" w:hAnsi="Arial Narrow"/>
          <w:sz w:val="24"/>
          <w:szCs w:val="24"/>
        </w:rPr>
        <w:t>. Para este objetivo se utilizará el Índice de Libertad en el Mundo (</w:t>
      </w:r>
      <w:proofErr w:type="spellStart"/>
      <w:r w:rsidRPr="00EE003F">
        <w:rPr>
          <w:rFonts w:ascii="Arial Narrow" w:hAnsi="Arial Narrow"/>
          <w:i/>
          <w:sz w:val="24"/>
          <w:szCs w:val="24"/>
        </w:rPr>
        <w:t>Freedom</w:t>
      </w:r>
      <w:proofErr w:type="spellEnd"/>
      <w:r w:rsidRPr="00EE003F">
        <w:rPr>
          <w:rFonts w:ascii="Arial Narrow" w:hAnsi="Arial Narrow"/>
          <w:i/>
          <w:sz w:val="24"/>
          <w:szCs w:val="24"/>
        </w:rPr>
        <w:t xml:space="preserve"> </w:t>
      </w:r>
      <w:proofErr w:type="spellStart"/>
      <w:r w:rsidRPr="00EE003F">
        <w:rPr>
          <w:rFonts w:ascii="Arial Narrow" w:hAnsi="Arial Narrow"/>
          <w:i/>
          <w:sz w:val="24"/>
          <w:szCs w:val="24"/>
        </w:rPr>
        <w:t>House</w:t>
      </w:r>
      <w:proofErr w:type="spellEnd"/>
      <w:r w:rsidRPr="00EE003F">
        <w:rPr>
          <w:rFonts w:ascii="Arial Narrow" w:hAnsi="Arial Narrow"/>
          <w:sz w:val="24"/>
          <w:szCs w:val="24"/>
        </w:rPr>
        <w:t>), debido a que es el indicador que mejor evalúa el nivel de cumplimiento de los derechos humanos en el mundo. De acuerdo al mismo, los derechos políticos se evalúan según tres subcategorías: 1. Proceso electoral; 2. Pluralismo político y participación; 3. Funcionamiento del gobierno. Las libertades civiles se basan en una evaluación de cuatro subcategorías: 1. La libertad de expresión y de creencias; 2. Los derechos de asociación y de organización; 3. El imperio de la ley y la autonomía personal; 4. Los derechos individuales. La calificación se da entre 1 y 7, los valores cercanos a 1 otorgan una mejor posición en el índice.</w:t>
      </w:r>
    </w:p>
    <w:p w:rsidR="00B701A0" w:rsidRPr="00EE003F" w:rsidRDefault="00FD3FDA" w:rsidP="001A4E17">
      <w:pPr>
        <w:rPr>
          <w:rFonts w:ascii="Arial Narrow" w:hAnsi="Arial Narrow"/>
          <w:sz w:val="24"/>
          <w:szCs w:val="24"/>
        </w:rPr>
      </w:pPr>
      <w:r w:rsidRPr="00EE003F">
        <w:rPr>
          <w:rFonts w:ascii="Arial Narrow" w:hAnsi="Arial Narrow"/>
          <w:noProof/>
          <w:sz w:val="24"/>
          <w:szCs w:val="24"/>
          <w:lang w:eastAsia="es-PE"/>
        </w:rPr>
        <w:drawing>
          <wp:inline distT="0" distB="0" distL="0" distR="0" wp14:anchorId="2FCB5648" wp14:editId="26B9C4DA">
            <wp:extent cx="5225667" cy="30431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22521" cy="3041291"/>
                    </a:xfrm>
                    <a:prstGeom prst="rect">
                      <a:avLst/>
                    </a:prstGeom>
                    <a:noFill/>
                  </pic:spPr>
                </pic:pic>
              </a:graphicData>
            </a:graphic>
          </wp:inline>
        </w:drawing>
      </w:r>
    </w:p>
    <w:p w:rsidR="002C2BA8" w:rsidRPr="00EE003F" w:rsidRDefault="00A44DA2" w:rsidP="001A4E17">
      <w:pPr>
        <w:rPr>
          <w:rFonts w:ascii="Arial Narrow" w:hAnsi="Arial Narrow"/>
          <w:sz w:val="24"/>
          <w:szCs w:val="24"/>
        </w:rPr>
      </w:pPr>
      <w:r w:rsidRPr="00EE003F">
        <w:rPr>
          <w:noProof/>
          <w:lang w:eastAsia="es-PE"/>
        </w:rPr>
        <w:drawing>
          <wp:inline distT="0" distB="0" distL="0" distR="0" wp14:anchorId="3FC1979E" wp14:editId="00E259A0">
            <wp:extent cx="5400675" cy="3159865"/>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675" cy="3159865"/>
                    </a:xfrm>
                    <a:prstGeom prst="rect">
                      <a:avLst/>
                    </a:prstGeom>
                  </pic:spPr>
                </pic:pic>
              </a:graphicData>
            </a:graphic>
          </wp:inline>
        </w:drawing>
      </w:r>
    </w:p>
    <w:p w:rsidR="002C2BA8" w:rsidRPr="00EE003F" w:rsidRDefault="00FD3FDA" w:rsidP="001A4E17">
      <w:pPr>
        <w:rPr>
          <w:rFonts w:ascii="Arial Narrow" w:hAnsi="Arial Narrow"/>
          <w:b/>
          <w:sz w:val="24"/>
          <w:szCs w:val="24"/>
        </w:rPr>
      </w:pPr>
      <w:r w:rsidRPr="00EE003F">
        <w:rPr>
          <w:rFonts w:ascii="Arial Narrow" w:hAnsi="Arial Narrow"/>
          <w:b/>
          <w:sz w:val="24"/>
          <w:szCs w:val="24"/>
        </w:rPr>
        <w:t>I</w:t>
      </w:r>
      <w:r w:rsidR="002C2BA8" w:rsidRPr="00EE003F">
        <w:rPr>
          <w:rFonts w:ascii="Arial Narrow" w:hAnsi="Arial Narrow"/>
          <w:b/>
          <w:sz w:val="24"/>
          <w:szCs w:val="24"/>
        </w:rPr>
        <w:t>nterpretación</w:t>
      </w:r>
    </w:p>
    <w:p w:rsidR="002C2BA8" w:rsidRPr="00EE003F" w:rsidRDefault="002C2BA8" w:rsidP="00EA63A7">
      <w:pPr>
        <w:spacing w:before="120" w:after="0" w:line="240" w:lineRule="auto"/>
        <w:jc w:val="both"/>
        <w:rPr>
          <w:rFonts w:ascii="Arial Narrow" w:hAnsi="Arial Narrow"/>
          <w:sz w:val="24"/>
          <w:szCs w:val="24"/>
        </w:rPr>
      </w:pPr>
      <w:r w:rsidRPr="00EE003F">
        <w:rPr>
          <w:rFonts w:ascii="Arial Narrow" w:hAnsi="Arial Narrow"/>
          <w:sz w:val="24"/>
          <w:szCs w:val="24"/>
        </w:rPr>
        <w:t>Durante los últimos años las políticas públicas de inclusión social se han venido fortaleciendo, lo que se observa en la evolución de la posición del Perú en el Índice de Desarrollo Humano. Cabe resaltar que las políticas con énfasis en la educación, el aseguramiento integral de la población, y las políticas de inclusión social están consiguiendo una mejor distribución del ingreso. La mejora en la calidad del empleo, a través de la creciente formalización del trabajo, y el entorno económico e institucional también propiciarían el incremento en el bienestar de las personas. De esta forma, se lograría cumplir las metas propuestas.</w:t>
      </w:r>
    </w:p>
    <w:p w:rsidR="00B24BF6" w:rsidRPr="00EE003F" w:rsidRDefault="00B24BF6" w:rsidP="002C2BA8">
      <w:pPr>
        <w:rPr>
          <w:rFonts w:ascii="Arial Narrow" w:hAnsi="Arial Narrow"/>
          <w:sz w:val="24"/>
          <w:szCs w:val="24"/>
        </w:rPr>
      </w:pPr>
      <w:r w:rsidRPr="00EE003F">
        <w:rPr>
          <w:rFonts w:ascii="Arial Narrow" w:hAnsi="Arial Narrow"/>
          <w:noProof/>
          <w:lang w:eastAsia="es-PE"/>
        </w:rPr>
        <w:drawing>
          <wp:inline distT="0" distB="0" distL="0" distR="0" wp14:anchorId="0694FEB5" wp14:editId="1CFC2659">
            <wp:extent cx="5096510" cy="318833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96510" cy="3188335"/>
                    </a:xfrm>
                    <a:prstGeom prst="rect">
                      <a:avLst/>
                    </a:prstGeom>
                    <a:noFill/>
                    <a:ln>
                      <a:noFill/>
                    </a:ln>
                  </pic:spPr>
                </pic:pic>
              </a:graphicData>
            </a:graphic>
          </wp:inline>
        </w:drawing>
      </w:r>
    </w:p>
    <w:p w:rsidR="00B24BF6" w:rsidRPr="00EE003F" w:rsidRDefault="00B24BF6" w:rsidP="00B24BF6">
      <w:pPr>
        <w:rPr>
          <w:rFonts w:ascii="Arial Narrow" w:hAnsi="Arial Narrow"/>
          <w:b/>
          <w:sz w:val="32"/>
          <w:szCs w:val="32"/>
        </w:rPr>
      </w:pPr>
      <w:r w:rsidRPr="00EE003F">
        <w:rPr>
          <w:rFonts w:ascii="Arial Narrow" w:hAnsi="Arial Narrow"/>
          <w:b/>
          <w:sz w:val="32"/>
          <w:szCs w:val="32"/>
        </w:rPr>
        <w:t>Objetivo nacional, objetivos específicos y acciones estratégicas</w:t>
      </w:r>
    </w:p>
    <w:tbl>
      <w:tblPr>
        <w:tblStyle w:val="Tablaconcuadrcula"/>
        <w:tblW w:w="9039" w:type="dxa"/>
        <w:tblLayout w:type="fixed"/>
        <w:tblLook w:val="0000" w:firstRow="0" w:lastRow="0" w:firstColumn="0" w:lastColumn="0" w:noHBand="0" w:noVBand="0"/>
      </w:tblPr>
      <w:tblGrid>
        <w:gridCol w:w="1918"/>
        <w:gridCol w:w="7121"/>
      </w:tblGrid>
      <w:tr w:rsidR="006E3336" w:rsidRPr="00EE003F" w:rsidTr="007C6FF6">
        <w:trPr>
          <w:trHeight w:val="60"/>
        </w:trPr>
        <w:tc>
          <w:tcPr>
            <w:tcW w:w="9039" w:type="dxa"/>
            <w:gridSpan w:val="2"/>
          </w:tcPr>
          <w:p w:rsidR="00E143E8" w:rsidRPr="00EE003F" w:rsidRDefault="00E143E8" w:rsidP="00CE1AD0">
            <w:pPr>
              <w:pStyle w:val="BasicParagraph"/>
              <w:suppressAutoHyphens/>
              <w:rPr>
                <w:rStyle w:val="cuerpodetextotablas"/>
                <w:rFonts w:ascii="Arial Narrow" w:hAnsi="Arial Narrow" w:cs="Swis721 Cn BT"/>
                <w:b/>
                <w:bCs/>
                <w:color w:val="auto"/>
                <w:sz w:val="18"/>
                <w:szCs w:val="18"/>
                <w14:textOutline w14:w="9525" w14:cap="flat" w14:cmpd="sng" w14:algn="ctr">
                  <w14:solidFill>
                    <w14:srgbClr w14:val="000000"/>
                  </w14:solidFill>
                  <w14:prstDash w14:val="solid"/>
                  <w14:round/>
                </w14:textOutline>
              </w:rPr>
            </w:pPr>
            <w:r w:rsidRPr="00EE003F">
              <w:rPr>
                <w:rStyle w:val="cuerpodetextotablas"/>
                <w:rFonts w:ascii="Arial Narrow" w:hAnsi="Arial Narrow"/>
                <w:b/>
                <w:color w:val="auto"/>
                <w:sz w:val="18"/>
                <w:szCs w:val="18"/>
              </w:rPr>
              <w:t xml:space="preserve">Objetivo nacional: </w:t>
            </w:r>
            <w:r w:rsidRPr="00EE003F">
              <w:rPr>
                <w:rStyle w:val="cuerpodetextotablas"/>
                <w:rFonts w:ascii="Arial Narrow" w:hAnsi="Arial Narrow"/>
                <w:color w:val="auto"/>
                <w:sz w:val="18"/>
                <w:szCs w:val="18"/>
              </w:rPr>
              <w:t>“Ejercicio efectivo de los derechos humanos y dignidad de las personas, con inclusión social de la población más pobre y vulnerable”.</w:t>
            </w:r>
          </w:p>
        </w:tc>
      </w:tr>
      <w:tr w:rsidR="006E3336" w:rsidRPr="00EE003F" w:rsidTr="007C6FF6">
        <w:trPr>
          <w:trHeight w:val="60"/>
        </w:trPr>
        <w:tc>
          <w:tcPr>
            <w:tcW w:w="1918" w:type="dxa"/>
          </w:tcPr>
          <w:p w:rsidR="00E143E8" w:rsidRPr="00EE003F" w:rsidRDefault="00E143E8" w:rsidP="00CE1AD0">
            <w:pPr>
              <w:pStyle w:val="BasicParagraph"/>
              <w:suppressAutoHyphens/>
              <w:ind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Objetivos específicos</w:t>
            </w:r>
          </w:p>
        </w:tc>
        <w:tc>
          <w:tcPr>
            <w:tcW w:w="7121" w:type="dxa"/>
          </w:tcPr>
          <w:p w:rsidR="00E143E8" w:rsidRPr="00EE003F" w:rsidRDefault="00E143E8" w:rsidP="00C810AE">
            <w:pPr>
              <w:pStyle w:val="BasicParagraph"/>
              <w:tabs>
                <w:tab w:val="left" w:pos="227"/>
              </w:tabs>
              <w:suppressAutoHyphens/>
              <w:spacing w:before="113"/>
              <w:ind w:left="227" w:hanging="227"/>
              <w:jc w:val="both"/>
              <w:rPr>
                <w:rStyle w:val="cuerpodetextotablas"/>
                <w:rFonts w:ascii="Arial Narrow" w:hAnsi="Arial Narrow"/>
                <w:b/>
                <w:color w:val="auto"/>
                <w:sz w:val="18"/>
                <w:szCs w:val="18"/>
              </w:rPr>
            </w:pPr>
            <w:r w:rsidRPr="00EE003F">
              <w:rPr>
                <w:rStyle w:val="cuerpodetextotablas"/>
                <w:rFonts w:ascii="Arial Narrow" w:hAnsi="Arial Narrow"/>
                <w:b/>
                <w:color w:val="auto"/>
                <w:sz w:val="18"/>
                <w:szCs w:val="18"/>
              </w:rPr>
              <w:t>Acciones estratégicas</w:t>
            </w:r>
          </w:p>
        </w:tc>
      </w:tr>
      <w:tr w:rsidR="006E3336" w:rsidRPr="00EE003F" w:rsidTr="007C6FF6">
        <w:trPr>
          <w:trHeight w:val="60"/>
        </w:trPr>
        <w:tc>
          <w:tcPr>
            <w:tcW w:w="1918" w:type="dxa"/>
            <w:vMerge w:val="restart"/>
          </w:tcPr>
          <w:p w:rsidR="00E143E8" w:rsidRPr="00EE003F" w:rsidRDefault="00E143E8" w:rsidP="00B12004">
            <w:pPr>
              <w:pStyle w:val="BasicParagraph"/>
              <w:numPr>
                <w:ilvl w:val="0"/>
                <w:numId w:val="37"/>
              </w:numPr>
              <w:suppressAutoHyphens/>
              <w:ind w:left="284" w:right="170" w:hanging="284"/>
              <w:rPr>
                <w:rStyle w:val="negritatablas"/>
                <w:rFonts w:ascii="Arial Narrow" w:hAnsi="Arial Narrow"/>
                <w:color w:val="auto"/>
                <w:sz w:val="18"/>
                <w:szCs w:val="18"/>
                <w:lang w:val="es-PE"/>
              </w:rPr>
            </w:pPr>
            <w:r w:rsidRPr="00EE003F">
              <w:rPr>
                <w:rStyle w:val="negritatablas"/>
                <w:rFonts w:ascii="Arial Narrow" w:hAnsi="Arial Narrow"/>
                <w:color w:val="auto"/>
                <w:sz w:val="18"/>
                <w:szCs w:val="18"/>
              </w:rPr>
              <w:t>Desarrollar capacidades</w:t>
            </w:r>
            <w:r w:rsidR="00CE1AD0" w:rsidRPr="00EE003F">
              <w:rPr>
                <w:rStyle w:val="negritatablas"/>
                <w:rFonts w:ascii="Arial Narrow" w:hAnsi="Arial Narrow"/>
                <w:color w:val="auto"/>
                <w:sz w:val="18"/>
                <w:szCs w:val="18"/>
              </w:rPr>
              <w:t xml:space="preserve"> </w:t>
            </w:r>
          </w:p>
          <w:p w:rsidR="00E143E8" w:rsidRPr="00EE003F" w:rsidRDefault="00E143E8"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y generar oportunidades</w:t>
            </w:r>
          </w:p>
          <w:p w:rsidR="00E143E8" w:rsidRPr="00EE003F" w:rsidRDefault="00E143E8"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para la población</w:t>
            </w:r>
          </w:p>
          <w:p w:rsidR="00E143E8" w:rsidRPr="00EE003F" w:rsidRDefault="00E143E8"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en proceso de inclusión</w:t>
            </w:r>
          </w:p>
          <w:p w:rsidR="00E143E8" w:rsidRPr="00EE003F" w:rsidRDefault="00E143E8"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social</w:t>
            </w:r>
          </w:p>
          <w:p w:rsidR="00E143E8" w:rsidRPr="00EE003F" w:rsidRDefault="00E143E8" w:rsidP="005837BA">
            <w:pPr>
              <w:pStyle w:val="BasicParagraph"/>
              <w:suppressAutoHyphens/>
              <w:ind w:left="284" w:right="170" w:hanging="284"/>
              <w:rPr>
                <w:rFonts w:ascii="Arial Narrow" w:hAnsi="Arial Narrow"/>
                <w:color w:val="auto"/>
                <w:sz w:val="18"/>
                <w:szCs w:val="18"/>
              </w:rPr>
            </w:pPr>
          </w:p>
        </w:tc>
        <w:tc>
          <w:tcPr>
            <w:tcW w:w="7121" w:type="dxa"/>
          </w:tcPr>
          <w:p w:rsidR="00E143E8" w:rsidRPr="00EE003F" w:rsidRDefault="00E143E8" w:rsidP="00B12004">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 xml:space="preserve">Armonizar los planes y políticas regionales y locales con los Objetivos de Desarrollo </w:t>
            </w:r>
            <w:r w:rsidR="0010588E" w:rsidRPr="00EE003F">
              <w:rPr>
                <w:rStyle w:val="cuerpodetextotablas"/>
                <w:rFonts w:ascii="Arial Narrow" w:hAnsi="Arial Narrow"/>
                <w:color w:val="auto"/>
                <w:sz w:val="18"/>
                <w:szCs w:val="18"/>
              </w:rPr>
              <w:t xml:space="preserve">Sostenible </w:t>
            </w:r>
            <w:r w:rsidRPr="00EE003F">
              <w:rPr>
                <w:rStyle w:val="cuerpodetextotablas"/>
                <w:rFonts w:ascii="Arial Narrow" w:hAnsi="Arial Narrow"/>
                <w:color w:val="auto"/>
                <w:sz w:val="18"/>
                <w:szCs w:val="18"/>
              </w:rPr>
              <w:t>y el marco nacional e internacional de derechos humanos.</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Mejorar las capacidades de gestión social en las instancias de los gobiernos regionales y locales, con asistencia técnica y recursos, priorizando las zonas de mayor vulnerabilidad e inequidad.</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Mejorar las coordinaciones intergubernamentales e intersectoriales referidas a la política de desarrollo e inclusión social.</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 xml:space="preserve">Priorizar el combate de la violencia y maltrato familiar en hogares con niños, niñas y adolescentes orientados a generar ambientes más saludables de desarrollo. </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Priorizar asignaciones presupuestales para acciones y programas sociales orientados a mejorar la nutrición y  salud de la madre gestante y de los niños entre 0 y 3 años.</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Garantizar la seguridad alimentaria de toda la población</w:t>
            </w:r>
            <w:r w:rsidR="003F6DE7" w:rsidRPr="00EE003F">
              <w:rPr>
                <w:rStyle w:val="Refdenotaalpie"/>
                <w:rFonts w:ascii="Arial Narrow" w:hAnsi="Arial Narrow" w:cs="Swis721 LtCn BT"/>
                <w:color w:val="auto"/>
                <w:sz w:val="18"/>
                <w:szCs w:val="18"/>
              </w:rPr>
              <w:footnoteReference w:id="24"/>
            </w:r>
            <w:r w:rsidRPr="00EE003F">
              <w:rPr>
                <w:rStyle w:val="cuerpodetextotablas"/>
                <w:rFonts w:ascii="Arial Narrow" w:hAnsi="Arial Narrow"/>
                <w:color w:val="auto"/>
                <w:sz w:val="18"/>
                <w:szCs w:val="18"/>
              </w:rPr>
              <w:t xml:space="preserve"> y en especial de los grupos en situación de vulnerabilidad, a través del desarrollo de proyectos productivos pecuarios, agrarios y pesqueros para consumo humano.</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BD77BE"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 xml:space="preserve">Fortalecer el desarrollo de capacidades productivas y empresariales de productores agrarios a través de los programas tales como: La plataforma de servicios “Tambos”, “Escuelas de Campo agropecuarias”, entre otros, como ejes de transferencia tecnológica. </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Desarrollar mecanismos de protección social con servicios dirigidos a la población adulta mayor de 65 años a más, incluyendo la adecuación intercultural de algunos servicios básicos en zonas con poblaciones indígenas.</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pacing w:val="-2"/>
                <w:sz w:val="18"/>
                <w:szCs w:val="18"/>
              </w:rPr>
              <w:t>Incorporar componentes de tipo productivo en las acciones y programas sociales que permitan desarrollar las capacidades productivas de las familias en situación de vulnerabilidad económica.</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Mejorar la calidad y ampliar la cobertura de los servicios de guardería infantil, en especial en los distritos más pobres, para facilitar el acceso de las madres al mercado de trabajo.</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 xml:space="preserve">Implementar sistemas de seguimiento y monitoreo a los programas sociales para medir su impacto en el avance de los indicadores de los Objetivos de Desarrollo </w:t>
            </w:r>
            <w:r w:rsidR="00843306" w:rsidRPr="00EE003F">
              <w:rPr>
                <w:rStyle w:val="cuerpodetextotablas"/>
                <w:rFonts w:ascii="Arial Narrow" w:hAnsi="Arial Narrow"/>
                <w:color w:val="auto"/>
                <w:sz w:val="18"/>
                <w:szCs w:val="18"/>
              </w:rPr>
              <w:t xml:space="preserve">Sostenible </w:t>
            </w:r>
            <w:r w:rsidRPr="00EE003F">
              <w:rPr>
                <w:rStyle w:val="cuerpodetextotablas"/>
                <w:rFonts w:ascii="Arial Narrow" w:hAnsi="Arial Narrow"/>
                <w:color w:val="auto"/>
                <w:sz w:val="18"/>
                <w:szCs w:val="18"/>
              </w:rPr>
              <w:t>y la estrategia “Incluir para crecer”, especialmente en zonas de mayor inequidad.</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Implementar programas de complementación alimentaria para enfrentar la desnutrición.</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Garantizar la prestación de servicios y programas sociales a poblaciones rurales, rurales dispersas y los Pueblos Indígenas y Tribales dispersos, a través de la Plataforma de Servicios “Tambos”, para desarrollar o fortalecer sus capacidades productivas individuales y comunitarias.</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631573">
            <w:pPr>
              <w:pStyle w:val="BasicParagraph"/>
              <w:numPr>
                <w:ilvl w:val="0"/>
                <w:numId w:val="19"/>
              </w:numPr>
              <w:tabs>
                <w:tab w:val="left" w:pos="227"/>
              </w:tabs>
              <w:suppressAutoHyphens/>
              <w:spacing w:before="113"/>
              <w:ind w:left="350" w:hanging="425"/>
              <w:jc w:val="both"/>
              <w:rPr>
                <w:rFonts w:ascii="Arial Narrow" w:hAnsi="Arial Narrow"/>
                <w:color w:val="auto"/>
                <w:sz w:val="18"/>
                <w:szCs w:val="18"/>
              </w:rPr>
            </w:pPr>
            <w:r w:rsidRPr="00EE003F">
              <w:rPr>
                <w:rStyle w:val="cuerpodetextotablas"/>
                <w:rFonts w:ascii="Arial Narrow" w:hAnsi="Arial Narrow"/>
                <w:color w:val="auto"/>
                <w:sz w:val="18"/>
                <w:szCs w:val="18"/>
              </w:rPr>
              <w:t>Promover la articulación de servicios básicos y programas sociales a través de Plataformas</w:t>
            </w:r>
            <w:r w:rsidR="00D14220" w:rsidRPr="00EE003F">
              <w:rPr>
                <w:rStyle w:val="cuerpodetextotablas"/>
                <w:rFonts w:ascii="Arial Narrow" w:hAnsi="Arial Narrow"/>
                <w:color w:val="auto"/>
                <w:sz w:val="18"/>
                <w:szCs w:val="18"/>
              </w:rPr>
              <w:t xml:space="preserve"> </w:t>
            </w:r>
            <w:r w:rsidRPr="00EE003F">
              <w:rPr>
                <w:rStyle w:val="cuerpodetextotablas"/>
                <w:rFonts w:ascii="Arial Narrow" w:hAnsi="Arial Narrow"/>
                <w:color w:val="auto"/>
                <w:sz w:val="18"/>
                <w:szCs w:val="18"/>
              </w:rPr>
              <w:t>Itinerantes de Acción Social.</w:t>
            </w:r>
          </w:p>
        </w:tc>
      </w:tr>
      <w:tr w:rsidR="006E3336" w:rsidRPr="00EE003F" w:rsidTr="007C6FF6">
        <w:trPr>
          <w:trHeight w:val="60"/>
        </w:trPr>
        <w:tc>
          <w:tcPr>
            <w:tcW w:w="1918" w:type="dxa"/>
            <w:vMerge w:val="restart"/>
          </w:tcPr>
          <w:p w:rsidR="00885CEC" w:rsidRPr="00EE003F" w:rsidRDefault="00885CEC" w:rsidP="00B34E4E">
            <w:pPr>
              <w:pStyle w:val="BasicParagraph"/>
              <w:numPr>
                <w:ilvl w:val="0"/>
                <w:numId w:val="37"/>
              </w:numPr>
              <w:suppressAutoHyphens/>
              <w:ind w:left="284" w:right="170" w:hanging="284"/>
              <w:rPr>
                <w:rStyle w:val="negritatablas"/>
                <w:rFonts w:ascii="Arial Narrow" w:hAnsi="Arial Narrow"/>
                <w:color w:val="auto"/>
                <w:sz w:val="18"/>
                <w:szCs w:val="18"/>
                <w:lang w:val="es-PE"/>
              </w:rPr>
            </w:pPr>
            <w:r w:rsidRPr="00EE003F">
              <w:rPr>
                <w:rStyle w:val="negritatablas"/>
                <w:rFonts w:ascii="Arial Narrow" w:hAnsi="Arial Narrow"/>
                <w:color w:val="auto"/>
                <w:sz w:val="18"/>
                <w:szCs w:val="18"/>
              </w:rPr>
              <w:t>Erradicar todas</w:t>
            </w:r>
          </w:p>
          <w:p w:rsidR="00885CEC" w:rsidRPr="00EE003F" w:rsidRDefault="00885CEC"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las formas de</w:t>
            </w:r>
          </w:p>
          <w:p w:rsidR="00885CEC" w:rsidRPr="00EE003F" w:rsidRDefault="00885CEC"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discriminación</w:t>
            </w:r>
          </w:p>
          <w:p w:rsidR="00885CEC" w:rsidRPr="00EE003F" w:rsidRDefault="00885CEC" w:rsidP="00CE1AD0">
            <w:pPr>
              <w:pStyle w:val="BasicParagraph"/>
              <w:suppressAutoHyphens/>
              <w:ind w:left="284" w:right="170" w:hanging="284"/>
              <w:rPr>
                <w:rFonts w:ascii="Arial Narrow" w:hAnsi="Arial Narrow"/>
                <w:color w:val="auto"/>
                <w:sz w:val="18"/>
                <w:szCs w:val="18"/>
              </w:rPr>
            </w:pPr>
          </w:p>
        </w:tc>
        <w:tc>
          <w:tcPr>
            <w:tcW w:w="7121" w:type="dxa"/>
          </w:tcPr>
          <w:p w:rsidR="00885CEC" w:rsidRPr="00EE003F" w:rsidRDefault="00885CEC"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pacing w:val="-2"/>
                <w:sz w:val="18"/>
                <w:szCs w:val="18"/>
              </w:rPr>
              <w:t>1.</w:t>
            </w:r>
            <w:r w:rsidRPr="00EE003F">
              <w:rPr>
                <w:rStyle w:val="cuerpodetextotablas"/>
                <w:rFonts w:ascii="Arial Narrow" w:hAnsi="Arial Narrow"/>
                <w:color w:val="auto"/>
                <w:spacing w:val="-2"/>
                <w:sz w:val="18"/>
                <w:szCs w:val="18"/>
              </w:rPr>
              <w:tab/>
              <w:t>Institucionalizar un organismo que evalúe el cumplimiento de las políticas y normas que promueven la equidad de género y las acciones afirmativas en favor de la población en situación de vulnerabilidad, en las entidades públicas y privadas y en los ámbitos nacional, regional y local.</w:t>
            </w:r>
          </w:p>
        </w:tc>
      </w:tr>
      <w:tr w:rsidR="006E3336" w:rsidRPr="00EE003F" w:rsidTr="007C6FF6">
        <w:trPr>
          <w:trHeight w:val="60"/>
        </w:trPr>
        <w:tc>
          <w:tcPr>
            <w:tcW w:w="1918" w:type="dxa"/>
            <w:vMerge/>
          </w:tcPr>
          <w:p w:rsidR="00885CEC" w:rsidRPr="00EE003F" w:rsidRDefault="00885CEC"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885CEC" w:rsidRPr="00EE003F" w:rsidRDefault="00885CEC"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2.</w:t>
            </w:r>
            <w:r w:rsidRPr="00EE003F">
              <w:rPr>
                <w:rStyle w:val="cuerpodetextotablas"/>
                <w:rFonts w:ascii="Arial Narrow" w:hAnsi="Arial Narrow"/>
                <w:color w:val="auto"/>
                <w:sz w:val="18"/>
                <w:szCs w:val="18"/>
              </w:rPr>
              <w:tab/>
              <w:t>Institucionalizar oficinas de asesoramiento técnico a los gobiernos regionales y locales para la inclusión de acciones para la prevención y atención de la violencia hacia la mujer.</w:t>
            </w:r>
          </w:p>
        </w:tc>
      </w:tr>
      <w:tr w:rsidR="006E3336" w:rsidRPr="00EE003F" w:rsidTr="007C6FF6">
        <w:trPr>
          <w:trHeight w:val="60"/>
        </w:trPr>
        <w:tc>
          <w:tcPr>
            <w:tcW w:w="1918" w:type="dxa"/>
            <w:vMerge/>
          </w:tcPr>
          <w:p w:rsidR="00885CEC" w:rsidRPr="00EE003F" w:rsidRDefault="00885CEC"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885CEC" w:rsidRPr="00EE003F" w:rsidRDefault="00885CEC"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3.</w:t>
            </w:r>
            <w:r w:rsidRPr="00EE003F">
              <w:rPr>
                <w:rStyle w:val="cuerpodetextotablas"/>
                <w:rFonts w:ascii="Arial Narrow" w:hAnsi="Arial Narrow"/>
                <w:color w:val="auto"/>
                <w:sz w:val="18"/>
                <w:szCs w:val="18"/>
              </w:rPr>
              <w:tab/>
              <w:t>Incorporación de la perspectiva de género, con especial interés en la participación de la mujer rural en actividades agrarias y productivas,  como eje transversal en las políticas, planes, programas y proyectos del Estado.</w:t>
            </w:r>
          </w:p>
        </w:tc>
      </w:tr>
      <w:tr w:rsidR="006E3336" w:rsidRPr="00EE003F" w:rsidTr="007C6FF6">
        <w:trPr>
          <w:trHeight w:val="60"/>
        </w:trPr>
        <w:tc>
          <w:tcPr>
            <w:tcW w:w="1918" w:type="dxa"/>
            <w:vMerge/>
          </w:tcPr>
          <w:p w:rsidR="00885CEC" w:rsidRPr="00EE003F" w:rsidRDefault="00885CEC"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885CEC" w:rsidRPr="00EE003F" w:rsidRDefault="00885CEC"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4.</w:t>
            </w:r>
            <w:r w:rsidRPr="00EE003F">
              <w:rPr>
                <w:rStyle w:val="cuerpodetextotablas"/>
                <w:rFonts w:ascii="Arial Narrow" w:hAnsi="Arial Narrow"/>
                <w:color w:val="auto"/>
                <w:sz w:val="18"/>
                <w:szCs w:val="18"/>
              </w:rPr>
              <w:tab/>
            </w:r>
            <w:r w:rsidRPr="00EE003F">
              <w:rPr>
                <w:rStyle w:val="cuerpodetextotablas"/>
                <w:rFonts w:ascii="Arial Narrow" w:hAnsi="Arial Narrow"/>
                <w:color w:val="auto"/>
                <w:spacing w:val="-2"/>
                <w:sz w:val="18"/>
                <w:szCs w:val="18"/>
              </w:rPr>
              <w:t>Fomentar la creación de redes de investigación y promover el conocimiento de la historia, las tradiciones, los idiomas, la cultura y las prácticas y saberes ancestrales de los pueblos indígenas.</w:t>
            </w:r>
          </w:p>
        </w:tc>
      </w:tr>
      <w:tr w:rsidR="006E3336" w:rsidRPr="00EE003F" w:rsidTr="007C6FF6">
        <w:trPr>
          <w:trHeight w:val="60"/>
        </w:trPr>
        <w:tc>
          <w:tcPr>
            <w:tcW w:w="1918" w:type="dxa"/>
            <w:vMerge/>
          </w:tcPr>
          <w:p w:rsidR="00885CEC" w:rsidRPr="00EE003F" w:rsidRDefault="00885CEC"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885CEC" w:rsidRPr="00EE003F" w:rsidRDefault="00885CEC"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5.</w:t>
            </w:r>
            <w:r w:rsidRPr="00EE003F">
              <w:rPr>
                <w:rStyle w:val="cuerpodetextotablas"/>
                <w:rFonts w:ascii="Arial Narrow" w:hAnsi="Arial Narrow"/>
                <w:color w:val="auto"/>
                <w:sz w:val="18"/>
                <w:szCs w:val="18"/>
              </w:rPr>
              <w:tab/>
              <w:t>Emitir ordenanzas regionales, planes de desarrollo y toda normativa que pueda afectar derechos o intereses de pueblos indígenas en el idioma de los pueblos indígenas involucrados.</w:t>
            </w:r>
          </w:p>
        </w:tc>
      </w:tr>
      <w:tr w:rsidR="006E3336" w:rsidRPr="00EE003F" w:rsidTr="007C6FF6">
        <w:trPr>
          <w:trHeight w:val="665"/>
        </w:trPr>
        <w:tc>
          <w:tcPr>
            <w:tcW w:w="1918" w:type="dxa"/>
            <w:vMerge/>
          </w:tcPr>
          <w:p w:rsidR="00885CEC" w:rsidRPr="00EE003F" w:rsidRDefault="00885CEC"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885CEC" w:rsidRPr="00EE003F" w:rsidRDefault="00885CEC"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6.</w:t>
            </w:r>
            <w:r w:rsidRPr="00EE003F">
              <w:rPr>
                <w:rStyle w:val="cuerpodetextotablas"/>
                <w:rFonts w:ascii="Arial Narrow" w:hAnsi="Arial Narrow"/>
                <w:color w:val="auto"/>
                <w:sz w:val="18"/>
                <w:szCs w:val="18"/>
              </w:rPr>
              <w:tab/>
              <w:t>Implementar un sistema de prevención, atención y monitoreo contra la discriminación racial, la violencia familiar y la violencia de género en el sector público y privado desde un enfoque de derechos humanos.</w:t>
            </w:r>
          </w:p>
        </w:tc>
      </w:tr>
      <w:tr w:rsidR="006E3336" w:rsidRPr="00EE003F" w:rsidTr="007C6FF6">
        <w:trPr>
          <w:trHeight w:val="281"/>
        </w:trPr>
        <w:tc>
          <w:tcPr>
            <w:tcW w:w="1918" w:type="dxa"/>
            <w:vMerge/>
          </w:tcPr>
          <w:p w:rsidR="00885CEC" w:rsidRPr="00EE003F" w:rsidRDefault="00885CEC"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885CEC" w:rsidRPr="00EE003F" w:rsidRDefault="00885CEC"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7.</w:t>
            </w:r>
            <w:r w:rsidRPr="00EE003F">
              <w:rPr>
                <w:rStyle w:val="cuerpodetextotablas"/>
                <w:rFonts w:ascii="Arial Narrow" w:hAnsi="Arial Narrow"/>
                <w:color w:val="auto"/>
                <w:spacing w:val="-21"/>
                <w:sz w:val="18"/>
                <w:szCs w:val="18"/>
              </w:rPr>
              <w:tab/>
            </w:r>
            <w:r w:rsidRPr="00EE003F">
              <w:rPr>
                <w:rStyle w:val="cuerpodetextotablas"/>
                <w:rFonts w:ascii="Arial Narrow" w:hAnsi="Arial Narrow"/>
                <w:color w:val="auto"/>
                <w:spacing w:val="-5"/>
                <w:sz w:val="18"/>
                <w:szCs w:val="18"/>
              </w:rPr>
              <w:t>Institucionalizar oficinas para la rehabilitación física y psicológica a las víctimas de la violencia sexual.</w:t>
            </w:r>
          </w:p>
        </w:tc>
      </w:tr>
      <w:tr w:rsidR="006E3336" w:rsidRPr="00EE003F" w:rsidTr="007C6FF6">
        <w:trPr>
          <w:trHeight w:val="281"/>
        </w:trPr>
        <w:tc>
          <w:tcPr>
            <w:tcW w:w="1918" w:type="dxa"/>
            <w:vMerge/>
          </w:tcPr>
          <w:p w:rsidR="00885CEC" w:rsidRPr="00EE003F" w:rsidRDefault="00885CEC"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885CEC" w:rsidRPr="00EE003F" w:rsidRDefault="00885CEC"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pacing w:val="-7"/>
                <w:sz w:val="18"/>
                <w:szCs w:val="18"/>
              </w:rPr>
              <w:t>8.</w:t>
            </w:r>
            <w:r w:rsidRPr="00EE003F">
              <w:rPr>
                <w:rStyle w:val="cuerpodetextotablas"/>
                <w:rFonts w:ascii="Arial Narrow" w:hAnsi="Arial Narrow"/>
                <w:color w:val="auto"/>
                <w:spacing w:val="-7"/>
                <w:sz w:val="18"/>
                <w:szCs w:val="18"/>
              </w:rPr>
              <w:tab/>
            </w:r>
            <w:r w:rsidRPr="00EE003F">
              <w:rPr>
                <w:rStyle w:val="cuerpodetextotablas"/>
                <w:rFonts w:ascii="Arial Narrow" w:hAnsi="Arial Narrow"/>
                <w:color w:val="auto"/>
                <w:sz w:val="18"/>
                <w:szCs w:val="18"/>
              </w:rPr>
              <w:t>Asegurar el acceso a la justicia a través del patrocinio legal gratuito a las mujeres y poblaciones vulnerables.</w:t>
            </w:r>
          </w:p>
        </w:tc>
      </w:tr>
      <w:tr w:rsidR="006E3336" w:rsidRPr="00EE003F" w:rsidTr="007C6FF6">
        <w:trPr>
          <w:trHeight w:val="281"/>
        </w:trPr>
        <w:tc>
          <w:tcPr>
            <w:tcW w:w="1918" w:type="dxa"/>
            <w:vMerge/>
          </w:tcPr>
          <w:p w:rsidR="00885CEC" w:rsidRPr="00EE003F" w:rsidRDefault="00885CEC"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885CEC" w:rsidRPr="00EE003F" w:rsidRDefault="00885CEC" w:rsidP="00C810AE">
            <w:pPr>
              <w:pStyle w:val="BasicParagraph"/>
              <w:ind w:left="283" w:hanging="283"/>
              <w:jc w:val="both"/>
              <w:rPr>
                <w:rStyle w:val="cuerpodetextotablas"/>
                <w:rFonts w:ascii="Arial Narrow" w:hAnsi="Arial Narrow"/>
                <w:color w:val="auto"/>
                <w:spacing w:val="-7"/>
                <w:sz w:val="18"/>
                <w:szCs w:val="18"/>
              </w:rPr>
            </w:pPr>
            <w:r w:rsidRPr="00EE003F">
              <w:rPr>
                <w:rStyle w:val="cuerpodetextotablas"/>
                <w:rFonts w:ascii="Arial Narrow" w:hAnsi="Arial Narrow"/>
                <w:color w:val="auto"/>
                <w:spacing w:val="-7"/>
                <w:sz w:val="18"/>
                <w:szCs w:val="18"/>
              </w:rPr>
              <w:t>9.      Fortalecer el sistema de identidad y de registros civiles garantizando los niveles de acceso a la identidad.</w:t>
            </w:r>
          </w:p>
        </w:tc>
      </w:tr>
      <w:tr w:rsidR="006E3336" w:rsidRPr="00EE003F" w:rsidTr="007C6FF6">
        <w:trPr>
          <w:trHeight w:val="60"/>
        </w:trPr>
        <w:tc>
          <w:tcPr>
            <w:tcW w:w="1918" w:type="dxa"/>
            <w:vMerge w:val="restart"/>
          </w:tcPr>
          <w:p w:rsidR="00E143E8" w:rsidRPr="00EE003F" w:rsidRDefault="00E143E8" w:rsidP="00B34E4E">
            <w:pPr>
              <w:pStyle w:val="BasicParagraph"/>
              <w:numPr>
                <w:ilvl w:val="0"/>
                <w:numId w:val="37"/>
              </w:numPr>
              <w:suppressAutoHyphens/>
              <w:ind w:left="284" w:right="170" w:hanging="284"/>
              <w:rPr>
                <w:rStyle w:val="negritatablas"/>
                <w:rFonts w:ascii="Arial Narrow" w:hAnsi="Arial Narrow"/>
                <w:color w:val="auto"/>
                <w:sz w:val="18"/>
                <w:szCs w:val="18"/>
                <w:lang w:val="es-PE"/>
              </w:rPr>
            </w:pPr>
            <w:r w:rsidRPr="00EE003F">
              <w:rPr>
                <w:rStyle w:val="negritatablas"/>
                <w:rFonts w:ascii="Arial Narrow" w:hAnsi="Arial Narrow"/>
                <w:color w:val="auto"/>
                <w:sz w:val="18"/>
                <w:szCs w:val="18"/>
              </w:rPr>
              <w:t xml:space="preserve">Garantizar el </w:t>
            </w:r>
          </w:p>
          <w:p w:rsidR="00E143E8" w:rsidRPr="00EE003F" w:rsidRDefault="00E143E8"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 xml:space="preserve">derecho a la </w:t>
            </w:r>
            <w:r w:rsidRPr="00EE003F">
              <w:rPr>
                <w:rStyle w:val="negritatablas"/>
                <w:rFonts w:ascii="Arial Narrow" w:hAnsi="Arial Narrow"/>
                <w:color w:val="auto"/>
                <w:sz w:val="18"/>
                <w:szCs w:val="18"/>
              </w:rPr>
              <w:br/>
              <w:t xml:space="preserve">participación política </w:t>
            </w:r>
            <w:r w:rsidRPr="00EE003F">
              <w:rPr>
                <w:rStyle w:val="negritatablas"/>
                <w:rFonts w:ascii="Arial Narrow" w:hAnsi="Arial Narrow"/>
                <w:color w:val="auto"/>
                <w:sz w:val="18"/>
                <w:szCs w:val="18"/>
              </w:rPr>
              <w:br/>
              <w:t>y a la ciudadanía</w:t>
            </w:r>
          </w:p>
          <w:p w:rsidR="00E143E8" w:rsidRPr="00EE003F" w:rsidRDefault="00E143E8"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intercultural</w:t>
            </w:r>
          </w:p>
          <w:p w:rsidR="00E143E8" w:rsidRPr="00EE003F" w:rsidRDefault="00E143E8" w:rsidP="00CE1AD0">
            <w:pPr>
              <w:pStyle w:val="BasicParagraph"/>
              <w:suppressAutoHyphens/>
              <w:ind w:left="284" w:right="170" w:hanging="284"/>
              <w:rPr>
                <w:rFonts w:ascii="Arial Narrow" w:hAnsi="Arial Narrow"/>
                <w:color w:val="auto"/>
                <w:sz w:val="18"/>
                <w:szCs w:val="18"/>
              </w:rPr>
            </w:pPr>
          </w:p>
        </w:tc>
        <w:tc>
          <w:tcPr>
            <w:tcW w:w="7121" w:type="dxa"/>
          </w:tcPr>
          <w:p w:rsidR="00E143E8" w:rsidRPr="00EE003F" w:rsidRDefault="00E143E8"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1.</w:t>
            </w:r>
            <w:r w:rsidRPr="00EE003F">
              <w:rPr>
                <w:rStyle w:val="cuerpodetextotablas"/>
                <w:rFonts w:ascii="Arial Narrow" w:hAnsi="Arial Narrow"/>
                <w:color w:val="auto"/>
                <w:sz w:val="18"/>
                <w:szCs w:val="18"/>
              </w:rPr>
              <w:tab/>
              <w:t>Desarrollar espacios para la formación cívico ciudadana y de iniciación temprana en prácticas democráticas.</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2.</w:t>
            </w:r>
            <w:r w:rsidRPr="00EE003F">
              <w:rPr>
                <w:rStyle w:val="cuerpodetextotablas"/>
                <w:rFonts w:ascii="Arial Narrow" w:hAnsi="Arial Narrow"/>
                <w:color w:val="auto"/>
                <w:sz w:val="18"/>
                <w:szCs w:val="18"/>
              </w:rPr>
              <w:tab/>
              <w:t>Fortalecer los espacios de participación, concertación y control en todos los niveles de gobierno, con especial atención a los jóvenes, mujeres, población en situación de vulnerabilidad y pueblos indígenas, reconociendo la diversidad sociocultural.</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3.</w:t>
            </w:r>
            <w:r w:rsidRPr="00EE003F">
              <w:rPr>
                <w:rStyle w:val="cuerpodetextotablas"/>
                <w:rFonts w:ascii="Arial Narrow" w:hAnsi="Arial Narrow"/>
                <w:color w:val="auto"/>
                <w:sz w:val="18"/>
                <w:szCs w:val="18"/>
              </w:rPr>
              <w:tab/>
              <w:t>Incrementar el conocimiento de los representantes de las organizaciones sociales sobre los mecanismos de participación y control ciudadanos.</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4.</w:t>
            </w:r>
            <w:r w:rsidRPr="00EE003F">
              <w:rPr>
                <w:rStyle w:val="cuerpodetextotablas"/>
                <w:rFonts w:ascii="Arial Narrow" w:hAnsi="Arial Narrow"/>
                <w:color w:val="auto"/>
                <w:sz w:val="18"/>
                <w:szCs w:val="18"/>
              </w:rPr>
              <w:tab/>
              <w:t>Fortalecer los procesos de democracia al interior de las organizaciones políticas a través del fortalecimiento de sus elecciones internas, la transparencia y el financiamiento público de los partidos políticos.</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E143E8"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5.</w:t>
            </w:r>
            <w:r w:rsidRPr="00EE003F">
              <w:rPr>
                <w:rStyle w:val="cuerpodetextotablas"/>
                <w:rFonts w:ascii="Arial Narrow" w:hAnsi="Arial Narrow"/>
                <w:color w:val="auto"/>
                <w:sz w:val="18"/>
                <w:szCs w:val="18"/>
              </w:rPr>
              <w:tab/>
              <w:t>Promover espacios de diálogo intercultural del Estado y los pueblos indígenas a través de los procesos de consulta previa.</w:t>
            </w:r>
          </w:p>
        </w:tc>
      </w:tr>
      <w:tr w:rsidR="006E3336" w:rsidRPr="00EE003F" w:rsidTr="007C6FF6">
        <w:trPr>
          <w:trHeight w:val="60"/>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7D4869"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6</w:t>
            </w:r>
            <w:r w:rsidR="00E143E8" w:rsidRPr="00EE003F">
              <w:rPr>
                <w:rStyle w:val="cuerpodetextotablas"/>
                <w:rFonts w:ascii="Arial Narrow" w:hAnsi="Arial Narrow"/>
                <w:color w:val="auto"/>
                <w:sz w:val="18"/>
                <w:szCs w:val="18"/>
              </w:rPr>
              <w:t>.</w:t>
            </w:r>
            <w:r w:rsidR="00E143E8" w:rsidRPr="00EE003F">
              <w:rPr>
                <w:rStyle w:val="cuerpodetextotablas"/>
                <w:rFonts w:ascii="Arial Narrow" w:hAnsi="Arial Narrow"/>
                <w:color w:val="auto"/>
                <w:sz w:val="18"/>
                <w:szCs w:val="18"/>
              </w:rPr>
              <w:tab/>
            </w:r>
            <w:r w:rsidR="00E143E8" w:rsidRPr="00EE003F">
              <w:rPr>
                <w:rStyle w:val="cuerpodetextotablas"/>
                <w:rFonts w:ascii="Arial Narrow" w:hAnsi="Arial Narrow"/>
                <w:color w:val="auto"/>
                <w:spacing w:val="3"/>
                <w:sz w:val="18"/>
                <w:szCs w:val="18"/>
              </w:rPr>
              <w:t>Institucionalizar nuevos mecanismos para la rendición de cuentas, tales como las auditorías sociales, los jurados ciudadanos o audiencias públicas, por medio del cual los ciudadanos y las organizaciones de la sociedad civil puedan evaluar a funcionarios públicos de todos los niveles.</w:t>
            </w:r>
          </w:p>
        </w:tc>
      </w:tr>
      <w:tr w:rsidR="006E3336" w:rsidRPr="00EE003F" w:rsidTr="007C6FF6">
        <w:trPr>
          <w:trHeight w:val="236"/>
        </w:trPr>
        <w:tc>
          <w:tcPr>
            <w:tcW w:w="1918" w:type="dxa"/>
            <w:vMerge/>
          </w:tcPr>
          <w:p w:rsidR="00E143E8" w:rsidRPr="00EE003F" w:rsidRDefault="00E143E8" w:rsidP="00631573">
            <w:pPr>
              <w:pStyle w:val="NoParagraphStyle"/>
              <w:numPr>
                <w:ilvl w:val="0"/>
                <w:numId w:val="37"/>
              </w:numPr>
              <w:spacing w:line="240" w:lineRule="auto"/>
              <w:ind w:left="284" w:hanging="284"/>
              <w:textAlignment w:val="auto"/>
              <w:rPr>
                <w:rFonts w:ascii="Arial Narrow" w:hAnsi="Arial Narrow"/>
                <w:color w:val="auto"/>
                <w:sz w:val="18"/>
                <w:szCs w:val="18"/>
                <w:lang w:val="es-PE"/>
              </w:rPr>
            </w:pPr>
          </w:p>
        </w:tc>
        <w:tc>
          <w:tcPr>
            <w:tcW w:w="7121" w:type="dxa"/>
          </w:tcPr>
          <w:p w:rsidR="00E143E8" w:rsidRPr="00EE003F" w:rsidRDefault="007D4869"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7</w:t>
            </w:r>
            <w:r w:rsidR="00E143E8" w:rsidRPr="00EE003F">
              <w:rPr>
                <w:rStyle w:val="cuerpodetextotablas"/>
                <w:rFonts w:ascii="Arial Narrow" w:hAnsi="Arial Narrow"/>
                <w:color w:val="auto"/>
                <w:sz w:val="18"/>
                <w:szCs w:val="18"/>
              </w:rPr>
              <w:t>.</w:t>
            </w:r>
            <w:r w:rsidR="00E143E8" w:rsidRPr="00EE003F">
              <w:rPr>
                <w:rStyle w:val="cuerpodetextotablas"/>
                <w:rFonts w:ascii="Arial Narrow" w:hAnsi="Arial Narrow"/>
                <w:color w:val="auto"/>
                <w:sz w:val="18"/>
                <w:szCs w:val="18"/>
              </w:rPr>
              <w:tab/>
              <w:t>Promover el desarrollo de canales y herramientas TIC para mejorar la participación del ciudadano en las decisiones y políticas de gobierno.</w:t>
            </w:r>
          </w:p>
        </w:tc>
      </w:tr>
      <w:tr w:rsidR="006E3336" w:rsidRPr="00EE003F" w:rsidTr="00F956DB">
        <w:trPr>
          <w:trHeight w:val="60"/>
        </w:trPr>
        <w:tc>
          <w:tcPr>
            <w:tcW w:w="1918" w:type="dxa"/>
            <w:vMerge w:val="restart"/>
          </w:tcPr>
          <w:p w:rsidR="007D4869" w:rsidRPr="00EE003F" w:rsidRDefault="007D4869" w:rsidP="00B34E4E">
            <w:pPr>
              <w:pStyle w:val="BasicParagraph"/>
              <w:numPr>
                <w:ilvl w:val="0"/>
                <w:numId w:val="37"/>
              </w:numPr>
              <w:suppressAutoHyphens/>
              <w:ind w:left="284" w:right="170" w:hanging="284"/>
              <w:rPr>
                <w:rStyle w:val="negritatablas"/>
                <w:rFonts w:ascii="Arial Narrow" w:hAnsi="Arial Narrow"/>
                <w:color w:val="auto"/>
                <w:sz w:val="18"/>
                <w:szCs w:val="18"/>
                <w:lang w:val="es-PE"/>
              </w:rPr>
            </w:pPr>
            <w:r w:rsidRPr="00EE003F">
              <w:rPr>
                <w:rStyle w:val="negritatablas"/>
                <w:rFonts w:ascii="Arial Narrow" w:hAnsi="Arial Narrow"/>
                <w:color w:val="auto"/>
                <w:sz w:val="18"/>
                <w:szCs w:val="18"/>
              </w:rPr>
              <w:t>Contar con una</w:t>
            </w:r>
          </w:p>
          <w:p w:rsidR="007D4869" w:rsidRPr="00EE003F" w:rsidRDefault="007D4869"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cultura nacional</w:t>
            </w:r>
          </w:p>
          <w:p w:rsidR="007D4869" w:rsidRPr="00EE003F" w:rsidRDefault="007D4869"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de respeto de</w:t>
            </w:r>
          </w:p>
          <w:p w:rsidR="007D4869" w:rsidRPr="00EE003F" w:rsidRDefault="007D4869"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los Derechos</w:t>
            </w:r>
          </w:p>
          <w:p w:rsidR="007D4869" w:rsidRPr="00EE003F" w:rsidRDefault="007D4869" w:rsidP="00CE1AD0">
            <w:pPr>
              <w:pStyle w:val="BasicParagraph"/>
              <w:suppressAutoHyphens/>
              <w:ind w:left="284" w:right="170"/>
              <w:rPr>
                <w:rStyle w:val="negritatablas"/>
                <w:rFonts w:ascii="Arial Narrow" w:hAnsi="Arial Narrow"/>
                <w:color w:val="auto"/>
                <w:sz w:val="18"/>
                <w:szCs w:val="18"/>
              </w:rPr>
            </w:pPr>
            <w:r w:rsidRPr="00EE003F">
              <w:rPr>
                <w:rStyle w:val="negritatablas"/>
                <w:rFonts w:ascii="Arial Narrow" w:hAnsi="Arial Narrow"/>
                <w:color w:val="auto"/>
                <w:sz w:val="18"/>
                <w:szCs w:val="18"/>
              </w:rPr>
              <w:t>Humanos</w:t>
            </w:r>
          </w:p>
          <w:p w:rsidR="007D4869" w:rsidRPr="00EE003F" w:rsidRDefault="007D4869" w:rsidP="00CE1AD0">
            <w:pPr>
              <w:pStyle w:val="BasicParagraph"/>
              <w:suppressAutoHyphens/>
              <w:ind w:left="284" w:right="170" w:hanging="284"/>
              <w:rPr>
                <w:rFonts w:ascii="Arial Narrow" w:hAnsi="Arial Narrow"/>
                <w:color w:val="auto"/>
                <w:sz w:val="18"/>
                <w:szCs w:val="18"/>
              </w:rPr>
            </w:pPr>
          </w:p>
        </w:tc>
        <w:tc>
          <w:tcPr>
            <w:tcW w:w="7121" w:type="dxa"/>
          </w:tcPr>
          <w:p w:rsidR="007D4869" w:rsidRPr="00EE003F" w:rsidRDefault="007D4869"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1.</w:t>
            </w:r>
            <w:r w:rsidRPr="00EE003F">
              <w:rPr>
                <w:rStyle w:val="cuerpodetextotablas"/>
                <w:rFonts w:ascii="Arial Narrow" w:hAnsi="Arial Narrow"/>
                <w:color w:val="auto"/>
                <w:sz w:val="18"/>
                <w:szCs w:val="18"/>
              </w:rPr>
              <w:tab/>
              <w:t xml:space="preserve">Institucionalizar y </w:t>
            </w:r>
            <w:proofErr w:type="spellStart"/>
            <w:r w:rsidRPr="00EE003F">
              <w:rPr>
                <w:rStyle w:val="cuerpodetextotablas"/>
                <w:rFonts w:ascii="Arial Narrow" w:hAnsi="Arial Narrow"/>
                <w:color w:val="auto"/>
                <w:sz w:val="18"/>
                <w:szCs w:val="18"/>
              </w:rPr>
              <w:t>transversalizar</w:t>
            </w:r>
            <w:proofErr w:type="spellEnd"/>
            <w:r w:rsidRPr="00EE003F">
              <w:rPr>
                <w:rStyle w:val="cuerpodetextotablas"/>
                <w:rFonts w:ascii="Arial Narrow" w:hAnsi="Arial Narrow"/>
                <w:color w:val="auto"/>
                <w:sz w:val="18"/>
                <w:szCs w:val="18"/>
              </w:rPr>
              <w:t xml:space="preserve"> el enfoque de derechos humanos, género e interculturalidad en las políticas públicas y difundir dicho enfoque en la ciudadanía.</w:t>
            </w:r>
          </w:p>
        </w:tc>
      </w:tr>
      <w:tr w:rsidR="006E3336" w:rsidRPr="00EE003F" w:rsidTr="00F956DB">
        <w:trPr>
          <w:trHeight w:val="60"/>
        </w:trPr>
        <w:tc>
          <w:tcPr>
            <w:tcW w:w="1918" w:type="dxa"/>
            <w:vMerge/>
          </w:tcPr>
          <w:p w:rsidR="007D4869" w:rsidRPr="00EE003F" w:rsidRDefault="007D4869" w:rsidP="00C810AE">
            <w:pPr>
              <w:pStyle w:val="NoParagraphStyle"/>
              <w:spacing w:line="240" w:lineRule="auto"/>
              <w:textAlignment w:val="auto"/>
              <w:rPr>
                <w:rFonts w:ascii="Arial Narrow" w:hAnsi="Arial Narrow"/>
                <w:color w:val="auto"/>
                <w:sz w:val="18"/>
                <w:szCs w:val="18"/>
                <w:lang w:val="es-PE"/>
              </w:rPr>
            </w:pPr>
          </w:p>
        </w:tc>
        <w:tc>
          <w:tcPr>
            <w:tcW w:w="7121" w:type="dxa"/>
          </w:tcPr>
          <w:p w:rsidR="007D4869" w:rsidRPr="00EE003F" w:rsidRDefault="007D4869"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2.</w:t>
            </w:r>
            <w:r w:rsidRPr="00EE003F">
              <w:rPr>
                <w:rStyle w:val="cuerpodetextotablas"/>
                <w:rFonts w:ascii="Arial Narrow" w:hAnsi="Arial Narrow"/>
                <w:color w:val="auto"/>
                <w:sz w:val="18"/>
                <w:szCs w:val="18"/>
              </w:rPr>
              <w:tab/>
              <w:t>Institucionalizar el enfoque de derechos humanos en las políticas públicas regionales a través de la creación de Consejos Regionales de Derechos Humanos en los gobiernos regionales.</w:t>
            </w:r>
          </w:p>
        </w:tc>
      </w:tr>
      <w:tr w:rsidR="006E3336" w:rsidRPr="00EE003F" w:rsidTr="00F956DB">
        <w:trPr>
          <w:trHeight w:val="60"/>
        </w:trPr>
        <w:tc>
          <w:tcPr>
            <w:tcW w:w="1918" w:type="dxa"/>
            <w:vMerge/>
          </w:tcPr>
          <w:p w:rsidR="007D4869" w:rsidRPr="00EE003F" w:rsidRDefault="007D4869" w:rsidP="00C810AE">
            <w:pPr>
              <w:pStyle w:val="NoParagraphStyle"/>
              <w:spacing w:line="240" w:lineRule="auto"/>
              <w:textAlignment w:val="auto"/>
              <w:rPr>
                <w:rFonts w:ascii="Arial Narrow" w:hAnsi="Arial Narrow"/>
                <w:color w:val="auto"/>
                <w:sz w:val="18"/>
                <w:szCs w:val="18"/>
                <w:lang w:val="es-PE"/>
              </w:rPr>
            </w:pPr>
          </w:p>
        </w:tc>
        <w:tc>
          <w:tcPr>
            <w:tcW w:w="7121" w:type="dxa"/>
          </w:tcPr>
          <w:p w:rsidR="007D4869" w:rsidRPr="00EE003F" w:rsidRDefault="007D4869"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3.</w:t>
            </w:r>
            <w:r w:rsidRPr="00EE003F">
              <w:rPr>
                <w:rStyle w:val="cuerpodetextotablas"/>
                <w:rFonts w:ascii="Arial Narrow" w:hAnsi="Arial Narrow"/>
                <w:color w:val="auto"/>
                <w:sz w:val="18"/>
                <w:szCs w:val="18"/>
              </w:rPr>
              <w:tab/>
              <w:t>Generar capacidades sobre derechos humanos e interculturalidad en los operadores que integran el sistema de administración de justicia.</w:t>
            </w:r>
          </w:p>
        </w:tc>
      </w:tr>
      <w:tr w:rsidR="006E3336" w:rsidRPr="00EE003F" w:rsidTr="00F956DB">
        <w:trPr>
          <w:trHeight w:val="60"/>
        </w:trPr>
        <w:tc>
          <w:tcPr>
            <w:tcW w:w="1918" w:type="dxa"/>
            <w:vMerge/>
          </w:tcPr>
          <w:p w:rsidR="007D4869" w:rsidRPr="00EE003F" w:rsidRDefault="007D4869" w:rsidP="00C810AE">
            <w:pPr>
              <w:pStyle w:val="NoParagraphStyle"/>
              <w:spacing w:line="240" w:lineRule="auto"/>
              <w:textAlignment w:val="auto"/>
              <w:rPr>
                <w:rFonts w:ascii="Arial Narrow" w:hAnsi="Arial Narrow"/>
                <w:color w:val="auto"/>
                <w:sz w:val="18"/>
                <w:szCs w:val="18"/>
                <w:lang w:val="es-PE"/>
              </w:rPr>
            </w:pPr>
          </w:p>
        </w:tc>
        <w:tc>
          <w:tcPr>
            <w:tcW w:w="7121" w:type="dxa"/>
          </w:tcPr>
          <w:p w:rsidR="007D4869" w:rsidRPr="00EE003F" w:rsidRDefault="007D4869"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4.</w:t>
            </w:r>
            <w:r w:rsidRPr="00EE003F">
              <w:rPr>
                <w:rStyle w:val="cuerpodetextotablas"/>
                <w:rFonts w:ascii="Arial Narrow" w:hAnsi="Arial Narrow"/>
                <w:color w:val="auto"/>
                <w:sz w:val="18"/>
                <w:szCs w:val="18"/>
              </w:rPr>
              <w:tab/>
              <w:t>Implementar las normas procedimentales que permitan ejecutar las obligaciones internacionales derivadas de sentencias de organismos supranacionales, y elaborar un cronograma para dar cumplimiento a las reparaciones ordenadas por dichas sentencias.</w:t>
            </w:r>
          </w:p>
        </w:tc>
      </w:tr>
      <w:tr w:rsidR="006E3336" w:rsidRPr="00EE003F" w:rsidTr="00F956DB">
        <w:trPr>
          <w:trHeight w:val="60"/>
        </w:trPr>
        <w:tc>
          <w:tcPr>
            <w:tcW w:w="1918" w:type="dxa"/>
            <w:vMerge/>
          </w:tcPr>
          <w:p w:rsidR="007D4869" w:rsidRPr="00EE003F" w:rsidRDefault="007D4869" w:rsidP="00C810AE">
            <w:pPr>
              <w:pStyle w:val="NoParagraphStyle"/>
              <w:spacing w:line="240" w:lineRule="auto"/>
              <w:textAlignment w:val="auto"/>
              <w:rPr>
                <w:rFonts w:ascii="Arial Narrow" w:hAnsi="Arial Narrow"/>
                <w:color w:val="auto"/>
                <w:sz w:val="18"/>
                <w:szCs w:val="18"/>
                <w:lang w:val="es-PE"/>
              </w:rPr>
            </w:pPr>
          </w:p>
        </w:tc>
        <w:tc>
          <w:tcPr>
            <w:tcW w:w="7121" w:type="dxa"/>
          </w:tcPr>
          <w:p w:rsidR="007D4869" w:rsidRPr="00EE003F" w:rsidRDefault="007D4869"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5.</w:t>
            </w:r>
            <w:r w:rsidRPr="00EE003F">
              <w:rPr>
                <w:rStyle w:val="cuerpodetextotablas"/>
                <w:rFonts w:ascii="Arial Narrow" w:hAnsi="Arial Narrow"/>
                <w:color w:val="auto"/>
                <w:sz w:val="18"/>
                <w:szCs w:val="18"/>
              </w:rPr>
              <w:tab/>
              <w:t>Implementar y monitorear la ejecución de los programas del Plan Nacional de Reparaciones de las víctimas de la violencia política.</w:t>
            </w:r>
          </w:p>
        </w:tc>
      </w:tr>
      <w:tr w:rsidR="006E3336" w:rsidRPr="00EE003F" w:rsidTr="00F956DB">
        <w:trPr>
          <w:trHeight w:val="60"/>
        </w:trPr>
        <w:tc>
          <w:tcPr>
            <w:tcW w:w="1918" w:type="dxa"/>
            <w:vMerge/>
          </w:tcPr>
          <w:p w:rsidR="007D4869" w:rsidRPr="00EE003F" w:rsidRDefault="007D4869" w:rsidP="00C810AE">
            <w:pPr>
              <w:pStyle w:val="NoParagraphStyle"/>
              <w:spacing w:line="240" w:lineRule="auto"/>
              <w:textAlignment w:val="auto"/>
              <w:rPr>
                <w:rFonts w:ascii="Arial Narrow" w:hAnsi="Arial Narrow"/>
                <w:color w:val="auto"/>
                <w:sz w:val="18"/>
                <w:szCs w:val="18"/>
                <w:lang w:val="es-PE"/>
              </w:rPr>
            </w:pPr>
          </w:p>
        </w:tc>
        <w:tc>
          <w:tcPr>
            <w:tcW w:w="7121" w:type="dxa"/>
          </w:tcPr>
          <w:p w:rsidR="007D4869" w:rsidRPr="00EE003F" w:rsidRDefault="007D4869"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6.</w:t>
            </w:r>
            <w:r w:rsidRPr="00EE003F">
              <w:rPr>
                <w:rStyle w:val="cuerpodetextotablas"/>
                <w:rFonts w:ascii="Arial Narrow" w:hAnsi="Arial Narrow"/>
                <w:color w:val="auto"/>
                <w:sz w:val="18"/>
                <w:szCs w:val="18"/>
              </w:rPr>
              <w:tab/>
              <w:t>Ratificar todos los instrumentos internacionales de derechos humanos.</w:t>
            </w:r>
          </w:p>
        </w:tc>
      </w:tr>
      <w:tr w:rsidR="006E3336" w:rsidRPr="00EE003F" w:rsidTr="00F956DB">
        <w:trPr>
          <w:trHeight w:val="60"/>
        </w:trPr>
        <w:tc>
          <w:tcPr>
            <w:tcW w:w="1918" w:type="dxa"/>
            <w:vMerge/>
          </w:tcPr>
          <w:p w:rsidR="007D4869" w:rsidRPr="00EE003F" w:rsidRDefault="007D4869" w:rsidP="00C810AE">
            <w:pPr>
              <w:pStyle w:val="NoParagraphStyle"/>
              <w:spacing w:line="240" w:lineRule="auto"/>
              <w:textAlignment w:val="auto"/>
              <w:rPr>
                <w:rFonts w:ascii="Arial Narrow" w:hAnsi="Arial Narrow"/>
                <w:color w:val="auto"/>
                <w:sz w:val="18"/>
                <w:szCs w:val="18"/>
                <w:lang w:val="es-PE"/>
              </w:rPr>
            </w:pPr>
          </w:p>
        </w:tc>
        <w:tc>
          <w:tcPr>
            <w:tcW w:w="7121" w:type="dxa"/>
          </w:tcPr>
          <w:p w:rsidR="007D4869" w:rsidRPr="00EE003F" w:rsidRDefault="007D4869"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7.</w:t>
            </w:r>
            <w:r w:rsidRPr="00EE003F">
              <w:rPr>
                <w:rStyle w:val="cuerpodetextotablas"/>
                <w:rFonts w:ascii="Arial Narrow" w:hAnsi="Arial Narrow"/>
                <w:color w:val="auto"/>
                <w:sz w:val="18"/>
                <w:szCs w:val="18"/>
              </w:rPr>
              <w:tab/>
              <w:t>Identificar los principales ámbitos en donde se registran deficiencias en materia de aplicación de derechos humanos, y seleccionar intervenciones que fomenten resultados positivos.</w:t>
            </w:r>
          </w:p>
        </w:tc>
      </w:tr>
      <w:tr w:rsidR="006E3336" w:rsidRPr="00EE003F" w:rsidTr="00F956DB">
        <w:trPr>
          <w:trHeight w:val="60"/>
        </w:trPr>
        <w:tc>
          <w:tcPr>
            <w:tcW w:w="1918" w:type="dxa"/>
            <w:vMerge/>
          </w:tcPr>
          <w:p w:rsidR="007D4869" w:rsidRPr="00EE003F" w:rsidRDefault="007D4869" w:rsidP="00C810AE">
            <w:pPr>
              <w:pStyle w:val="NoParagraphStyle"/>
              <w:spacing w:line="240" w:lineRule="auto"/>
              <w:textAlignment w:val="auto"/>
              <w:rPr>
                <w:rFonts w:ascii="Arial Narrow" w:hAnsi="Arial Narrow"/>
                <w:color w:val="auto"/>
                <w:sz w:val="18"/>
                <w:szCs w:val="18"/>
                <w:lang w:val="es-PE"/>
              </w:rPr>
            </w:pPr>
          </w:p>
        </w:tc>
        <w:tc>
          <w:tcPr>
            <w:tcW w:w="7121" w:type="dxa"/>
          </w:tcPr>
          <w:p w:rsidR="007D4869" w:rsidRPr="00EE003F" w:rsidRDefault="007D4869" w:rsidP="00C810AE">
            <w:pPr>
              <w:pStyle w:val="BasicParagraph"/>
              <w:ind w:left="283" w:hanging="283"/>
              <w:jc w:val="both"/>
              <w:rPr>
                <w:rFonts w:ascii="Arial Narrow" w:hAnsi="Arial Narrow"/>
                <w:color w:val="auto"/>
                <w:sz w:val="18"/>
                <w:szCs w:val="18"/>
              </w:rPr>
            </w:pPr>
            <w:r w:rsidRPr="00EE003F">
              <w:rPr>
                <w:rStyle w:val="cuerpodetextotablas"/>
                <w:rFonts w:ascii="Arial Narrow" w:hAnsi="Arial Narrow"/>
                <w:color w:val="auto"/>
                <w:sz w:val="18"/>
                <w:szCs w:val="18"/>
              </w:rPr>
              <w:t>8.</w:t>
            </w:r>
            <w:r w:rsidRPr="00EE003F">
              <w:rPr>
                <w:rStyle w:val="cuerpodetextotablas"/>
                <w:rFonts w:ascii="Arial Narrow" w:hAnsi="Arial Narrow"/>
                <w:color w:val="auto"/>
                <w:sz w:val="18"/>
                <w:szCs w:val="18"/>
              </w:rPr>
              <w:tab/>
              <w:t>Fortalecer capacidades de la sociedad civil y el Estado en la prevención y manejo de la conflictividad social con enfoque de derechos humanos.</w:t>
            </w:r>
          </w:p>
        </w:tc>
      </w:tr>
      <w:tr w:rsidR="006E3336" w:rsidRPr="00EE003F" w:rsidTr="00F956DB">
        <w:trPr>
          <w:trHeight w:val="60"/>
        </w:trPr>
        <w:tc>
          <w:tcPr>
            <w:tcW w:w="1918" w:type="dxa"/>
            <w:vMerge/>
          </w:tcPr>
          <w:p w:rsidR="007D4869" w:rsidRPr="00EE003F" w:rsidRDefault="007D4869" w:rsidP="00C810AE">
            <w:pPr>
              <w:pStyle w:val="NoParagraphStyle"/>
              <w:spacing w:line="240" w:lineRule="auto"/>
              <w:textAlignment w:val="auto"/>
              <w:rPr>
                <w:rFonts w:ascii="Arial Narrow" w:hAnsi="Arial Narrow"/>
                <w:color w:val="auto"/>
                <w:sz w:val="18"/>
                <w:szCs w:val="18"/>
                <w:lang w:val="es-PE"/>
              </w:rPr>
            </w:pPr>
          </w:p>
        </w:tc>
        <w:tc>
          <w:tcPr>
            <w:tcW w:w="7121" w:type="dxa"/>
          </w:tcPr>
          <w:p w:rsidR="007D4869" w:rsidRPr="00EE003F" w:rsidRDefault="007D4869" w:rsidP="00363D7E">
            <w:pPr>
              <w:pStyle w:val="BasicParagraph"/>
              <w:ind w:left="283" w:hanging="283"/>
              <w:jc w:val="both"/>
              <w:rPr>
                <w:rStyle w:val="cuerpodetextotablas"/>
                <w:rFonts w:ascii="Arial Narrow" w:hAnsi="Arial Narrow"/>
                <w:color w:val="auto"/>
                <w:sz w:val="18"/>
                <w:szCs w:val="18"/>
              </w:rPr>
            </w:pPr>
            <w:r w:rsidRPr="00EE003F">
              <w:rPr>
                <w:rFonts w:ascii="Arial Narrow" w:eastAsia="Times New Roman" w:hAnsi="Arial Narrow" w:cs="Times New Roman"/>
                <w:color w:val="auto"/>
                <w:sz w:val="18"/>
                <w:szCs w:val="18"/>
                <w:lang w:val="es-PE" w:eastAsia="es-PE"/>
              </w:rPr>
              <w:t xml:space="preserve">9. </w:t>
            </w:r>
            <w:r w:rsidRPr="00EE003F">
              <w:rPr>
                <w:rFonts w:ascii="Arial Narrow" w:eastAsia="Times New Roman" w:hAnsi="Arial Narrow" w:cs="Times New Roman"/>
                <w:color w:val="auto"/>
                <w:sz w:val="18"/>
                <w:szCs w:val="18"/>
                <w:lang w:eastAsia="es-PE"/>
              </w:rPr>
              <w:t>Eliminación de todas las formas de trabajo forzoso u obligatorio, así como la eliminación del trabajo infantil.</w:t>
            </w:r>
          </w:p>
        </w:tc>
      </w:tr>
    </w:tbl>
    <w:p w:rsidR="00B24BF6" w:rsidRPr="00EE003F" w:rsidRDefault="00B24BF6" w:rsidP="00B24BF6">
      <w:pPr>
        <w:spacing w:after="0"/>
        <w:rPr>
          <w:rFonts w:ascii="Arial Narrow" w:hAnsi="Arial Narrow"/>
          <w:sz w:val="24"/>
          <w:szCs w:val="24"/>
        </w:rPr>
      </w:pPr>
    </w:p>
    <w:p w:rsidR="00777640" w:rsidRPr="00EE003F" w:rsidRDefault="00777640" w:rsidP="004648A4">
      <w:pPr>
        <w:spacing w:after="0"/>
        <w:jc w:val="both"/>
        <w:rPr>
          <w:rFonts w:ascii="Arial Narrow" w:hAnsi="Arial Narrow"/>
          <w:sz w:val="24"/>
          <w:szCs w:val="24"/>
        </w:rPr>
      </w:pPr>
      <w:r w:rsidRPr="00EE003F">
        <w:rPr>
          <w:rFonts w:ascii="Arial Narrow" w:hAnsi="Arial Narrow"/>
          <w:sz w:val="24"/>
          <w:szCs w:val="24"/>
        </w:rPr>
        <w:t>Al 2021 aspiramos a vivir en un país donde se ejerzan efectivamente los derechos humanos en condiciones de equidad y de vida digna entre los más pobres y vulnerables, y se consolida la participación política y ciudadana en un marco de respeto a la diversidad cultural.</w:t>
      </w:r>
    </w:p>
    <w:p w:rsidR="00DF1C5D" w:rsidRPr="00EE003F" w:rsidRDefault="00DF1C5D" w:rsidP="004648A4">
      <w:pPr>
        <w:spacing w:after="0"/>
        <w:jc w:val="both"/>
        <w:rPr>
          <w:rFonts w:ascii="Arial Narrow" w:hAnsi="Arial Narrow"/>
          <w:sz w:val="24"/>
          <w:szCs w:val="24"/>
        </w:rPr>
      </w:pPr>
    </w:p>
    <w:p w:rsidR="000E6064" w:rsidRPr="00EE003F" w:rsidRDefault="000E6064">
      <w:pPr>
        <w:rPr>
          <w:rFonts w:ascii="Arial Narrow" w:hAnsi="Arial Narrow"/>
          <w:b/>
          <w:sz w:val="24"/>
          <w:szCs w:val="24"/>
        </w:rPr>
      </w:pPr>
      <w:r w:rsidRPr="00EE003F">
        <w:rPr>
          <w:rFonts w:ascii="Arial Narrow" w:hAnsi="Arial Narrow"/>
          <w:b/>
          <w:sz w:val="24"/>
          <w:szCs w:val="24"/>
        </w:rPr>
        <w:br w:type="page"/>
      </w:r>
    </w:p>
    <w:p w:rsidR="00777640" w:rsidRPr="00EE003F" w:rsidRDefault="002346B0" w:rsidP="00B24BF6">
      <w:pPr>
        <w:spacing w:after="0"/>
        <w:rPr>
          <w:rFonts w:ascii="Arial Narrow" w:hAnsi="Arial Narrow"/>
          <w:b/>
          <w:sz w:val="24"/>
          <w:szCs w:val="24"/>
        </w:rPr>
      </w:pPr>
      <w:r w:rsidRPr="00EE003F">
        <w:rPr>
          <w:rFonts w:ascii="Arial Narrow" w:hAnsi="Arial Narrow"/>
          <w:b/>
          <w:sz w:val="24"/>
          <w:szCs w:val="24"/>
        </w:rPr>
        <w:t>Indicadores y metas</w:t>
      </w:r>
    </w:p>
    <w:tbl>
      <w:tblPr>
        <w:tblStyle w:val="Tablaconcuadrcula"/>
        <w:tblW w:w="0" w:type="auto"/>
        <w:tblLayout w:type="fixed"/>
        <w:tblLook w:val="0000" w:firstRow="0" w:lastRow="0" w:firstColumn="0" w:lastColumn="0" w:noHBand="0" w:noVBand="0"/>
      </w:tblPr>
      <w:tblGrid>
        <w:gridCol w:w="444"/>
        <w:gridCol w:w="1462"/>
        <w:gridCol w:w="470"/>
        <w:gridCol w:w="1507"/>
        <w:gridCol w:w="1202"/>
        <w:gridCol w:w="827"/>
        <w:gridCol w:w="862"/>
        <w:gridCol w:w="936"/>
      </w:tblGrid>
      <w:tr w:rsidR="006E3336" w:rsidRPr="00EE003F" w:rsidTr="00C810AE">
        <w:trPr>
          <w:trHeight w:val="1111"/>
        </w:trPr>
        <w:tc>
          <w:tcPr>
            <w:tcW w:w="7710" w:type="dxa"/>
            <w:gridSpan w:val="8"/>
          </w:tcPr>
          <w:p w:rsidR="00B24BF6" w:rsidRPr="00EE003F" w:rsidRDefault="00B24BF6" w:rsidP="00C810AE">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EJE 1 : DERECHOS HUMANOS E INCLUSIÓN SOCIAL</w:t>
            </w:r>
          </w:p>
          <w:p w:rsidR="00B24BF6" w:rsidRPr="00EE003F" w:rsidRDefault="00B24BF6" w:rsidP="00C810AE">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 xml:space="preserve">OBJETIVO NACIONAL: </w:t>
            </w:r>
          </w:p>
          <w:p w:rsidR="00B24BF6" w:rsidRPr="00EE003F" w:rsidRDefault="00B24BF6" w:rsidP="00C810AE">
            <w:pPr>
              <w:pStyle w:val="BasicParagraph"/>
              <w:suppressAutoHyphens/>
              <w:ind w:left="170"/>
              <w:rPr>
                <w:rFonts w:ascii="Arial Narrow" w:hAnsi="Arial Narrow"/>
                <w:color w:val="auto"/>
              </w:rPr>
            </w:pPr>
            <w:r w:rsidRPr="00EE003F">
              <w:rPr>
                <w:rStyle w:val="negritatablas"/>
                <w:rFonts w:ascii="Arial Narrow" w:hAnsi="Arial Narrow"/>
                <w:color w:val="auto"/>
              </w:rPr>
              <w:t>“Ejercicio efectivo de los derechos humanos y dignidad de las personas, con inclusión social de la población más pobre y vulnerable”.</w:t>
            </w:r>
          </w:p>
        </w:tc>
      </w:tr>
      <w:tr w:rsidR="006E3336" w:rsidRPr="00EE003F" w:rsidTr="00C810AE">
        <w:trPr>
          <w:trHeight w:val="60"/>
        </w:trPr>
        <w:tc>
          <w:tcPr>
            <w:tcW w:w="3883" w:type="dxa"/>
            <w:gridSpan w:val="4"/>
          </w:tcPr>
          <w:p w:rsidR="00B24BF6" w:rsidRPr="00EE003F" w:rsidRDefault="00B24BF6" w:rsidP="00C810AE">
            <w:pPr>
              <w:pStyle w:val="BasicParagraph"/>
              <w:suppressAutoHyphens/>
              <w:rPr>
                <w:rFonts w:ascii="Arial Narrow" w:hAnsi="Arial Narrow"/>
                <w:color w:val="auto"/>
              </w:rPr>
            </w:pPr>
            <w:r w:rsidRPr="00EE003F">
              <w:rPr>
                <w:rStyle w:val="negritatablas"/>
                <w:rFonts w:ascii="Arial Narrow" w:hAnsi="Arial Narrow"/>
                <w:color w:val="auto"/>
              </w:rPr>
              <w:t>Indicador líder</w:t>
            </w:r>
          </w:p>
        </w:tc>
        <w:tc>
          <w:tcPr>
            <w:tcW w:w="1202" w:type="dxa"/>
          </w:tcPr>
          <w:p w:rsidR="00B24BF6" w:rsidRPr="00EE003F" w:rsidRDefault="00B24BF6"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827" w:type="dxa"/>
          </w:tcPr>
          <w:p w:rsidR="00B24BF6" w:rsidRPr="00EE003F" w:rsidRDefault="00B24BF6" w:rsidP="006A03D0">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 (</w:t>
            </w:r>
            <w:r w:rsidR="006A03D0" w:rsidRPr="00EE003F">
              <w:rPr>
                <w:rStyle w:val="negritatablas"/>
                <w:rFonts w:ascii="Arial Narrow" w:hAnsi="Arial Narrow"/>
                <w:color w:val="auto"/>
              </w:rPr>
              <w:t>2014</w:t>
            </w:r>
            <w:r w:rsidRPr="00EE003F">
              <w:rPr>
                <w:rStyle w:val="negritatablas"/>
                <w:rFonts w:ascii="Arial Narrow" w:hAnsi="Arial Narrow"/>
                <w:color w:val="auto"/>
              </w:rPr>
              <w:t>)</w:t>
            </w:r>
          </w:p>
        </w:tc>
        <w:tc>
          <w:tcPr>
            <w:tcW w:w="862" w:type="dxa"/>
          </w:tcPr>
          <w:p w:rsidR="00B24BF6" w:rsidRPr="00EE003F" w:rsidRDefault="00B24BF6"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936" w:type="dxa"/>
          </w:tcPr>
          <w:p w:rsidR="00B24BF6" w:rsidRPr="00EE003F" w:rsidRDefault="00B24BF6"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20337A">
        <w:trPr>
          <w:trHeight w:val="60"/>
        </w:trPr>
        <w:tc>
          <w:tcPr>
            <w:tcW w:w="3883" w:type="dxa"/>
            <w:gridSpan w:val="4"/>
          </w:tcPr>
          <w:p w:rsidR="007D4869" w:rsidRPr="00EE003F" w:rsidRDefault="007D4869" w:rsidP="00C810AE">
            <w:pPr>
              <w:pStyle w:val="BasicParagraph"/>
              <w:suppressAutoHyphens/>
              <w:rPr>
                <w:rFonts w:ascii="Arial Narrow" w:hAnsi="Arial Narrow"/>
                <w:color w:val="auto"/>
              </w:rPr>
            </w:pPr>
            <w:r w:rsidRPr="00EE003F">
              <w:rPr>
                <w:rStyle w:val="cuerpodetextotablas"/>
                <w:rFonts w:ascii="Arial Narrow" w:hAnsi="Arial Narrow"/>
                <w:color w:val="auto"/>
              </w:rPr>
              <w:t>Índice de desarrollo humano (IDH)</w:t>
            </w:r>
          </w:p>
        </w:tc>
        <w:tc>
          <w:tcPr>
            <w:tcW w:w="1202" w:type="dxa"/>
            <w:vAlign w:val="center"/>
          </w:tcPr>
          <w:p w:rsidR="007D4869" w:rsidRPr="00EE003F" w:rsidRDefault="00527399" w:rsidP="00C810AE">
            <w:pPr>
              <w:pStyle w:val="BasicParagraph"/>
              <w:suppressAutoHyphens/>
              <w:jc w:val="center"/>
              <w:rPr>
                <w:rFonts w:ascii="Arial Narrow" w:hAnsi="Arial Narrow"/>
                <w:color w:val="auto"/>
                <w:sz w:val="16"/>
              </w:rPr>
            </w:pPr>
            <w:r w:rsidRPr="00EE003F">
              <w:rPr>
                <w:rStyle w:val="cuerpodetextotablas"/>
                <w:rFonts w:ascii="Arial Narrow" w:hAnsi="Arial Narrow"/>
                <w:color w:val="auto"/>
              </w:rPr>
              <w:t>PNUD</w:t>
            </w:r>
          </w:p>
        </w:tc>
        <w:tc>
          <w:tcPr>
            <w:tcW w:w="827" w:type="dxa"/>
            <w:vAlign w:val="center"/>
          </w:tcPr>
          <w:p w:rsidR="007D4869" w:rsidRPr="00EE003F" w:rsidRDefault="00F956DB" w:rsidP="006A03D0">
            <w:pPr>
              <w:pStyle w:val="BasicParagraph"/>
              <w:suppressAutoHyphens/>
              <w:jc w:val="center"/>
              <w:rPr>
                <w:rFonts w:ascii="Arial Narrow" w:hAnsi="Arial Narrow"/>
                <w:color w:val="auto"/>
                <w:sz w:val="16"/>
              </w:rPr>
            </w:pPr>
            <w:r w:rsidRPr="00EE003F">
              <w:rPr>
                <w:rStyle w:val="cuerpodetextotablas"/>
                <w:rFonts w:ascii="Arial Narrow" w:hAnsi="Arial Narrow"/>
                <w:color w:val="auto"/>
              </w:rPr>
              <w:t>0.734</w:t>
            </w:r>
          </w:p>
        </w:tc>
        <w:tc>
          <w:tcPr>
            <w:tcW w:w="862" w:type="dxa"/>
            <w:vAlign w:val="center"/>
          </w:tcPr>
          <w:p w:rsidR="007D4869" w:rsidRPr="00EE003F" w:rsidRDefault="00F956DB" w:rsidP="00C810AE">
            <w:pPr>
              <w:pStyle w:val="BasicParagraph"/>
              <w:suppressAutoHyphens/>
              <w:jc w:val="center"/>
              <w:rPr>
                <w:rFonts w:ascii="Arial Narrow" w:hAnsi="Arial Narrow"/>
                <w:color w:val="auto"/>
                <w:sz w:val="16"/>
              </w:rPr>
            </w:pPr>
            <w:r w:rsidRPr="00EE003F">
              <w:rPr>
                <w:rStyle w:val="cuerpodetextotablas"/>
                <w:rFonts w:ascii="Arial Narrow" w:hAnsi="Arial Narrow"/>
                <w:color w:val="auto"/>
              </w:rPr>
              <w:t>0.75</w:t>
            </w:r>
            <w:r w:rsidR="003B023B" w:rsidRPr="00EE003F">
              <w:rPr>
                <w:rStyle w:val="cuerpodetextotablas"/>
                <w:rFonts w:ascii="Arial Narrow" w:hAnsi="Arial Narrow"/>
                <w:color w:val="auto"/>
              </w:rPr>
              <w:t>6</w:t>
            </w:r>
          </w:p>
        </w:tc>
        <w:tc>
          <w:tcPr>
            <w:tcW w:w="936" w:type="dxa"/>
            <w:vAlign w:val="center"/>
          </w:tcPr>
          <w:p w:rsidR="007D4869" w:rsidRPr="00EE003F" w:rsidRDefault="00F956DB" w:rsidP="00C810AE">
            <w:pPr>
              <w:pStyle w:val="BasicParagraph"/>
              <w:suppressAutoHyphens/>
              <w:jc w:val="center"/>
              <w:rPr>
                <w:rFonts w:ascii="Arial Narrow" w:hAnsi="Arial Narrow"/>
                <w:color w:val="auto"/>
                <w:sz w:val="16"/>
              </w:rPr>
            </w:pPr>
            <w:r w:rsidRPr="00EE003F">
              <w:rPr>
                <w:rStyle w:val="cuerpodetextotablas"/>
                <w:rFonts w:ascii="Arial Narrow" w:hAnsi="Arial Narrow"/>
                <w:color w:val="auto"/>
              </w:rPr>
              <w:t>0.776</w:t>
            </w:r>
          </w:p>
        </w:tc>
      </w:tr>
      <w:tr w:rsidR="006E3336" w:rsidRPr="00EE003F" w:rsidTr="00C810AE">
        <w:trPr>
          <w:trHeight w:val="60"/>
        </w:trPr>
        <w:tc>
          <w:tcPr>
            <w:tcW w:w="1906" w:type="dxa"/>
            <w:gridSpan w:val="2"/>
            <w:vMerge w:val="restart"/>
          </w:tcPr>
          <w:p w:rsidR="00B24BF6" w:rsidRPr="00EE003F" w:rsidRDefault="00B24BF6" w:rsidP="00C810AE">
            <w:pPr>
              <w:pStyle w:val="BasicParagraph"/>
              <w:suppressAutoHyphens/>
              <w:rPr>
                <w:rFonts w:ascii="Arial Narrow" w:hAnsi="Arial Narrow"/>
                <w:color w:val="auto"/>
              </w:rPr>
            </w:pPr>
            <w:r w:rsidRPr="00EE003F">
              <w:rPr>
                <w:rStyle w:val="negritatablas"/>
                <w:rFonts w:ascii="Arial Narrow" w:hAnsi="Arial Narrow"/>
                <w:color w:val="auto"/>
              </w:rPr>
              <w:t>Objetivos Específicos</w:t>
            </w:r>
          </w:p>
        </w:tc>
        <w:tc>
          <w:tcPr>
            <w:tcW w:w="5804" w:type="dxa"/>
            <w:gridSpan w:val="6"/>
          </w:tcPr>
          <w:p w:rsidR="00B24BF6" w:rsidRPr="00EE003F" w:rsidRDefault="00B24BF6" w:rsidP="00C810AE">
            <w:pPr>
              <w:pStyle w:val="BasicParagraph"/>
              <w:suppressAutoHyphens/>
              <w:rPr>
                <w:rFonts w:ascii="Arial Narrow" w:hAnsi="Arial Narrow"/>
                <w:color w:val="auto"/>
              </w:rPr>
            </w:pPr>
            <w:r w:rsidRPr="00EE003F">
              <w:rPr>
                <w:rStyle w:val="negritatablas"/>
                <w:rFonts w:ascii="Arial Narrow" w:hAnsi="Arial Narrow"/>
                <w:color w:val="auto"/>
              </w:rPr>
              <w:t>Indicadores y metas</w:t>
            </w:r>
          </w:p>
        </w:tc>
      </w:tr>
      <w:tr w:rsidR="006E3336" w:rsidRPr="00EE003F" w:rsidTr="003C36AC">
        <w:trPr>
          <w:trHeight w:val="60"/>
        </w:trPr>
        <w:tc>
          <w:tcPr>
            <w:tcW w:w="1906" w:type="dxa"/>
            <w:gridSpan w:val="2"/>
            <w:vMerge/>
          </w:tcPr>
          <w:p w:rsidR="00B24BF6" w:rsidRPr="00EE003F" w:rsidRDefault="00B24BF6" w:rsidP="00C810AE">
            <w:pPr>
              <w:pStyle w:val="NoParagraphStyle"/>
              <w:spacing w:line="240" w:lineRule="auto"/>
              <w:textAlignment w:val="auto"/>
              <w:rPr>
                <w:rFonts w:ascii="Arial Narrow" w:hAnsi="Arial Narrow"/>
                <w:color w:val="auto"/>
                <w:lang w:val="es-PE"/>
              </w:rPr>
            </w:pPr>
          </w:p>
        </w:tc>
        <w:tc>
          <w:tcPr>
            <w:tcW w:w="470" w:type="dxa"/>
          </w:tcPr>
          <w:p w:rsidR="00B24BF6" w:rsidRPr="00EE003F" w:rsidRDefault="00B24BF6" w:rsidP="00C810AE">
            <w:pPr>
              <w:pStyle w:val="BasicParagraph"/>
              <w:suppressAutoHyphens/>
              <w:rPr>
                <w:rStyle w:val="negritatablas"/>
                <w:rFonts w:ascii="Arial Narrow" w:hAnsi="Arial Narrow"/>
                <w:color w:val="auto"/>
              </w:rPr>
            </w:pPr>
          </w:p>
          <w:p w:rsidR="00B24BF6" w:rsidRPr="00EE003F" w:rsidRDefault="00B24BF6" w:rsidP="00C810AE">
            <w:pPr>
              <w:pStyle w:val="BasicParagraph"/>
              <w:suppressAutoHyphens/>
              <w:rPr>
                <w:rFonts w:ascii="Arial Narrow" w:hAnsi="Arial Narrow"/>
                <w:color w:val="auto"/>
              </w:rPr>
            </w:pPr>
            <w:r w:rsidRPr="00EE003F">
              <w:rPr>
                <w:rStyle w:val="negritatablas"/>
                <w:rFonts w:ascii="Arial Narrow" w:hAnsi="Arial Narrow"/>
                <w:color w:val="auto"/>
              </w:rPr>
              <w:t>N.°</w:t>
            </w:r>
          </w:p>
        </w:tc>
        <w:tc>
          <w:tcPr>
            <w:tcW w:w="1507" w:type="dxa"/>
          </w:tcPr>
          <w:p w:rsidR="00B24BF6" w:rsidRPr="00EE003F" w:rsidRDefault="00B24BF6" w:rsidP="00C810AE">
            <w:pPr>
              <w:pStyle w:val="BasicParagraph"/>
              <w:suppressAutoHyphens/>
              <w:jc w:val="center"/>
              <w:rPr>
                <w:rStyle w:val="negritatablas"/>
                <w:rFonts w:ascii="Arial Narrow" w:hAnsi="Arial Narrow"/>
                <w:color w:val="auto"/>
              </w:rPr>
            </w:pPr>
          </w:p>
          <w:p w:rsidR="00B24BF6" w:rsidRPr="00EE003F" w:rsidRDefault="00B24BF6"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Indicadores</w:t>
            </w:r>
          </w:p>
        </w:tc>
        <w:tc>
          <w:tcPr>
            <w:tcW w:w="1202" w:type="dxa"/>
          </w:tcPr>
          <w:p w:rsidR="00B24BF6" w:rsidRPr="00EE003F" w:rsidRDefault="00B24BF6"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827" w:type="dxa"/>
          </w:tcPr>
          <w:p w:rsidR="00B24BF6" w:rsidRPr="00EE003F" w:rsidRDefault="00B24BF6" w:rsidP="00C810AE">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w:t>
            </w:r>
          </w:p>
          <w:p w:rsidR="00B24BF6" w:rsidRPr="00EE003F" w:rsidRDefault="00B24BF6" w:rsidP="005D543C">
            <w:pPr>
              <w:pStyle w:val="BasicParagraph"/>
              <w:suppressAutoHyphens/>
              <w:jc w:val="center"/>
              <w:rPr>
                <w:rFonts w:ascii="Arial Narrow" w:hAnsi="Arial Narrow"/>
                <w:color w:val="auto"/>
              </w:rPr>
            </w:pPr>
            <w:r w:rsidRPr="00EE003F">
              <w:rPr>
                <w:rStyle w:val="negritatablas"/>
                <w:rFonts w:ascii="Arial Narrow" w:hAnsi="Arial Narrow"/>
                <w:color w:val="auto"/>
              </w:rPr>
              <w:t>(</w:t>
            </w:r>
            <w:r w:rsidR="005D543C" w:rsidRPr="00EE003F">
              <w:rPr>
                <w:rStyle w:val="negritatablas"/>
                <w:rFonts w:ascii="Arial Narrow" w:hAnsi="Arial Narrow"/>
                <w:color w:val="auto"/>
              </w:rPr>
              <w:t>2015</w:t>
            </w:r>
            <w:r w:rsidRPr="00EE003F">
              <w:rPr>
                <w:rStyle w:val="negritatablas"/>
                <w:rFonts w:ascii="Arial Narrow" w:hAnsi="Arial Narrow"/>
                <w:color w:val="auto"/>
              </w:rPr>
              <w:t>)</w:t>
            </w:r>
          </w:p>
        </w:tc>
        <w:tc>
          <w:tcPr>
            <w:tcW w:w="862" w:type="dxa"/>
          </w:tcPr>
          <w:p w:rsidR="00B24BF6" w:rsidRPr="00EE003F" w:rsidRDefault="00B24BF6"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936" w:type="dxa"/>
          </w:tcPr>
          <w:p w:rsidR="00B24BF6" w:rsidRPr="00EE003F" w:rsidRDefault="00B24BF6"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3C36AC">
        <w:trPr>
          <w:trHeight w:val="60"/>
        </w:trPr>
        <w:tc>
          <w:tcPr>
            <w:tcW w:w="444" w:type="dxa"/>
            <w:vMerge w:val="restart"/>
          </w:tcPr>
          <w:p w:rsidR="00B24BF6" w:rsidRPr="00EE003F" w:rsidRDefault="00B24BF6" w:rsidP="00C810AE">
            <w:pPr>
              <w:pStyle w:val="BasicParagraph"/>
              <w:suppressAutoHyphens/>
              <w:rPr>
                <w:rFonts w:ascii="Arial Narrow" w:hAnsi="Arial Narrow"/>
                <w:color w:val="auto"/>
              </w:rPr>
            </w:pPr>
            <w:r w:rsidRPr="00EE003F">
              <w:rPr>
                <w:rStyle w:val="negritatablas"/>
                <w:rFonts w:ascii="Arial Narrow" w:hAnsi="Arial Narrow"/>
                <w:color w:val="auto"/>
              </w:rPr>
              <w:t>1</w:t>
            </w:r>
          </w:p>
        </w:tc>
        <w:tc>
          <w:tcPr>
            <w:tcW w:w="1462" w:type="dxa"/>
            <w:vMerge w:val="restart"/>
          </w:tcPr>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Desarrollar capacidades y generar oportunidades para la población en proceso de inclusión social</w:t>
            </w:r>
          </w:p>
        </w:tc>
        <w:tc>
          <w:tcPr>
            <w:tcW w:w="470"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1</w:t>
            </w:r>
          </w:p>
        </w:tc>
        <w:tc>
          <w:tcPr>
            <w:tcW w:w="1507" w:type="dxa"/>
          </w:tcPr>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Incidencia de la pobreza (% de la población)</w:t>
            </w:r>
          </w:p>
        </w:tc>
        <w:tc>
          <w:tcPr>
            <w:tcW w:w="1202" w:type="dxa"/>
          </w:tcPr>
          <w:p w:rsidR="00B24BF6" w:rsidRPr="00EE003F" w:rsidRDefault="00B24BF6"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 xml:space="preserve">INEI – </w:t>
            </w:r>
            <w:proofErr w:type="spellStart"/>
            <w:r w:rsidRPr="00EE003F">
              <w:rPr>
                <w:rStyle w:val="cuerpodetextotablas"/>
                <w:rFonts w:ascii="Arial Narrow" w:hAnsi="Arial Narrow"/>
                <w:color w:val="auto"/>
              </w:rPr>
              <w:t>Enaho</w:t>
            </w:r>
            <w:proofErr w:type="spellEnd"/>
          </w:p>
          <w:p w:rsidR="00CA322B" w:rsidRPr="00EE003F" w:rsidRDefault="00CA322B" w:rsidP="00C810AE">
            <w:pPr>
              <w:pStyle w:val="BasicParagraph"/>
              <w:suppressAutoHyphens/>
              <w:jc w:val="center"/>
              <w:rPr>
                <w:rFonts w:ascii="Arial Narrow" w:hAnsi="Arial Narrow"/>
                <w:color w:val="auto"/>
              </w:rPr>
            </w:pPr>
          </w:p>
        </w:tc>
        <w:tc>
          <w:tcPr>
            <w:tcW w:w="827" w:type="dxa"/>
          </w:tcPr>
          <w:p w:rsidR="00B24BF6" w:rsidRPr="00EE003F" w:rsidRDefault="00CA322B"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21,8</w:t>
            </w:r>
            <w:r w:rsidR="00B24BF6" w:rsidRPr="00EE003F">
              <w:rPr>
                <w:rStyle w:val="cuerpodetextotablas"/>
                <w:rFonts w:ascii="Arial Narrow" w:hAnsi="Arial Narrow"/>
                <w:color w:val="auto"/>
              </w:rPr>
              <w:t>%</w:t>
            </w:r>
          </w:p>
          <w:p w:rsidR="00CA322B" w:rsidRPr="00EE003F" w:rsidRDefault="00CA322B" w:rsidP="00C810AE">
            <w:pPr>
              <w:pStyle w:val="BasicParagraph"/>
              <w:suppressAutoHyphens/>
              <w:jc w:val="center"/>
              <w:rPr>
                <w:rFonts w:ascii="Arial Narrow" w:hAnsi="Arial Narrow"/>
                <w:color w:val="auto"/>
              </w:rPr>
            </w:pPr>
          </w:p>
        </w:tc>
        <w:tc>
          <w:tcPr>
            <w:tcW w:w="862"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1</w:t>
            </w:r>
            <w:r w:rsidR="000A742E" w:rsidRPr="00EE003F">
              <w:rPr>
                <w:rStyle w:val="cuerpodetextotablas"/>
                <w:rFonts w:ascii="Arial Narrow" w:hAnsi="Arial Narrow"/>
                <w:color w:val="auto"/>
              </w:rPr>
              <w:t>8,</w:t>
            </w:r>
            <w:r w:rsidR="00F956DB" w:rsidRPr="00EE003F">
              <w:rPr>
                <w:rStyle w:val="cuerpodetextotablas"/>
                <w:rFonts w:ascii="Arial Narrow" w:hAnsi="Arial Narrow"/>
                <w:color w:val="auto"/>
              </w:rPr>
              <w:t>7</w:t>
            </w:r>
            <w:r w:rsidRPr="00EE003F">
              <w:rPr>
                <w:rStyle w:val="cuerpodetextotablas"/>
                <w:rFonts w:ascii="Arial Narrow" w:hAnsi="Arial Narrow"/>
                <w:color w:val="auto"/>
              </w:rPr>
              <w:t>%</w:t>
            </w:r>
          </w:p>
        </w:tc>
        <w:tc>
          <w:tcPr>
            <w:tcW w:w="936" w:type="dxa"/>
          </w:tcPr>
          <w:p w:rsidR="00B24BF6" w:rsidRPr="00EE003F" w:rsidRDefault="00CA322B"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10,0</w:t>
            </w:r>
            <w:r w:rsidR="00B24BF6" w:rsidRPr="00EE003F">
              <w:rPr>
                <w:rStyle w:val="cuerpodetextotablas"/>
                <w:rFonts w:ascii="Arial Narrow" w:hAnsi="Arial Narrow"/>
                <w:color w:val="auto"/>
              </w:rPr>
              <w:t>%</w:t>
            </w:r>
          </w:p>
        </w:tc>
      </w:tr>
      <w:tr w:rsidR="006E3336" w:rsidRPr="00EE003F" w:rsidTr="003C36AC">
        <w:trPr>
          <w:trHeight w:val="60"/>
        </w:trPr>
        <w:tc>
          <w:tcPr>
            <w:tcW w:w="444" w:type="dxa"/>
            <w:vMerge/>
          </w:tcPr>
          <w:p w:rsidR="00B24BF6" w:rsidRPr="00EE003F" w:rsidRDefault="00B24BF6" w:rsidP="00C810AE">
            <w:pPr>
              <w:pStyle w:val="NoParagraphStyle"/>
              <w:spacing w:line="240" w:lineRule="auto"/>
              <w:textAlignment w:val="auto"/>
              <w:rPr>
                <w:rFonts w:ascii="Arial Narrow" w:hAnsi="Arial Narrow"/>
                <w:color w:val="auto"/>
                <w:lang w:val="es-PE"/>
              </w:rPr>
            </w:pPr>
          </w:p>
        </w:tc>
        <w:tc>
          <w:tcPr>
            <w:tcW w:w="1462" w:type="dxa"/>
            <w:vMerge/>
          </w:tcPr>
          <w:p w:rsidR="00B24BF6" w:rsidRPr="00EE003F" w:rsidRDefault="00B24BF6" w:rsidP="00C810AE">
            <w:pPr>
              <w:pStyle w:val="NoParagraphStyle"/>
              <w:spacing w:line="240" w:lineRule="auto"/>
              <w:textAlignment w:val="auto"/>
              <w:rPr>
                <w:rFonts w:ascii="Arial Narrow" w:hAnsi="Arial Narrow"/>
                <w:color w:val="auto"/>
                <w:lang w:val="es-PE"/>
              </w:rPr>
            </w:pPr>
          </w:p>
        </w:tc>
        <w:tc>
          <w:tcPr>
            <w:tcW w:w="470"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2</w:t>
            </w:r>
          </w:p>
        </w:tc>
        <w:tc>
          <w:tcPr>
            <w:tcW w:w="1507" w:type="dxa"/>
          </w:tcPr>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Incidencia de la pobreza extrema (% de la población)</w:t>
            </w:r>
          </w:p>
        </w:tc>
        <w:tc>
          <w:tcPr>
            <w:tcW w:w="1202"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 xml:space="preserve">INEI – </w:t>
            </w:r>
            <w:proofErr w:type="spellStart"/>
            <w:r w:rsidRPr="00EE003F">
              <w:rPr>
                <w:rStyle w:val="cuerpodetextotablas"/>
                <w:rFonts w:ascii="Arial Narrow" w:hAnsi="Arial Narrow"/>
                <w:color w:val="auto"/>
              </w:rPr>
              <w:t>Enaho</w:t>
            </w:r>
            <w:proofErr w:type="spellEnd"/>
          </w:p>
        </w:tc>
        <w:tc>
          <w:tcPr>
            <w:tcW w:w="827" w:type="dxa"/>
          </w:tcPr>
          <w:p w:rsidR="00CA322B" w:rsidRPr="00EE003F" w:rsidRDefault="00B24BF6"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4,</w:t>
            </w:r>
            <w:r w:rsidR="00CA322B" w:rsidRPr="00EE003F">
              <w:rPr>
                <w:rStyle w:val="cuerpodetextotablas"/>
                <w:rFonts w:ascii="Arial Narrow" w:hAnsi="Arial Narrow"/>
                <w:color w:val="auto"/>
              </w:rPr>
              <w:t>1</w:t>
            </w:r>
            <w:r w:rsidRPr="00EE003F">
              <w:rPr>
                <w:rStyle w:val="cuerpodetextotablas"/>
                <w:rFonts w:ascii="Arial Narrow" w:hAnsi="Arial Narrow"/>
                <w:color w:val="auto"/>
              </w:rPr>
              <w:t>%</w:t>
            </w:r>
          </w:p>
          <w:p w:rsidR="00B24BF6" w:rsidRPr="00EE003F" w:rsidRDefault="00B24BF6" w:rsidP="00C810AE">
            <w:pPr>
              <w:pStyle w:val="BasicParagraph"/>
              <w:suppressAutoHyphens/>
              <w:jc w:val="center"/>
              <w:rPr>
                <w:rFonts w:ascii="Arial Narrow" w:hAnsi="Arial Narrow"/>
                <w:color w:val="auto"/>
              </w:rPr>
            </w:pPr>
          </w:p>
        </w:tc>
        <w:tc>
          <w:tcPr>
            <w:tcW w:w="862" w:type="dxa"/>
          </w:tcPr>
          <w:p w:rsidR="00B24BF6" w:rsidRPr="00EE003F" w:rsidRDefault="000A742E"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2,</w:t>
            </w:r>
            <w:r w:rsidR="00F956DB" w:rsidRPr="00EE003F">
              <w:rPr>
                <w:rStyle w:val="cuerpodetextotablas"/>
                <w:rFonts w:ascii="Arial Narrow" w:hAnsi="Arial Narrow"/>
                <w:color w:val="auto"/>
              </w:rPr>
              <w:t>2</w:t>
            </w:r>
            <w:r w:rsidR="00B24BF6" w:rsidRPr="00EE003F">
              <w:rPr>
                <w:rStyle w:val="cuerpodetextotablas"/>
                <w:rFonts w:ascii="Arial Narrow" w:hAnsi="Arial Narrow"/>
                <w:color w:val="auto"/>
              </w:rPr>
              <w:t>%</w:t>
            </w:r>
          </w:p>
        </w:tc>
        <w:tc>
          <w:tcPr>
            <w:tcW w:w="936" w:type="dxa"/>
          </w:tcPr>
          <w:p w:rsidR="00B24BF6" w:rsidRPr="00EE003F" w:rsidRDefault="00CA322B"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1,5</w:t>
            </w:r>
            <w:r w:rsidR="00B24BF6" w:rsidRPr="00EE003F">
              <w:rPr>
                <w:rStyle w:val="cuerpodetextotablas"/>
                <w:rFonts w:ascii="Arial Narrow" w:hAnsi="Arial Narrow"/>
                <w:color w:val="auto"/>
              </w:rPr>
              <w:t>%</w:t>
            </w:r>
          </w:p>
        </w:tc>
      </w:tr>
      <w:tr w:rsidR="006E3336" w:rsidRPr="00EE003F" w:rsidTr="003C36AC">
        <w:trPr>
          <w:trHeight w:val="60"/>
        </w:trPr>
        <w:tc>
          <w:tcPr>
            <w:tcW w:w="444" w:type="dxa"/>
            <w:vMerge/>
          </w:tcPr>
          <w:p w:rsidR="00B24BF6" w:rsidRPr="00EE003F" w:rsidRDefault="00B24BF6" w:rsidP="00C810AE">
            <w:pPr>
              <w:pStyle w:val="NoParagraphStyle"/>
              <w:spacing w:line="240" w:lineRule="auto"/>
              <w:textAlignment w:val="auto"/>
              <w:rPr>
                <w:rFonts w:ascii="Arial Narrow" w:hAnsi="Arial Narrow"/>
                <w:color w:val="auto"/>
                <w:lang w:val="es-PE"/>
              </w:rPr>
            </w:pPr>
          </w:p>
        </w:tc>
        <w:tc>
          <w:tcPr>
            <w:tcW w:w="1462" w:type="dxa"/>
            <w:vMerge/>
          </w:tcPr>
          <w:p w:rsidR="00B24BF6" w:rsidRPr="00EE003F" w:rsidRDefault="00B24BF6" w:rsidP="00C810AE">
            <w:pPr>
              <w:pStyle w:val="NoParagraphStyle"/>
              <w:spacing w:line="240" w:lineRule="auto"/>
              <w:textAlignment w:val="auto"/>
              <w:rPr>
                <w:rFonts w:ascii="Arial Narrow" w:hAnsi="Arial Narrow"/>
                <w:color w:val="auto"/>
                <w:lang w:val="es-PE"/>
              </w:rPr>
            </w:pPr>
          </w:p>
        </w:tc>
        <w:tc>
          <w:tcPr>
            <w:tcW w:w="470"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3</w:t>
            </w:r>
          </w:p>
        </w:tc>
        <w:tc>
          <w:tcPr>
            <w:tcW w:w="1507" w:type="dxa"/>
          </w:tcPr>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Coeficiente de Gini</w:t>
            </w:r>
          </w:p>
        </w:tc>
        <w:tc>
          <w:tcPr>
            <w:tcW w:w="1202"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 xml:space="preserve">INEI – </w:t>
            </w:r>
            <w:proofErr w:type="spellStart"/>
            <w:r w:rsidRPr="00EE003F">
              <w:rPr>
                <w:rStyle w:val="cuerpodetextotablas"/>
                <w:rFonts w:ascii="Arial Narrow" w:hAnsi="Arial Narrow"/>
                <w:color w:val="auto"/>
              </w:rPr>
              <w:t>Enaho</w:t>
            </w:r>
            <w:proofErr w:type="spellEnd"/>
          </w:p>
        </w:tc>
        <w:tc>
          <w:tcPr>
            <w:tcW w:w="827" w:type="dxa"/>
          </w:tcPr>
          <w:p w:rsidR="00B24BF6" w:rsidRPr="00EE003F" w:rsidRDefault="00B24BF6"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0,44</w:t>
            </w:r>
          </w:p>
          <w:p w:rsidR="005D543C" w:rsidRPr="00EE003F" w:rsidRDefault="005D543C"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(2014)</w:t>
            </w:r>
          </w:p>
        </w:tc>
        <w:tc>
          <w:tcPr>
            <w:tcW w:w="862"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0,41</w:t>
            </w:r>
          </w:p>
        </w:tc>
        <w:tc>
          <w:tcPr>
            <w:tcW w:w="936"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0,35</w:t>
            </w:r>
          </w:p>
        </w:tc>
      </w:tr>
      <w:tr w:rsidR="006E3336" w:rsidRPr="00EE003F" w:rsidTr="003C36AC">
        <w:trPr>
          <w:trHeight w:val="60"/>
        </w:trPr>
        <w:tc>
          <w:tcPr>
            <w:tcW w:w="444" w:type="dxa"/>
            <w:vMerge/>
          </w:tcPr>
          <w:p w:rsidR="00B24BF6" w:rsidRPr="00EE003F" w:rsidRDefault="00B24BF6" w:rsidP="00C810AE">
            <w:pPr>
              <w:pStyle w:val="NoParagraphStyle"/>
              <w:spacing w:line="240" w:lineRule="auto"/>
              <w:textAlignment w:val="auto"/>
              <w:rPr>
                <w:rFonts w:ascii="Arial Narrow" w:hAnsi="Arial Narrow"/>
                <w:color w:val="auto"/>
                <w:lang w:val="es-PE"/>
              </w:rPr>
            </w:pPr>
          </w:p>
        </w:tc>
        <w:tc>
          <w:tcPr>
            <w:tcW w:w="1462" w:type="dxa"/>
            <w:vMerge/>
          </w:tcPr>
          <w:p w:rsidR="00B24BF6" w:rsidRPr="00EE003F" w:rsidRDefault="00B24BF6" w:rsidP="00C810AE">
            <w:pPr>
              <w:pStyle w:val="NoParagraphStyle"/>
              <w:spacing w:line="240" w:lineRule="auto"/>
              <w:textAlignment w:val="auto"/>
              <w:rPr>
                <w:rFonts w:ascii="Arial Narrow" w:hAnsi="Arial Narrow"/>
                <w:color w:val="auto"/>
                <w:lang w:val="es-PE"/>
              </w:rPr>
            </w:pPr>
          </w:p>
        </w:tc>
        <w:tc>
          <w:tcPr>
            <w:tcW w:w="470"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4</w:t>
            </w:r>
          </w:p>
        </w:tc>
        <w:tc>
          <w:tcPr>
            <w:tcW w:w="1507" w:type="dxa"/>
          </w:tcPr>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Proporción de menores de 5 años con desnutrición crónica (Patrón OMS)</w:t>
            </w:r>
          </w:p>
        </w:tc>
        <w:tc>
          <w:tcPr>
            <w:tcW w:w="1202"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INEI</w:t>
            </w:r>
          </w:p>
        </w:tc>
        <w:tc>
          <w:tcPr>
            <w:tcW w:w="827" w:type="dxa"/>
          </w:tcPr>
          <w:p w:rsidR="00B24BF6" w:rsidRPr="00EE003F" w:rsidRDefault="00B24BF6"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14,6%</w:t>
            </w:r>
          </w:p>
          <w:p w:rsidR="005D543C" w:rsidRPr="00EE003F" w:rsidRDefault="005D543C" w:rsidP="005D543C">
            <w:pPr>
              <w:pStyle w:val="BasicParagraph"/>
              <w:suppressAutoHyphens/>
              <w:jc w:val="center"/>
              <w:rPr>
                <w:rFonts w:ascii="Arial Narrow" w:hAnsi="Arial Narrow"/>
                <w:color w:val="auto"/>
              </w:rPr>
            </w:pPr>
            <w:r w:rsidRPr="00EE003F">
              <w:rPr>
                <w:rStyle w:val="cuerpodetextotablas"/>
                <w:rFonts w:ascii="Arial Narrow" w:hAnsi="Arial Narrow"/>
                <w:color w:val="auto"/>
              </w:rPr>
              <w:t>(2014)</w:t>
            </w:r>
          </w:p>
        </w:tc>
        <w:tc>
          <w:tcPr>
            <w:tcW w:w="862" w:type="dxa"/>
          </w:tcPr>
          <w:p w:rsidR="00B24BF6" w:rsidRPr="00EE003F" w:rsidRDefault="005F54A4"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1</w:t>
            </w:r>
            <w:r w:rsidR="00B2147E" w:rsidRPr="00EE003F">
              <w:rPr>
                <w:rStyle w:val="cuerpodetextotablas"/>
                <w:rFonts w:ascii="Arial Narrow" w:hAnsi="Arial Narrow"/>
                <w:color w:val="auto"/>
              </w:rPr>
              <w:t>4.0</w:t>
            </w:r>
            <w:r w:rsidR="00B24BF6" w:rsidRPr="00EE003F">
              <w:rPr>
                <w:rStyle w:val="cuerpodetextotablas"/>
                <w:rFonts w:ascii="Arial Narrow" w:hAnsi="Arial Narrow"/>
                <w:color w:val="auto"/>
              </w:rPr>
              <w:t>%</w:t>
            </w:r>
          </w:p>
        </w:tc>
        <w:tc>
          <w:tcPr>
            <w:tcW w:w="936" w:type="dxa"/>
          </w:tcPr>
          <w:p w:rsidR="00B24BF6" w:rsidRPr="00EE003F" w:rsidRDefault="00C83B62"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1</w:t>
            </w:r>
            <w:r w:rsidR="00B2147E" w:rsidRPr="00EE003F">
              <w:rPr>
                <w:rStyle w:val="cuerpodetextotablas"/>
                <w:rFonts w:ascii="Arial Narrow" w:hAnsi="Arial Narrow"/>
                <w:color w:val="auto"/>
              </w:rPr>
              <w:t>0</w:t>
            </w:r>
            <w:r w:rsidRPr="00EE003F">
              <w:rPr>
                <w:rStyle w:val="cuerpodetextotablas"/>
                <w:rFonts w:ascii="Arial Narrow" w:hAnsi="Arial Narrow"/>
                <w:color w:val="auto"/>
              </w:rPr>
              <w:t>%</w:t>
            </w:r>
          </w:p>
          <w:p w:rsidR="00C83B62" w:rsidRPr="00EE003F" w:rsidRDefault="00C83B62" w:rsidP="00C810AE">
            <w:pPr>
              <w:pStyle w:val="BasicParagraph"/>
              <w:suppressAutoHyphens/>
              <w:jc w:val="center"/>
              <w:rPr>
                <w:rStyle w:val="cuerpodetextotablas"/>
                <w:rFonts w:ascii="Arial Narrow" w:hAnsi="Arial Narrow"/>
                <w:color w:val="auto"/>
              </w:rPr>
            </w:pPr>
          </w:p>
          <w:p w:rsidR="00C83B62" w:rsidRPr="00EE003F" w:rsidRDefault="00C83B62" w:rsidP="00C810AE">
            <w:pPr>
              <w:pStyle w:val="BasicParagraph"/>
              <w:suppressAutoHyphens/>
              <w:jc w:val="center"/>
              <w:rPr>
                <w:rFonts w:ascii="Arial Narrow" w:hAnsi="Arial Narrow"/>
                <w:color w:val="auto"/>
              </w:rPr>
            </w:pPr>
          </w:p>
        </w:tc>
      </w:tr>
      <w:tr w:rsidR="006E3336" w:rsidRPr="00EE003F" w:rsidTr="003C36AC">
        <w:trPr>
          <w:trHeight w:val="60"/>
        </w:trPr>
        <w:tc>
          <w:tcPr>
            <w:tcW w:w="444" w:type="dxa"/>
          </w:tcPr>
          <w:p w:rsidR="00B24BF6" w:rsidRPr="00EE003F" w:rsidRDefault="00B24BF6" w:rsidP="00C810AE">
            <w:pPr>
              <w:pStyle w:val="BasicParagraph"/>
              <w:suppressAutoHyphens/>
              <w:rPr>
                <w:rFonts w:ascii="Arial Narrow" w:hAnsi="Arial Narrow"/>
                <w:color w:val="auto"/>
              </w:rPr>
            </w:pPr>
            <w:r w:rsidRPr="00EE003F">
              <w:rPr>
                <w:rStyle w:val="negritatablas"/>
                <w:rFonts w:ascii="Arial Narrow" w:hAnsi="Arial Narrow"/>
                <w:color w:val="auto"/>
              </w:rPr>
              <w:t>2</w:t>
            </w:r>
          </w:p>
        </w:tc>
        <w:tc>
          <w:tcPr>
            <w:tcW w:w="1462" w:type="dxa"/>
          </w:tcPr>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Erradicar todas las formas de discriminación(*)</w:t>
            </w:r>
          </w:p>
        </w:tc>
        <w:tc>
          <w:tcPr>
            <w:tcW w:w="470"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5</w:t>
            </w:r>
          </w:p>
        </w:tc>
        <w:tc>
          <w:tcPr>
            <w:tcW w:w="1507" w:type="dxa"/>
          </w:tcPr>
          <w:p w:rsidR="00B24BF6" w:rsidRPr="00EE003F" w:rsidRDefault="00B24BF6" w:rsidP="00C810AE">
            <w:pPr>
              <w:pStyle w:val="BasicParagraph"/>
              <w:suppressAutoHyphens/>
              <w:ind w:left="113" w:right="57"/>
              <w:rPr>
                <w:rStyle w:val="cuerpodetextotablas"/>
                <w:rFonts w:ascii="Arial Narrow" w:hAnsi="Arial Narrow"/>
                <w:color w:val="auto"/>
              </w:rPr>
            </w:pPr>
            <w:r w:rsidRPr="00EE003F">
              <w:rPr>
                <w:rStyle w:val="cuerpodetextotablas"/>
                <w:rFonts w:ascii="Arial Narrow" w:hAnsi="Arial Narrow"/>
                <w:color w:val="auto"/>
              </w:rPr>
              <w:t>Índice de desigualdad de género</w:t>
            </w:r>
          </w:p>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w:t>
            </w:r>
            <w:proofErr w:type="spellStart"/>
            <w:r w:rsidRPr="00EE003F">
              <w:rPr>
                <w:rStyle w:val="cuerpodetextotablas"/>
                <w:rFonts w:ascii="Arial Narrow" w:hAnsi="Arial Narrow"/>
                <w:i/>
                <w:color w:val="auto"/>
              </w:rPr>
              <w:t>Gender</w:t>
            </w:r>
            <w:proofErr w:type="spellEnd"/>
            <w:r w:rsidRPr="00EE003F">
              <w:rPr>
                <w:rStyle w:val="cuerpodetextotablas"/>
                <w:rFonts w:ascii="Arial Narrow" w:hAnsi="Arial Narrow"/>
                <w:i/>
                <w:color w:val="auto"/>
              </w:rPr>
              <w:t xml:space="preserve"> </w:t>
            </w:r>
            <w:proofErr w:type="spellStart"/>
            <w:r w:rsidRPr="00EE003F">
              <w:rPr>
                <w:rStyle w:val="cuerpodetextotablas"/>
                <w:rFonts w:ascii="Arial Narrow" w:hAnsi="Arial Narrow"/>
                <w:i/>
                <w:color w:val="auto"/>
              </w:rPr>
              <w:t>Inequality</w:t>
            </w:r>
            <w:proofErr w:type="spellEnd"/>
            <w:r w:rsidRPr="00EE003F">
              <w:rPr>
                <w:rStyle w:val="cuerpodetextotablas"/>
                <w:rFonts w:ascii="Arial Narrow" w:hAnsi="Arial Narrow"/>
                <w:i/>
                <w:color w:val="auto"/>
              </w:rPr>
              <w:t xml:space="preserve"> </w:t>
            </w:r>
            <w:proofErr w:type="spellStart"/>
            <w:r w:rsidRPr="00EE003F">
              <w:rPr>
                <w:rStyle w:val="cuerpodetextotablas"/>
                <w:rFonts w:ascii="Arial Narrow" w:hAnsi="Arial Narrow"/>
                <w:i/>
                <w:color w:val="auto"/>
              </w:rPr>
              <w:t>Index</w:t>
            </w:r>
            <w:proofErr w:type="spellEnd"/>
            <w:r w:rsidRPr="00EE003F">
              <w:rPr>
                <w:rStyle w:val="cuerpodetextotablas"/>
                <w:rFonts w:ascii="Arial Narrow" w:hAnsi="Arial Narrow"/>
                <w:color w:val="auto"/>
              </w:rPr>
              <w:t>)</w:t>
            </w:r>
          </w:p>
        </w:tc>
        <w:tc>
          <w:tcPr>
            <w:tcW w:w="1202"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PNUD</w:t>
            </w:r>
          </w:p>
        </w:tc>
        <w:tc>
          <w:tcPr>
            <w:tcW w:w="827" w:type="dxa"/>
          </w:tcPr>
          <w:p w:rsidR="00B24BF6" w:rsidRPr="00EE003F" w:rsidRDefault="00B24BF6"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0,</w:t>
            </w:r>
            <w:r w:rsidR="000A742E" w:rsidRPr="00EE003F">
              <w:rPr>
                <w:rStyle w:val="cuerpodetextotablas"/>
                <w:rFonts w:ascii="Arial Narrow" w:hAnsi="Arial Narrow"/>
                <w:color w:val="auto"/>
              </w:rPr>
              <w:t>406</w:t>
            </w:r>
          </w:p>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(201</w:t>
            </w:r>
            <w:r w:rsidR="000A742E" w:rsidRPr="00EE003F">
              <w:rPr>
                <w:rStyle w:val="cuerpodetextotablas"/>
                <w:rFonts w:ascii="Arial Narrow" w:hAnsi="Arial Narrow"/>
                <w:color w:val="auto"/>
              </w:rPr>
              <w:t>4</w:t>
            </w:r>
            <w:r w:rsidRPr="00EE003F">
              <w:rPr>
                <w:rStyle w:val="cuerpodetextotablas"/>
                <w:rFonts w:ascii="Arial Narrow" w:hAnsi="Arial Narrow"/>
                <w:color w:val="auto"/>
              </w:rPr>
              <w:t>)</w:t>
            </w:r>
          </w:p>
        </w:tc>
        <w:tc>
          <w:tcPr>
            <w:tcW w:w="862"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0,2</w:t>
            </w:r>
            <w:r w:rsidR="000A742E" w:rsidRPr="00EE003F">
              <w:rPr>
                <w:rStyle w:val="cuerpodetextotablas"/>
                <w:rFonts w:ascii="Arial Narrow" w:hAnsi="Arial Narrow"/>
                <w:color w:val="auto"/>
              </w:rPr>
              <w:t>52</w:t>
            </w:r>
          </w:p>
        </w:tc>
        <w:tc>
          <w:tcPr>
            <w:tcW w:w="936"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0,2</w:t>
            </w:r>
            <w:r w:rsidR="000A742E" w:rsidRPr="00EE003F">
              <w:rPr>
                <w:rStyle w:val="cuerpodetextotablas"/>
                <w:rFonts w:ascii="Arial Narrow" w:hAnsi="Arial Narrow"/>
                <w:color w:val="auto"/>
              </w:rPr>
              <w:t>2</w:t>
            </w:r>
          </w:p>
        </w:tc>
      </w:tr>
      <w:tr w:rsidR="006E3336" w:rsidRPr="00EE003F" w:rsidTr="003C36AC">
        <w:trPr>
          <w:trHeight w:val="60"/>
        </w:trPr>
        <w:tc>
          <w:tcPr>
            <w:tcW w:w="444" w:type="dxa"/>
          </w:tcPr>
          <w:p w:rsidR="00B24BF6" w:rsidRPr="00EE003F" w:rsidRDefault="00B24BF6" w:rsidP="00C810AE">
            <w:pPr>
              <w:pStyle w:val="BasicParagraph"/>
              <w:suppressAutoHyphens/>
              <w:rPr>
                <w:rFonts w:ascii="Arial Narrow" w:hAnsi="Arial Narrow"/>
                <w:color w:val="auto"/>
              </w:rPr>
            </w:pPr>
            <w:r w:rsidRPr="00EE003F">
              <w:rPr>
                <w:rStyle w:val="negritatablas"/>
                <w:rFonts w:ascii="Arial Narrow" w:hAnsi="Arial Narrow"/>
                <w:color w:val="auto"/>
              </w:rPr>
              <w:t>3</w:t>
            </w:r>
          </w:p>
        </w:tc>
        <w:tc>
          <w:tcPr>
            <w:tcW w:w="1462" w:type="dxa"/>
          </w:tcPr>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Garantizar el derecho a la participación política y la ciudadanía intercultural</w:t>
            </w:r>
          </w:p>
        </w:tc>
        <w:tc>
          <w:tcPr>
            <w:tcW w:w="470"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6</w:t>
            </w:r>
          </w:p>
        </w:tc>
        <w:tc>
          <w:tcPr>
            <w:tcW w:w="1507" w:type="dxa"/>
          </w:tcPr>
          <w:p w:rsidR="00B24BF6" w:rsidRPr="00EE003F" w:rsidRDefault="00B24BF6" w:rsidP="00C810AE">
            <w:pPr>
              <w:pStyle w:val="BasicParagraph"/>
              <w:suppressAutoHyphens/>
              <w:ind w:left="113" w:right="57"/>
              <w:rPr>
                <w:rStyle w:val="cuerpodetextotablas"/>
                <w:rFonts w:ascii="Arial Narrow" w:hAnsi="Arial Narrow"/>
                <w:color w:val="auto"/>
              </w:rPr>
            </w:pPr>
            <w:r w:rsidRPr="00EE003F">
              <w:rPr>
                <w:rStyle w:val="cuerpodetextotablas"/>
                <w:rFonts w:ascii="Arial Narrow" w:hAnsi="Arial Narrow"/>
                <w:color w:val="auto"/>
              </w:rPr>
              <w:t>Índice de democracia</w:t>
            </w:r>
          </w:p>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w:t>
            </w:r>
            <w:proofErr w:type="spellStart"/>
            <w:r w:rsidRPr="00EE003F">
              <w:rPr>
                <w:rStyle w:val="cuerpodetextotablas"/>
                <w:rFonts w:ascii="Arial Narrow" w:hAnsi="Arial Narrow"/>
                <w:i/>
                <w:color w:val="auto"/>
              </w:rPr>
              <w:t>Democracy</w:t>
            </w:r>
            <w:proofErr w:type="spellEnd"/>
            <w:r w:rsidRPr="00EE003F">
              <w:rPr>
                <w:rStyle w:val="cuerpodetextotablas"/>
                <w:rFonts w:ascii="Arial Narrow" w:hAnsi="Arial Narrow"/>
                <w:i/>
                <w:color w:val="auto"/>
              </w:rPr>
              <w:t xml:space="preserve"> </w:t>
            </w:r>
            <w:proofErr w:type="spellStart"/>
            <w:r w:rsidRPr="00EE003F">
              <w:rPr>
                <w:rStyle w:val="cuerpodetextotablas"/>
                <w:rFonts w:ascii="Arial Narrow" w:hAnsi="Arial Narrow"/>
                <w:i/>
                <w:color w:val="auto"/>
              </w:rPr>
              <w:t>Index</w:t>
            </w:r>
            <w:proofErr w:type="spellEnd"/>
            <w:r w:rsidRPr="00EE003F">
              <w:rPr>
                <w:rStyle w:val="cuerpodetextotablas"/>
                <w:rFonts w:ascii="Arial Narrow" w:hAnsi="Arial Narrow"/>
                <w:color w:val="auto"/>
              </w:rPr>
              <w:t>)</w:t>
            </w:r>
          </w:p>
        </w:tc>
        <w:tc>
          <w:tcPr>
            <w:tcW w:w="1202" w:type="dxa"/>
          </w:tcPr>
          <w:p w:rsidR="00B24BF6" w:rsidRPr="00EE003F" w:rsidRDefault="00B24BF6" w:rsidP="00C810AE">
            <w:pPr>
              <w:pStyle w:val="BasicParagraph"/>
              <w:suppressAutoHyphens/>
              <w:jc w:val="center"/>
              <w:rPr>
                <w:rFonts w:ascii="Arial Narrow" w:hAnsi="Arial Narrow"/>
                <w:i/>
                <w:color w:val="auto"/>
              </w:rPr>
            </w:pPr>
            <w:proofErr w:type="spellStart"/>
            <w:r w:rsidRPr="00EE003F">
              <w:rPr>
                <w:rStyle w:val="cuerpodetextotablas"/>
                <w:rFonts w:ascii="Arial Narrow" w:hAnsi="Arial Narrow"/>
                <w:i/>
                <w:color w:val="auto"/>
              </w:rPr>
              <w:t>The</w:t>
            </w:r>
            <w:proofErr w:type="spellEnd"/>
            <w:r w:rsidRPr="00EE003F">
              <w:rPr>
                <w:rStyle w:val="cuerpodetextotablas"/>
                <w:rFonts w:ascii="Arial Narrow" w:hAnsi="Arial Narrow"/>
                <w:i/>
                <w:color w:val="auto"/>
              </w:rPr>
              <w:t xml:space="preserve"> </w:t>
            </w:r>
            <w:proofErr w:type="spellStart"/>
            <w:r w:rsidRPr="00EE003F">
              <w:rPr>
                <w:rStyle w:val="cuerpodetextotablas"/>
                <w:rFonts w:ascii="Arial Narrow" w:hAnsi="Arial Narrow"/>
                <w:i/>
                <w:color w:val="auto"/>
              </w:rPr>
              <w:t>Economist</w:t>
            </w:r>
            <w:proofErr w:type="spellEnd"/>
          </w:p>
        </w:tc>
        <w:tc>
          <w:tcPr>
            <w:tcW w:w="827" w:type="dxa"/>
          </w:tcPr>
          <w:p w:rsidR="00B24BF6" w:rsidRPr="00EE003F" w:rsidRDefault="00B24BF6" w:rsidP="005D543C">
            <w:pPr>
              <w:pStyle w:val="BasicParagraph"/>
              <w:suppressAutoHyphens/>
              <w:jc w:val="center"/>
              <w:rPr>
                <w:rFonts w:ascii="Arial Narrow" w:hAnsi="Arial Narrow"/>
                <w:color w:val="auto"/>
              </w:rPr>
            </w:pPr>
            <w:r w:rsidRPr="00EE003F">
              <w:rPr>
                <w:rStyle w:val="cuerpodetextotablas"/>
                <w:rFonts w:ascii="Arial Narrow" w:hAnsi="Arial Narrow"/>
                <w:color w:val="auto"/>
              </w:rPr>
              <w:t>6,5</w:t>
            </w:r>
            <w:r w:rsidR="00E90404" w:rsidRPr="00EE003F">
              <w:rPr>
                <w:rStyle w:val="cuerpodetextotablas"/>
                <w:rFonts w:ascii="Arial Narrow" w:hAnsi="Arial Narrow"/>
                <w:color w:val="auto"/>
              </w:rPr>
              <w:t>8</w:t>
            </w:r>
            <w:r w:rsidRPr="00EE003F">
              <w:rPr>
                <w:rStyle w:val="cuerpodetextotablas"/>
                <w:rFonts w:ascii="Arial Narrow" w:hAnsi="Arial Narrow"/>
                <w:color w:val="auto"/>
              </w:rPr>
              <w:br/>
            </w:r>
          </w:p>
        </w:tc>
        <w:tc>
          <w:tcPr>
            <w:tcW w:w="862"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6,</w:t>
            </w:r>
            <w:r w:rsidR="00561B0E" w:rsidRPr="00EE003F">
              <w:rPr>
                <w:rStyle w:val="cuerpodetextotablas"/>
                <w:rFonts w:ascii="Arial Narrow" w:hAnsi="Arial Narrow"/>
                <w:color w:val="auto"/>
              </w:rPr>
              <w:t>83</w:t>
            </w:r>
          </w:p>
        </w:tc>
        <w:tc>
          <w:tcPr>
            <w:tcW w:w="936"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6,</w:t>
            </w:r>
            <w:r w:rsidR="00561B0E" w:rsidRPr="00EE003F">
              <w:rPr>
                <w:rStyle w:val="cuerpodetextotablas"/>
                <w:rFonts w:ascii="Arial Narrow" w:hAnsi="Arial Narrow"/>
                <w:color w:val="auto"/>
              </w:rPr>
              <w:t>93</w:t>
            </w:r>
          </w:p>
        </w:tc>
      </w:tr>
      <w:tr w:rsidR="006E3336" w:rsidRPr="00EE003F" w:rsidTr="003C36AC">
        <w:trPr>
          <w:trHeight w:val="60"/>
        </w:trPr>
        <w:tc>
          <w:tcPr>
            <w:tcW w:w="444" w:type="dxa"/>
          </w:tcPr>
          <w:p w:rsidR="00B24BF6" w:rsidRPr="00EE003F" w:rsidRDefault="00B24BF6" w:rsidP="00C810AE">
            <w:pPr>
              <w:pStyle w:val="BasicParagraph"/>
              <w:suppressAutoHyphens/>
              <w:rPr>
                <w:rFonts w:ascii="Arial Narrow" w:hAnsi="Arial Narrow"/>
                <w:color w:val="auto"/>
              </w:rPr>
            </w:pPr>
            <w:r w:rsidRPr="00EE003F">
              <w:rPr>
                <w:rStyle w:val="negritatablas"/>
                <w:rFonts w:ascii="Arial Narrow" w:hAnsi="Arial Narrow"/>
                <w:color w:val="auto"/>
              </w:rPr>
              <w:t>4</w:t>
            </w:r>
          </w:p>
        </w:tc>
        <w:tc>
          <w:tcPr>
            <w:tcW w:w="1462" w:type="dxa"/>
          </w:tcPr>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Contar con una cultura nacional de respeto de los derechos humanos</w:t>
            </w:r>
          </w:p>
        </w:tc>
        <w:tc>
          <w:tcPr>
            <w:tcW w:w="470" w:type="dxa"/>
          </w:tcPr>
          <w:p w:rsidR="00B24BF6" w:rsidRPr="00EE003F" w:rsidRDefault="00B24BF6"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7</w:t>
            </w:r>
          </w:p>
        </w:tc>
        <w:tc>
          <w:tcPr>
            <w:tcW w:w="1507" w:type="dxa"/>
          </w:tcPr>
          <w:p w:rsidR="00B24BF6" w:rsidRPr="00EE003F" w:rsidRDefault="00B24BF6" w:rsidP="00C810AE">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libertad en el mundo (</w:t>
            </w:r>
            <w:proofErr w:type="spellStart"/>
            <w:r w:rsidRPr="00EE003F">
              <w:rPr>
                <w:rStyle w:val="cuerpodetextotablas"/>
                <w:rFonts w:ascii="Arial Narrow" w:hAnsi="Arial Narrow"/>
                <w:i/>
                <w:color w:val="auto"/>
              </w:rPr>
              <w:t>Freedom</w:t>
            </w:r>
            <w:proofErr w:type="spellEnd"/>
            <w:r w:rsidRPr="00EE003F">
              <w:rPr>
                <w:rStyle w:val="cuerpodetextotablas"/>
                <w:rFonts w:ascii="Arial Narrow" w:hAnsi="Arial Narrow"/>
                <w:i/>
                <w:color w:val="auto"/>
              </w:rPr>
              <w:t xml:space="preserve"> in </w:t>
            </w:r>
            <w:proofErr w:type="spellStart"/>
            <w:r w:rsidRPr="00EE003F">
              <w:rPr>
                <w:rStyle w:val="cuerpodetextotablas"/>
                <w:rFonts w:ascii="Arial Narrow" w:hAnsi="Arial Narrow"/>
                <w:i/>
                <w:color w:val="auto"/>
              </w:rPr>
              <w:t>the</w:t>
            </w:r>
            <w:proofErr w:type="spellEnd"/>
            <w:r w:rsidRPr="00EE003F">
              <w:rPr>
                <w:rStyle w:val="cuerpodetextotablas"/>
                <w:rFonts w:ascii="Arial Narrow" w:hAnsi="Arial Narrow"/>
                <w:i/>
                <w:color w:val="auto"/>
              </w:rPr>
              <w:t xml:space="preserve"> </w:t>
            </w:r>
            <w:proofErr w:type="spellStart"/>
            <w:r w:rsidRPr="00EE003F">
              <w:rPr>
                <w:rStyle w:val="cuerpodetextotablas"/>
                <w:rFonts w:ascii="Arial Narrow" w:hAnsi="Arial Narrow"/>
                <w:i/>
                <w:color w:val="auto"/>
              </w:rPr>
              <w:t>World</w:t>
            </w:r>
            <w:proofErr w:type="spellEnd"/>
            <w:r w:rsidRPr="00EE003F">
              <w:rPr>
                <w:rStyle w:val="cuerpodetextotablas"/>
                <w:rFonts w:ascii="Arial Narrow" w:hAnsi="Arial Narrow"/>
                <w:i/>
                <w:color w:val="auto"/>
              </w:rPr>
              <w:t xml:space="preserve"> Index</w:t>
            </w:r>
            <w:r w:rsidRPr="00EE003F">
              <w:rPr>
                <w:rStyle w:val="cuerpodetextotablas"/>
                <w:rFonts w:ascii="Arial Narrow" w:hAnsi="Arial Narrow"/>
                <w:color w:val="auto"/>
              </w:rPr>
              <w:t>)</w:t>
            </w:r>
          </w:p>
        </w:tc>
        <w:tc>
          <w:tcPr>
            <w:tcW w:w="1202" w:type="dxa"/>
          </w:tcPr>
          <w:p w:rsidR="00B24BF6" w:rsidRPr="00EE003F" w:rsidRDefault="00B24BF6" w:rsidP="00C810AE">
            <w:pPr>
              <w:pStyle w:val="BasicParagraph"/>
              <w:suppressAutoHyphens/>
              <w:jc w:val="center"/>
              <w:rPr>
                <w:rFonts w:ascii="Arial Narrow" w:hAnsi="Arial Narrow"/>
                <w:i/>
                <w:color w:val="auto"/>
              </w:rPr>
            </w:pPr>
            <w:proofErr w:type="spellStart"/>
            <w:r w:rsidRPr="00EE003F">
              <w:rPr>
                <w:rStyle w:val="cuerpodetextotablas"/>
                <w:rFonts w:ascii="Arial Narrow" w:hAnsi="Arial Narrow"/>
                <w:i/>
                <w:color w:val="auto"/>
              </w:rPr>
              <w:t>Freedom</w:t>
            </w:r>
            <w:proofErr w:type="spellEnd"/>
            <w:r w:rsidRPr="00EE003F">
              <w:rPr>
                <w:rStyle w:val="cuerpodetextotablas"/>
                <w:rFonts w:ascii="Arial Narrow" w:hAnsi="Arial Narrow"/>
                <w:i/>
                <w:color w:val="auto"/>
              </w:rPr>
              <w:t xml:space="preserve"> </w:t>
            </w:r>
            <w:proofErr w:type="spellStart"/>
            <w:r w:rsidRPr="00EE003F">
              <w:rPr>
                <w:rStyle w:val="cuerpodetextotablas"/>
                <w:rFonts w:ascii="Arial Narrow" w:hAnsi="Arial Narrow"/>
                <w:i/>
                <w:color w:val="auto"/>
              </w:rPr>
              <w:t>House</w:t>
            </w:r>
            <w:proofErr w:type="spellEnd"/>
          </w:p>
        </w:tc>
        <w:tc>
          <w:tcPr>
            <w:tcW w:w="827" w:type="dxa"/>
          </w:tcPr>
          <w:p w:rsidR="00B24BF6" w:rsidRPr="00EE003F" w:rsidRDefault="00D1498A"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2,5</w:t>
            </w:r>
          </w:p>
          <w:p w:rsidR="00B24BF6" w:rsidRPr="00EE003F" w:rsidRDefault="00B24BF6" w:rsidP="00C810AE">
            <w:pPr>
              <w:pStyle w:val="BasicParagraph"/>
              <w:suppressAutoHyphens/>
              <w:jc w:val="center"/>
              <w:rPr>
                <w:rFonts w:ascii="Arial Narrow" w:hAnsi="Arial Narrow"/>
                <w:color w:val="auto"/>
              </w:rPr>
            </w:pPr>
          </w:p>
        </w:tc>
        <w:tc>
          <w:tcPr>
            <w:tcW w:w="862" w:type="dxa"/>
          </w:tcPr>
          <w:p w:rsidR="00B24BF6" w:rsidRPr="00EE003F" w:rsidRDefault="00D1498A"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2</w:t>
            </w:r>
            <w:r w:rsidR="00B2147E" w:rsidRPr="00EE003F">
              <w:rPr>
                <w:rStyle w:val="cuerpodetextotablas"/>
                <w:rFonts w:ascii="Arial Narrow" w:hAnsi="Arial Narrow"/>
                <w:color w:val="auto"/>
              </w:rPr>
              <w:t>,35</w:t>
            </w:r>
          </w:p>
        </w:tc>
        <w:tc>
          <w:tcPr>
            <w:tcW w:w="936" w:type="dxa"/>
          </w:tcPr>
          <w:p w:rsidR="00B24BF6" w:rsidRPr="00EE003F" w:rsidRDefault="00B2147E"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2</w:t>
            </w:r>
            <w:r w:rsidR="00D1498A" w:rsidRPr="00EE003F">
              <w:rPr>
                <w:rStyle w:val="cuerpodetextotablas"/>
                <w:rFonts w:ascii="Arial Narrow" w:hAnsi="Arial Narrow"/>
                <w:color w:val="auto"/>
              </w:rPr>
              <w:t>,</w:t>
            </w:r>
            <w:r w:rsidRPr="00EE003F">
              <w:rPr>
                <w:rStyle w:val="cuerpodetextotablas"/>
                <w:rFonts w:ascii="Arial Narrow" w:hAnsi="Arial Narrow"/>
                <w:color w:val="auto"/>
              </w:rPr>
              <w:t>0</w:t>
            </w:r>
          </w:p>
        </w:tc>
      </w:tr>
    </w:tbl>
    <w:p w:rsidR="002346B0" w:rsidRPr="00EE003F" w:rsidRDefault="002346B0" w:rsidP="001A4E17">
      <w:pPr>
        <w:rPr>
          <w:rFonts w:ascii="Arial Narrow" w:hAnsi="Arial Narrow"/>
          <w:sz w:val="24"/>
          <w:szCs w:val="24"/>
        </w:rPr>
      </w:pPr>
    </w:p>
    <w:p w:rsidR="0040526A" w:rsidRPr="00EE003F" w:rsidRDefault="002346B0" w:rsidP="004648A4">
      <w:pPr>
        <w:jc w:val="both"/>
        <w:rPr>
          <w:rFonts w:ascii="Arial Narrow" w:hAnsi="Arial Narrow"/>
          <w:sz w:val="20"/>
          <w:szCs w:val="20"/>
        </w:rPr>
      </w:pPr>
      <w:r w:rsidRPr="00EE003F">
        <w:rPr>
          <w:rFonts w:ascii="Arial Narrow" w:hAnsi="Arial Narrow"/>
          <w:sz w:val="20"/>
          <w:szCs w:val="20"/>
        </w:rPr>
        <w:t>(*) Debido a que el objetivo nacional “Erradicar todas las formas de discriminación” tiene un alcance mayor que el indicador propuesto (Índice de Inequidad de Género) y que no existen indicadores que evalúen los distintos tipo de discriminación (que sean acreditados por organismos internacionales y que tengan permanencia en el tiempo para hacer una adecuada medición); se elaborarán nuevos indicadores a nivel nacional para la medición del cumplimiento de este objetivo.</w:t>
      </w:r>
    </w:p>
    <w:p w:rsidR="0040526A" w:rsidRPr="00EE003F" w:rsidRDefault="0040526A" w:rsidP="004648A4">
      <w:pPr>
        <w:jc w:val="both"/>
        <w:rPr>
          <w:rFonts w:ascii="Arial Narrow" w:hAnsi="Arial Narrow"/>
          <w:sz w:val="20"/>
          <w:szCs w:val="20"/>
        </w:rPr>
      </w:pPr>
    </w:p>
    <w:p w:rsidR="005D543C" w:rsidRPr="00EE003F" w:rsidRDefault="005D543C" w:rsidP="004648A4">
      <w:pPr>
        <w:jc w:val="both"/>
        <w:rPr>
          <w:rFonts w:ascii="Arial Narrow" w:hAnsi="Arial Narrow"/>
          <w:sz w:val="20"/>
          <w:szCs w:val="20"/>
        </w:rPr>
      </w:pPr>
      <w:r w:rsidRPr="00EE003F">
        <w:rPr>
          <w:rFonts w:ascii="Arial Narrow" w:hAnsi="Arial Narrow"/>
          <w:noProof/>
          <w:sz w:val="20"/>
          <w:szCs w:val="20"/>
          <w:lang w:eastAsia="es-PE"/>
        </w:rPr>
        <w:drawing>
          <wp:inline distT="0" distB="0" distL="0" distR="0" wp14:anchorId="1057D2F9" wp14:editId="14455C36">
            <wp:extent cx="4828032" cy="2380770"/>
            <wp:effectExtent l="0" t="0" r="0" b="63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25284" cy="2379415"/>
                    </a:xfrm>
                    <a:prstGeom prst="rect">
                      <a:avLst/>
                    </a:prstGeom>
                    <a:noFill/>
                  </pic:spPr>
                </pic:pic>
              </a:graphicData>
            </a:graphic>
          </wp:inline>
        </w:drawing>
      </w:r>
    </w:p>
    <w:p w:rsidR="0040526A" w:rsidRPr="00EE003F" w:rsidRDefault="0040526A" w:rsidP="0040526A">
      <w:pPr>
        <w:rPr>
          <w:rFonts w:ascii="Arial Narrow" w:hAnsi="Arial Narrow"/>
        </w:rPr>
      </w:pPr>
      <w:r w:rsidRPr="00EE003F">
        <w:rPr>
          <w:rFonts w:ascii="Arial Narrow" w:hAnsi="Arial Narrow"/>
          <w:bCs/>
        </w:rPr>
        <w:t>Fuente: INEI-</w:t>
      </w:r>
      <w:proofErr w:type="spellStart"/>
      <w:r w:rsidRPr="00EE003F">
        <w:rPr>
          <w:rFonts w:ascii="Arial Narrow" w:hAnsi="Arial Narrow"/>
          <w:bCs/>
        </w:rPr>
        <w:t>Enaho</w:t>
      </w:r>
      <w:proofErr w:type="spellEnd"/>
    </w:p>
    <w:p w:rsidR="00AB380D" w:rsidRPr="00EE003F" w:rsidRDefault="00650021" w:rsidP="0040526A">
      <w:pPr>
        <w:rPr>
          <w:rFonts w:ascii="Arial Narrow" w:hAnsi="Arial Narrow"/>
          <w:b/>
        </w:rPr>
      </w:pPr>
      <w:r w:rsidRPr="00EE003F">
        <w:rPr>
          <w:noProof/>
          <w:lang w:eastAsia="es-PE"/>
        </w:rPr>
        <w:drawing>
          <wp:inline distT="0" distB="0" distL="0" distR="0" wp14:anchorId="43EF32DC" wp14:editId="4A7EFCB2">
            <wp:extent cx="5400675" cy="366461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00675" cy="3664613"/>
                    </a:xfrm>
                    <a:prstGeom prst="rect">
                      <a:avLst/>
                    </a:prstGeom>
                  </pic:spPr>
                </pic:pic>
              </a:graphicData>
            </a:graphic>
          </wp:inline>
        </w:drawing>
      </w:r>
    </w:p>
    <w:p w:rsidR="002346B0" w:rsidRPr="00EE003F" w:rsidRDefault="002346B0" w:rsidP="002346B0">
      <w:pPr>
        <w:rPr>
          <w:rFonts w:ascii="Arial Narrow" w:hAnsi="Arial Narrow"/>
          <w:b/>
          <w:sz w:val="24"/>
          <w:szCs w:val="24"/>
        </w:rPr>
      </w:pPr>
      <w:r w:rsidRPr="00EE003F">
        <w:rPr>
          <w:rFonts w:ascii="Arial Narrow" w:hAnsi="Arial Narrow"/>
          <w:b/>
          <w:sz w:val="24"/>
          <w:szCs w:val="24"/>
        </w:rPr>
        <w:t>Interpretación</w:t>
      </w:r>
    </w:p>
    <w:p w:rsidR="001A4E17" w:rsidRPr="00EE003F" w:rsidRDefault="002346B0" w:rsidP="00EA63A7">
      <w:pPr>
        <w:spacing w:before="120" w:after="0" w:line="240" w:lineRule="auto"/>
        <w:jc w:val="both"/>
        <w:rPr>
          <w:rFonts w:ascii="Arial Narrow" w:hAnsi="Arial Narrow"/>
          <w:sz w:val="24"/>
          <w:szCs w:val="24"/>
        </w:rPr>
      </w:pPr>
      <w:r w:rsidRPr="00EE003F">
        <w:rPr>
          <w:rFonts w:ascii="Arial Narrow" w:hAnsi="Arial Narrow"/>
          <w:sz w:val="24"/>
          <w:szCs w:val="24"/>
        </w:rPr>
        <w:t xml:space="preserve">En la última década, las políticas de lucha contra la pobreza han logrado reducir la tasa de incidencia de la pobreza de 58,70% en el 2004 a </w:t>
      </w:r>
      <w:r w:rsidR="001874EC" w:rsidRPr="00EE003F">
        <w:rPr>
          <w:rFonts w:ascii="Arial Narrow" w:hAnsi="Arial Narrow"/>
          <w:sz w:val="24"/>
          <w:szCs w:val="24"/>
        </w:rPr>
        <w:t>21,8</w:t>
      </w:r>
      <w:r w:rsidRPr="00EE003F">
        <w:rPr>
          <w:rFonts w:ascii="Arial Narrow" w:hAnsi="Arial Narrow"/>
          <w:sz w:val="24"/>
          <w:szCs w:val="24"/>
        </w:rPr>
        <w:t>% en el 201</w:t>
      </w:r>
      <w:r w:rsidR="001874EC" w:rsidRPr="00EE003F">
        <w:rPr>
          <w:rFonts w:ascii="Arial Narrow" w:hAnsi="Arial Narrow"/>
          <w:sz w:val="24"/>
          <w:szCs w:val="24"/>
        </w:rPr>
        <w:t>5</w:t>
      </w:r>
      <w:r w:rsidRPr="00EE003F">
        <w:rPr>
          <w:rFonts w:ascii="Arial Narrow" w:hAnsi="Arial Narrow"/>
          <w:sz w:val="24"/>
          <w:szCs w:val="24"/>
        </w:rPr>
        <w:t>. Existe una tendencia mundial a un mayor costo de la canasta básica de alimentos y no alimentos que podría afectar a la población más vulnerable. Sin embargo, las políticas de inclusión social, el incremento de la PEA ocupada, la creciente participación de la mujer en el mercado laboral, la implementación de la estrategia nacional “Incluir para Crecer” y el fortalecimiento de las capacidades de gestión social de gobiernos regionales y locales, harían posible que los hogares alcancen un creciente consumo, en especial aquellos de las zonas rurales del país (las de mayor vulnerabilidad e inequidad). En esta medida, las metas establecidas al 2016 y 2021 podrían ser cumplidas.</w:t>
      </w:r>
    </w:p>
    <w:p w:rsidR="00337D1C" w:rsidRPr="00EE003F" w:rsidRDefault="00337D1C" w:rsidP="00337D1C">
      <w:pPr>
        <w:spacing w:after="0" w:line="240" w:lineRule="auto"/>
        <w:jc w:val="both"/>
        <w:rPr>
          <w:rFonts w:ascii="Arial Narrow" w:eastAsia="FrutigerLTStd-Light" w:hAnsi="Arial Narrow" w:cs="FrutigerLTStd-Light"/>
          <w:sz w:val="24"/>
          <w:szCs w:val="24"/>
        </w:rPr>
      </w:pPr>
    </w:p>
    <w:p w:rsidR="001874EC" w:rsidRPr="00EE003F" w:rsidRDefault="00FA5ABE" w:rsidP="00337D1C">
      <w:pPr>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noProof/>
          <w:sz w:val="24"/>
          <w:szCs w:val="24"/>
          <w:lang w:eastAsia="es-PE"/>
        </w:rPr>
        <w:drawing>
          <wp:inline distT="0" distB="0" distL="0" distR="0" wp14:anchorId="04B127DD" wp14:editId="1B52EBAE">
            <wp:extent cx="4565709" cy="2685059"/>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64696" cy="2684463"/>
                    </a:xfrm>
                    <a:prstGeom prst="rect">
                      <a:avLst/>
                    </a:prstGeom>
                    <a:noFill/>
                  </pic:spPr>
                </pic:pic>
              </a:graphicData>
            </a:graphic>
          </wp:inline>
        </w:drawing>
      </w:r>
    </w:p>
    <w:p w:rsidR="00AB380D" w:rsidRPr="00EE003F" w:rsidRDefault="00380BAA" w:rsidP="008961B0">
      <w:pPr>
        <w:rPr>
          <w:rFonts w:ascii="Arial Narrow" w:hAnsi="Arial Narrow"/>
          <w:b/>
        </w:rPr>
      </w:pPr>
      <w:r w:rsidRPr="00EE003F">
        <w:rPr>
          <w:noProof/>
          <w:lang w:eastAsia="es-PE"/>
        </w:rPr>
        <w:drawing>
          <wp:inline distT="0" distB="0" distL="0" distR="0" wp14:anchorId="572833FF" wp14:editId="3C5FA9E9">
            <wp:extent cx="5400675" cy="367622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00675" cy="3676223"/>
                    </a:xfrm>
                    <a:prstGeom prst="rect">
                      <a:avLst/>
                    </a:prstGeom>
                  </pic:spPr>
                </pic:pic>
              </a:graphicData>
            </a:graphic>
          </wp:inline>
        </w:drawing>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Las políticas de reducción de la pobreza en la última década han logrado reducir la tasa de incidencia de la pobreza extrema de 16,40% en el 2004 a 4,30% en el 2014. Las metas para el 2016 y 2021 serían factibles con la focalización de los programas sociales en los hogares de pobreza extrema, al incorporar componentes de tipo productivo en las acciones y programas sociales que desarrollen las capacidades productivas de las familias en situación de vulnerabilidad económica. Asimismo, la mayor participación de la mujer en el mercado laboral, un entorno económico que brinde oportunidades de empleo y la implementación de la estrategia nacional “Incluir para Crecer”, contribuirían a conseguir este logro.</w:t>
      </w:r>
    </w:p>
    <w:p w:rsidR="00337D1C" w:rsidRPr="00EE003F" w:rsidRDefault="00337D1C" w:rsidP="00337D1C">
      <w:pPr>
        <w:spacing w:after="0" w:line="240" w:lineRule="auto"/>
        <w:jc w:val="both"/>
        <w:rPr>
          <w:rFonts w:ascii="Arial Narrow" w:eastAsia="FrutigerLTStd-Light" w:hAnsi="Arial Narrow" w:cs="FrutigerLTStd-Light"/>
          <w:sz w:val="24"/>
          <w:szCs w:val="24"/>
        </w:rPr>
      </w:pPr>
    </w:p>
    <w:p w:rsidR="00337D1C" w:rsidRPr="00EE003F" w:rsidRDefault="00E21D78" w:rsidP="00337D1C">
      <w:pPr>
        <w:spacing w:after="0" w:line="240" w:lineRule="auto"/>
        <w:jc w:val="both"/>
        <w:rPr>
          <w:rFonts w:ascii="Arial Narrow" w:hAnsi="Arial Narrow" w:cs="FrutigerLTStd-BoldCn"/>
          <w:b/>
          <w:bCs/>
          <w:sz w:val="24"/>
          <w:szCs w:val="24"/>
        </w:rPr>
      </w:pPr>
      <w:r w:rsidRPr="00EE003F">
        <w:rPr>
          <w:noProof/>
          <w:lang w:eastAsia="es-PE"/>
        </w:rPr>
        <w:drawing>
          <wp:inline distT="0" distB="0" distL="0" distR="0" wp14:anchorId="3D06152E" wp14:editId="2D674EC4">
            <wp:extent cx="4886553" cy="2816486"/>
            <wp:effectExtent l="0" t="0" r="0" b="317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888416" cy="2817560"/>
                    </a:xfrm>
                    <a:prstGeom prst="rect">
                      <a:avLst/>
                    </a:prstGeom>
                  </pic:spPr>
                </pic:pic>
              </a:graphicData>
            </a:graphic>
          </wp:inline>
        </w:drawing>
      </w:r>
    </w:p>
    <w:p w:rsidR="00337D1C" w:rsidRPr="00EE003F" w:rsidRDefault="00337D1C" w:rsidP="00337D1C">
      <w:pPr>
        <w:spacing w:after="0" w:line="240" w:lineRule="auto"/>
        <w:jc w:val="both"/>
        <w:rPr>
          <w:rFonts w:ascii="Arial Narrow" w:hAnsi="Arial Narrow" w:cs="FrutigerLTStd-BoldCn"/>
          <w:b/>
          <w:bCs/>
          <w:sz w:val="24"/>
          <w:szCs w:val="24"/>
        </w:rPr>
      </w:pPr>
    </w:p>
    <w:p w:rsidR="00337D1C" w:rsidRPr="00EE003F" w:rsidRDefault="008436B1" w:rsidP="00337D1C">
      <w:pPr>
        <w:spacing w:after="0" w:line="240" w:lineRule="auto"/>
        <w:jc w:val="both"/>
        <w:rPr>
          <w:rFonts w:ascii="Arial Narrow" w:hAnsi="Arial Narrow" w:cs="FrutigerLTStd-BoldCn"/>
          <w:b/>
          <w:bCs/>
          <w:sz w:val="24"/>
          <w:szCs w:val="24"/>
        </w:rPr>
      </w:pPr>
      <w:r w:rsidRPr="00EE003F">
        <w:rPr>
          <w:noProof/>
          <w:lang w:eastAsia="es-PE"/>
        </w:rPr>
        <w:drawing>
          <wp:inline distT="0" distB="0" distL="0" distR="0" wp14:anchorId="6F4592DC" wp14:editId="5B200412">
            <wp:extent cx="4425696" cy="317029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427383" cy="3171506"/>
                    </a:xfrm>
                    <a:prstGeom prst="rect">
                      <a:avLst/>
                    </a:prstGeom>
                  </pic:spPr>
                </pic:pic>
              </a:graphicData>
            </a:graphic>
          </wp:inline>
        </w:drawing>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El mejor entorno económico experimentado en la última década ha logrado reducir la desigualdad en los ingresos de la población, de 0,47 en el 2009 a 0,44 en el 2014. Para alcanzar las metas trazadas al 2016 y 2021 será necesario continuar los programas de asistencia social a las familias en pobreza y pobreza extrema, que vayan acompañados de programas que desarrollen capacidades productivas. Asimismo, la reducción de las brechas de productividad e infraestructura entre el ámbito urbano y rural, y la mayor participación de la mujer en el plano económico serán fundamentales para reducir la desigualdad de ingresos.</w:t>
      </w:r>
    </w:p>
    <w:p w:rsidR="00EA63A7" w:rsidRPr="00EE003F" w:rsidRDefault="00EA63A7">
      <w:pPr>
        <w:rPr>
          <w:rFonts w:ascii="Arial Narrow" w:hAnsi="Arial Narrow" w:cs="FrutigerLTStd-BoldCn"/>
          <w:b/>
          <w:bCs/>
          <w:sz w:val="24"/>
          <w:szCs w:val="24"/>
        </w:rPr>
      </w:pPr>
      <w:r w:rsidRPr="00EE003F">
        <w:rPr>
          <w:rFonts w:ascii="Arial Narrow" w:hAnsi="Arial Narrow" w:cs="FrutigerLTStd-BoldCn"/>
          <w:b/>
          <w:bCs/>
          <w:sz w:val="24"/>
          <w:szCs w:val="24"/>
        </w:rPr>
        <w:br w:type="page"/>
      </w: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2F354E" w:rsidRPr="00EE003F" w:rsidRDefault="00014CE0" w:rsidP="00337D1C">
      <w:pPr>
        <w:autoSpaceDE w:val="0"/>
        <w:autoSpaceDN w:val="0"/>
        <w:adjustRightInd w:val="0"/>
        <w:spacing w:after="0" w:line="240" w:lineRule="auto"/>
        <w:jc w:val="both"/>
        <w:rPr>
          <w:rFonts w:ascii="Arial Narrow" w:hAnsi="Arial Narrow" w:cs="FrutigerLTStd-BoldCn"/>
          <w:b/>
          <w:bCs/>
          <w:sz w:val="24"/>
          <w:szCs w:val="24"/>
        </w:rPr>
      </w:pPr>
      <w:r w:rsidRPr="00EE003F">
        <w:rPr>
          <w:noProof/>
          <w:lang w:eastAsia="es-PE"/>
        </w:rPr>
        <w:drawing>
          <wp:inline distT="0" distB="0" distL="0" distR="0" wp14:anchorId="76491402" wp14:editId="6C917906">
            <wp:extent cx="5400675" cy="289893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00675" cy="2898937"/>
                    </a:xfrm>
                    <a:prstGeom prst="rect">
                      <a:avLst/>
                    </a:prstGeom>
                  </pic:spPr>
                </pic:pic>
              </a:graphicData>
            </a:graphic>
          </wp:inline>
        </w:drawing>
      </w:r>
    </w:p>
    <w:p w:rsidR="00337D1C" w:rsidRPr="00EE003F" w:rsidRDefault="00EA63A7" w:rsidP="00337D1C">
      <w:pPr>
        <w:autoSpaceDE w:val="0"/>
        <w:autoSpaceDN w:val="0"/>
        <w:adjustRightInd w:val="0"/>
        <w:spacing w:after="0" w:line="240" w:lineRule="auto"/>
        <w:jc w:val="both"/>
        <w:rPr>
          <w:rFonts w:ascii="Arial Narrow" w:hAnsi="Arial Narrow"/>
          <w:bCs/>
        </w:rPr>
      </w:pPr>
      <w:r w:rsidRPr="00EE003F">
        <w:rPr>
          <w:rFonts w:ascii="Arial Narrow" w:hAnsi="Arial Narrow"/>
          <w:bCs/>
        </w:rPr>
        <w:t>Fuente: INEI-</w:t>
      </w:r>
      <w:proofErr w:type="spellStart"/>
      <w:r w:rsidRPr="00EE003F">
        <w:rPr>
          <w:rFonts w:ascii="Arial Narrow" w:hAnsi="Arial Narrow"/>
          <w:bCs/>
        </w:rPr>
        <w:t>Enaho</w:t>
      </w:r>
      <w:proofErr w:type="spellEnd"/>
    </w:p>
    <w:p w:rsidR="00EA63A7" w:rsidRPr="00EE003F" w:rsidRDefault="00EA63A7"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AB380D" w:rsidRPr="00EE003F" w:rsidRDefault="0092473A" w:rsidP="00337D1C">
      <w:pPr>
        <w:autoSpaceDE w:val="0"/>
        <w:autoSpaceDN w:val="0"/>
        <w:adjustRightInd w:val="0"/>
        <w:spacing w:after="0" w:line="240" w:lineRule="auto"/>
        <w:jc w:val="both"/>
        <w:rPr>
          <w:rFonts w:ascii="Arial Narrow" w:hAnsi="Arial Narrow" w:cs="FrutigerLTStd-BoldCn"/>
          <w:b/>
          <w:bCs/>
          <w:sz w:val="24"/>
          <w:szCs w:val="24"/>
        </w:rPr>
      </w:pPr>
      <w:r w:rsidRPr="00EE003F">
        <w:rPr>
          <w:noProof/>
          <w:lang w:eastAsia="es-PE"/>
        </w:rPr>
        <w:drawing>
          <wp:inline distT="0" distB="0" distL="0" distR="0" wp14:anchorId="23DCD564" wp14:editId="69F31AB1">
            <wp:extent cx="5400675" cy="3464791"/>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00675" cy="3464791"/>
                    </a:xfrm>
                    <a:prstGeom prst="rect">
                      <a:avLst/>
                    </a:prstGeom>
                  </pic:spPr>
                </pic:pic>
              </a:graphicData>
            </a:graphic>
          </wp:inline>
        </w:drawing>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337D1C" w:rsidP="0092473A">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La atención del Estado en la alimentación infantil ha logrado reducir la proporción de menores de 5 años con desnutrición crónica de 28.20% en el 2008 a 14.60% en el 2014. La </w:t>
      </w:r>
      <w:proofErr w:type="gramStart"/>
      <w:r w:rsidR="001671EE" w:rsidRPr="00EE003F">
        <w:rPr>
          <w:rFonts w:ascii="Arial Narrow" w:eastAsia="FrutigerLTStd-Light" w:hAnsi="Arial Narrow" w:cs="FrutigerLTStd-Light"/>
          <w:sz w:val="24"/>
          <w:szCs w:val="24"/>
        </w:rPr>
        <w:t>continua</w:t>
      </w:r>
      <w:proofErr w:type="gramEnd"/>
      <w:r w:rsidRPr="00EE003F">
        <w:rPr>
          <w:rFonts w:ascii="Arial Narrow" w:eastAsia="FrutigerLTStd-Light" w:hAnsi="Arial Narrow" w:cs="FrutigerLTStd-Light"/>
          <w:sz w:val="24"/>
          <w:szCs w:val="24"/>
        </w:rPr>
        <w:t xml:space="preserve"> mejora de los programas sociales, las estrategias de alimentación y de control de la salud como </w:t>
      </w:r>
      <w:r w:rsidR="00F33EB0" w:rsidRPr="00EE003F">
        <w:rPr>
          <w:rFonts w:ascii="Arial Narrow" w:eastAsia="FrutigerLTStd-Light" w:hAnsi="Arial Narrow" w:cs="FrutigerLTStd-Light"/>
          <w:sz w:val="24"/>
          <w:szCs w:val="24"/>
        </w:rPr>
        <w:t>“</w:t>
      </w:r>
      <w:proofErr w:type="spellStart"/>
      <w:r w:rsidRPr="00EE003F">
        <w:rPr>
          <w:rFonts w:ascii="Arial Narrow" w:eastAsia="FrutigerLTStd-Light" w:hAnsi="Arial Narrow" w:cs="FrutigerLTStd-Light"/>
          <w:i/>
          <w:sz w:val="24"/>
          <w:szCs w:val="24"/>
        </w:rPr>
        <w:t>Qali</w:t>
      </w:r>
      <w:proofErr w:type="spellEnd"/>
      <w:r w:rsidRPr="00EE003F">
        <w:rPr>
          <w:rFonts w:ascii="Arial Narrow" w:eastAsia="FrutigerLTStd-Light" w:hAnsi="Arial Narrow" w:cs="FrutigerLTStd-Light"/>
          <w:i/>
          <w:sz w:val="24"/>
          <w:szCs w:val="24"/>
        </w:rPr>
        <w:t xml:space="preserve"> </w:t>
      </w:r>
      <w:proofErr w:type="spellStart"/>
      <w:r w:rsidRPr="00EE003F">
        <w:rPr>
          <w:rFonts w:ascii="Arial Narrow" w:eastAsia="FrutigerLTStd-Light" w:hAnsi="Arial Narrow" w:cs="FrutigerLTStd-Light"/>
          <w:i/>
          <w:sz w:val="24"/>
          <w:szCs w:val="24"/>
        </w:rPr>
        <w:t>Warma</w:t>
      </w:r>
      <w:proofErr w:type="spellEnd"/>
      <w:r w:rsidR="00F33EB0" w:rsidRPr="00EE003F">
        <w:rPr>
          <w:rFonts w:ascii="Arial Narrow" w:eastAsia="FrutigerLTStd-Light" w:hAnsi="Arial Narrow" w:cs="FrutigerLTStd-Light"/>
          <w:sz w:val="24"/>
          <w:szCs w:val="24"/>
        </w:rPr>
        <w:t>”</w:t>
      </w:r>
      <w:r w:rsidRPr="00EE003F">
        <w:rPr>
          <w:rFonts w:ascii="Arial Narrow" w:eastAsia="FrutigerLTStd-Light" w:hAnsi="Arial Narrow" w:cs="FrutigerLTStd-Light"/>
          <w:sz w:val="24"/>
          <w:szCs w:val="24"/>
        </w:rPr>
        <w:t xml:space="preserve">, </w:t>
      </w:r>
      <w:r w:rsidR="00F33EB0" w:rsidRPr="00EE003F">
        <w:rPr>
          <w:rFonts w:ascii="Arial Narrow" w:eastAsia="FrutigerLTStd-Light" w:hAnsi="Arial Narrow" w:cs="FrutigerLTStd-Light"/>
          <w:sz w:val="24"/>
          <w:szCs w:val="24"/>
        </w:rPr>
        <w:t>“</w:t>
      </w:r>
      <w:r w:rsidRPr="00EE003F">
        <w:rPr>
          <w:rFonts w:ascii="Arial Narrow" w:eastAsia="FrutigerLTStd-Light" w:hAnsi="Arial Narrow" w:cs="FrutigerLTStd-Light"/>
          <w:sz w:val="24"/>
          <w:szCs w:val="24"/>
        </w:rPr>
        <w:t>Juntos</w:t>
      </w:r>
      <w:r w:rsidR="00F33EB0" w:rsidRPr="00EE003F">
        <w:rPr>
          <w:rFonts w:ascii="Arial Narrow" w:eastAsia="FrutigerLTStd-Light" w:hAnsi="Arial Narrow" w:cs="FrutigerLTStd-Light"/>
          <w:sz w:val="24"/>
          <w:szCs w:val="24"/>
        </w:rPr>
        <w:t>”</w:t>
      </w:r>
      <w:r w:rsidRPr="00EE003F">
        <w:rPr>
          <w:rFonts w:ascii="Arial Narrow" w:eastAsia="FrutigerLTStd-Light" w:hAnsi="Arial Narrow" w:cs="FrutigerLTStd-Light"/>
          <w:sz w:val="24"/>
          <w:szCs w:val="24"/>
        </w:rPr>
        <w:t xml:space="preserve"> y la estrategia nacional “Incluir para Crecer” permitirán mejorar el desarrollo infantil temprano, lo que será decisivo para el desarrollo de toda su vida. A esto se suman el mayor nivel de educación de la población, la capacitación </w:t>
      </w:r>
      <w:proofErr w:type="gramStart"/>
      <w:r w:rsidR="001671EE" w:rsidRPr="00EE003F">
        <w:rPr>
          <w:rFonts w:ascii="Arial Narrow" w:eastAsia="FrutigerLTStd-Light" w:hAnsi="Arial Narrow" w:cs="FrutigerLTStd-Light"/>
          <w:sz w:val="24"/>
          <w:szCs w:val="24"/>
        </w:rPr>
        <w:t>continua</w:t>
      </w:r>
      <w:proofErr w:type="gramEnd"/>
      <w:r w:rsidRPr="00EE003F">
        <w:rPr>
          <w:rFonts w:ascii="Arial Narrow" w:eastAsia="FrutigerLTStd-Light" w:hAnsi="Arial Narrow" w:cs="FrutigerLTStd-Light"/>
          <w:sz w:val="24"/>
          <w:szCs w:val="24"/>
        </w:rPr>
        <w:t xml:space="preserve"> en el cuidado infantil, y la reducción del tamaño promedio de la familia, contribuirán a reducir la tasa de desnutrición crónica y lograr las metas propuestas.</w:t>
      </w:r>
    </w:p>
    <w:p w:rsidR="00337D1C" w:rsidRPr="00EE003F" w:rsidRDefault="00EA63A7" w:rsidP="0092473A">
      <w:pPr>
        <w:rPr>
          <w:rFonts w:ascii="Arial Narrow" w:hAnsi="Arial Narrow" w:cs="FrutigerLTStd-BoldCn"/>
          <w:b/>
          <w:bCs/>
          <w:sz w:val="24"/>
          <w:szCs w:val="24"/>
        </w:rPr>
      </w:pPr>
      <w:r w:rsidRPr="00EE003F">
        <w:rPr>
          <w:rFonts w:ascii="Arial Narrow" w:hAnsi="Arial Narrow" w:cs="FrutigerLTStd-BoldCn"/>
          <w:b/>
          <w:bCs/>
          <w:sz w:val="24"/>
          <w:szCs w:val="24"/>
        </w:rPr>
        <w:br w:type="page"/>
      </w:r>
      <w:r w:rsidR="00D17D00" w:rsidRPr="00EE003F">
        <w:rPr>
          <w:rFonts w:ascii="Arial Narrow" w:hAnsi="Arial Narrow"/>
          <w:b/>
          <w:noProof/>
          <w:lang w:eastAsia="es-PE"/>
        </w:rPr>
        <w:drawing>
          <wp:inline distT="0" distB="0" distL="0" distR="0" wp14:anchorId="2E53EF70" wp14:editId="65156E2E">
            <wp:extent cx="4153376" cy="2324437"/>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53676" cy="2324605"/>
                    </a:xfrm>
                    <a:prstGeom prst="rect">
                      <a:avLst/>
                    </a:prstGeom>
                    <a:noFill/>
                  </pic:spPr>
                </pic:pic>
              </a:graphicData>
            </a:graphic>
          </wp:inline>
        </w:drawing>
      </w:r>
    </w:p>
    <w:p w:rsidR="00D17D00" w:rsidRPr="00EE003F" w:rsidRDefault="00D17D00" w:rsidP="00D17D00">
      <w:pPr>
        <w:rPr>
          <w:rFonts w:ascii="Arial Narrow" w:hAnsi="Arial Narrow"/>
          <w:sz w:val="16"/>
          <w:szCs w:val="16"/>
        </w:rPr>
      </w:pPr>
      <w:r w:rsidRPr="00EE003F">
        <w:rPr>
          <w:rFonts w:ascii="Arial Narrow" w:hAnsi="Arial Narrow"/>
          <w:bCs/>
          <w:sz w:val="16"/>
          <w:szCs w:val="16"/>
        </w:rPr>
        <w:t>Fuente: PNUD - INDICE DE DESIGUALDAD DE GENERO</w:t>
      </w:r>
    </w:p>
    <w:p w:rsidR="00D17D00" w:rsidRPr="00EE003F" w:rsidRDefault="00D17D00" w:rsidP="00D17D00">
      <w:pPr>
        <w:rPr>
          <w:rFonts w:ascii="Arial Narrow" w:hAnsi="Arial Narrow"/>
          <w:sz w:val="16"/>
          <w:szCs w:val="16"/>
        </w:rPr>
      </w:pPr>
      <w:r w:rsidRPr="00EE003F">
        <w:rPr>
          <w:rFonts w:ascii="Arial Narrow" w:hAnsi="Arial Narrow"/>
          <w:bCs/>
          <w:sz w:val="16"/>
          <w:szCs w:val="16"/>
        </w:rPr>
        <w:t>Elaboración: CEPLAN</w:t>
      </w:r>
    </w:p>
    <w:p w:rsidR="00AB380D" w:rsidRPr="00EE003F" w:rsidRDefault="00AB380D" w:rsidP="00337D1C">
      <w:pPr>
        <w:autoSpaceDE w:val="0"/>
        <w:autoSpaceDN w:val="0"/>
        <w:adjustRightInd w:val="0"/>
        <w:spacing w:after="0" w:line="240" w:lineRule="auto"/>
        <w:jc w:val="both"/>
        <w:rPr>
          <w:rFonts w:ascii="Arial Narrow" w:hAnsi="Arial Narrow" w:cs="FrutigerLTStd-BoldCn"/>
          <w:b/>
          <w:bCs/>
          <w:sz w:val="24"/>
          <w:szCs w:val="24"/>
        </w:rPr>
      </w:pPr>
    </w:p>
    <w:p w:rsidR="0092473A" w:rsidRPr="00EE003F" w:rsidRDefault="0092473A" w:rsidP="00337D1C">
      <w:pPr>
        <w:autoSpaceDE w:val="0"/>
        <w:autoSpaceDN w:val="0"/>
        <w:adjustRightInd w:val="0"/>
        <w:spacing w:after="0" w:line="240" w:lineRule="auto"/>
        <w:jc w:val="both"/>
        <w:rPr>
          <w:rFonts w:ascii="Arial Narrow" w:hAnsi="Arial Narrow"/>
          <w:bCs/>
          <w:sz w:val="16"/>
          <w:szCs w:val="16"/>
        </w:rPr>
      </w:pPr>
    </w:p>
    <w:p w:rsidR="0092473A" w:rsidRPr="00EE003F" w:rsidRDefault="008436B1" w:rsidP="00337D1C">
      <w:pPr>
        <w:autoSpaceDE w:val="0"/>
        <w:autoSpaceDN w:val="0"/>
        <w:adjustRightInd w:val="0"/>
        <w:spacing w:after="0" w:line="240" w:lineRule="auto"/>
        <w:jc w:val="both"/>
        <w:rPr>
          <w:rFonts w:ascii="Arial Narrow" w:hAnsi="Arial Narrow"/>
          <w:bCs/>
          <w:sz w:val="16"/>
          <w:szCs w:val="16"/>
        </w:rPr>
      </w:pPr>
      <w:r w:rsidRPr="00EE003F">
        <w:rPr>
          <w:noProof/>
          <w:lang w:eastAsia="es-PE"/>
        </w:rPr>
        <w:drawing>
          <wp:inline distT="0" distB="0" distL="0" distR="0" wp14:anchorId="0230DA65" wp14:editId="2736F596">
            <wp:extent cx="4301337" cy="2971709"/>
            <wp:effectExtent l="0" t="0" r="4445"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302977" cy="2972842"/>
                    </a:xfrm>
                    <a:prstGeom prst="rect">
                      <a:avLst/>
                    </a:prstGeom>
                  </pic:spPr>
                </pic:pic>
              </a:graphicData>
            </a:graphic>
          </wp:inline>
        </w:drawing>
      </w:r>
    </w:p>
    <w:p w:rsidR="0092473A" w:rsidRPr="00EE003F" w:rsidRDefault="0092473A" w:rsidP="00337D1C">
      <w:pPr>
        <w:autoSpaceDE w:val="0"/>
        <w:autoSpaceDN w:val="0"/>
        <w:adjustRightInd w:val="0"/>
        <w:spacing w:after="0" w:line="240" w:lineRule="auto"/>
        <w:jc w:val="both"/>
        <w:rPr>
          <w:rFonts w:ascii="Arial Narrow" w:hAnsi="Arial Narrow"/>
          <w:bCs/>
          <w:sz w:val="16"/>
          <w:szCs w:val="16"/>
        </w:rPr>
      </w:pP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En el </w:t>
      </w:r>
      <w:r w:rsidR="00E90404" w:rsidRPr="00EE003F">
        <w:rPr>
          <w:rFonts w:ascii="Arial Narrow" w:eastAsia="FrutigerLTStd-Light" w:hAnsi="Arial Narrow" w:cs="FrutigerLTStd-Light"/>
          <w:sz w:val="24"/>
          <w:szCs w:val="24"/>
        </w:rPr>
        <w:t xml:space="preserve">2014 </w:t>
      </w:r>
      <w:r w:rsidRPr="00EE003F">
        <w:rPr>
          <w:rFonts w:ascii="Arial Narrow" w:eastAsia="FrutigerLTStd-Light" w:hAnsi="Arial Narrow" w:cs="FrutigerLTStd-Light"/>
          <w:sz w:val="24"/>
          <w:szCs w:val="24"/>
        </w:rPr>
        <w:t>el Índice de Desigualdad de Género fue 0.</w:t>
      </w:r>
      <w:r w:rsidR="00E90404" w:rsidRPr="00EE003F">
        <w:rPr>
          <w:rFonts w:ascii="Arial Narrow" w:eastAsia="FrutigerLTStd-Light" w:hAnsi="Arial Narrow" w:cs="FrutigerLTStd-Light"/>
          <w:sz w:val="24"/>
          <w:szCs w:val="24"/>
        </w:rPr>
        <w:t>406</w:t>
      </w:r>
      <w:r w:rsidRPr="00EE003F">
        <w:rPr>
          <w:rFonts w:ascii="Arial Narrow" w:eastAsia="FrutigerLTStd-Light" w:hAnsi="Arial Narrow" w:cs="FrutigerLTStd-Light"/>
          <w:sz w:val="24"/>
          <w:szCs w:val="24"/>
        </w:rPr>
        <w:t xml:space="preserve"> y en el 20</w:t>
      </w:r>
      <w:r w:rsidR="00E90404" w:rsidRPr="00EE003F">
        <w:rPr>
          <w:rFonts w:ascii="Arial Narrow" w:eastAsia="FrutigerLTStd-Light" w:hAnsi="Arial Narrow" w:cs="FrutigerLTStd-Light"/>
          <w:sz w:val="24"/>
          <w:szCs w:val="24"/>
        </w:rPr>
        <w:t>16 se espera que sea de 0.2</w:t>
      </w:r>
      <w:r w:rsidR="00B613A7" w:rsidRPr="00EE003F">
        <w:rPr>
          <w:rFonts w:ascii="Arial Narrow" w:eastAsia="FrutigerLTStd-Light" w:hAnsi="Arial Narrow" w:cs="FrutigerLTStd-Light"/>
          <w:sz w:val="24"/>
          <w:szCs w:val="24"/>
        </w:rPr>
        <w:t>9</w:t>
      </w:r>
      <w:r w:rsidRPr="00EE003F">
        <w:rPr>
          <w:rFonts w:ascii="Arial Narrow" w:eastAsia="FrutigerLTStd-Light" w:hAnsi="Arial Narrow" w:cs="FrutigerLTStd-Light"/>
          <w:sz w:val="24"/>
          <w:szCs w:val="24"/>
        </w:rPr>
        <w:t>. Las meta</w:t>
      </w:r>
      <w:r w:rsidR="00E90404" w:rsidRPr="00EE003F">
        <w:rPr>
          <w:rFonts w:ascii="Arial Narrow" w:eastAsia="FrutigerLTStd-Light" w:hAnsi="Arial Narrow" w:cs="FrutigerLTStd-Light"/>
          <w:sz w:val="24"/>
          <w:szCs w:val="24"/>
        </w:rPr>
        <w:t xml:space="preserve"> de 0.22</w:t>
      </w:r>
      <w:r w:rsidRPr="00EE003F">
        <w:rPr>
          <w:rFonts w:ascii="Arial Narrow" w:eastAsia="FrutigerLTStd-Light" w:hAnsi="Arial Narrow" w:cs="FrutigerLTStd-Light"/>
          <w:sz w:val="24"/>
          <w:szCs w:val="24"/>
        </w:rPr>
        <w:t xml:space="preserve"> propuesta para el 2021 se alcanzará gracias a la reducción de la mortalidad materna, la mejora en la nutrición y salud de la madre gestante, el aseguramiento integral de salud (en especial de la población más vulnerable), la promoción de la asistencia a la educación escolar de hombres y mujeres, y la creciente participación de la mujer en política y en el mercado laboral (en especial de las madres).</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F4674E" w:rsidP="00337D1C">
      <w:pPr>
        <w:autoSpaceDE w:val="0"/>
        <w:autoSpaceDN w:val="0"/>
        <w:adjustRightInd w:val="0"/>
        <w:spacing w:after="0" w:line="240" w:lineRule="auto"/>
        <w:jc w:val="both"/>
        <w:rPr>
          <w:rFonts w:ascii="Arial Narrow" w:hAnsi="Arial Narrow" w:cs="FrutigerLTStd-BoldCn"/>
          <w:b/>
          <w:bCs/>
          <w:sz w:val="24"/>
          <w:szCs w:val="24"/>
        </w:rPr>
      </w:pPr>
      <w:r w:rsidRPr="00EE003F">
        <w:rPr>
          <w:rFonts w:ascii="Arial Narrow" w:hAnsi="Arial Narrow"/>
          <w:noProof/>
          <w:lang w:eastAsia="es-PE"/>
        </w:rPr>
        <w:t xml:space="preserve"> </w:t>
      </w:r>
      <w:r w:rsidR="004814C0" w:rsidRPr="00EE003F">
        <w:rPr>
          <w:noProof/>
          <w:lang w:eastAsia="es-PE"/>
        </w:rPr>
        <w:drawing>
          <wp:inline distT="0" distB="0" distL="0" distR="0" wp14:anchorId="02784B5F" wp14:editId="5BF037C1">
            <wp:extent cx="4486880" cy="2411990"/>
            <wp:effectExtent l="0" t="0" r="952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488590" cy="2412909"/>
                    </a:xfrm>
                    <a:prstGeom prst="rect">
                      <a:avLst/>
                    </a:prstGeom>
                  </pic:spPr>
                </pic:pic>
              </a:graphicData>
            </a:graphic>
          </wp:inline>
        </w:drawing>
      </w: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F4674E" w:rsidRPr="00EE003F" w:rsidRDefault="00F4674E" w:rsidP="00F4674E">
      <w:pPr>
        <w:autoSpaceDE w:val="0"/>
        <w:autoSpaceDN w:val="0"/>
        <w:adjustRightInd w:val="0"/>
        <w:jc w:val="both"/>
        <w:rPr>
          <w:rFonts w:ascii="Arial Narrow" w:hAnsi="Arial Narrow"/>
          <w:noProof/>
        </w:rPr>
      </w:pPr>
      <w:r w:rsidRPr="00EE003F">
        <w:rPr>
          <w:rFonts w:ascii="Arial Narrow" w:hAnsi="Arial Narrow"/>
          <w:noProof/>
          <w:lang w:eastAsia="es-PE"/>
        </w:rPr>
        <w:t xml:space="preserve"> </w:t>
      </w:r>
      <w:r w:rsidRPr="00EE003F">
        <w:rPr>
          <w:rFonts w:ascii="Arial Narrow" w:hAnsi="Arial Narrow"/>
          <w:bCs/>
          <w:noProof/>
          <w:sz w:val="18"/>
        </w:rPr>
        <w:t>Fuente: Economist Intelligence Unit</w:t>
      </w:r>
    </w:p>
    <w:p w:rsidR="00337D1C" w:rsidRPr="00EE003F" w:rsidRDefault="009D5CA2" w:rsidP="00337D1C">
      <w:pPr>
        <w:autoSpaceDE w:val="0"/>
        <w:autoSpaceDN w:val="0"/>
        <w:adjustRightInd w:val="0"/>
        <w:spacing w:after="0" w:line="240" w:lineRule="auto"/>
        <w:jc w:val="both"/>
        <w:rPr>
          <w:rFonts w:ascii="Arial Narrow" w:hAnsi="Arial Narrow" w:cs="FrutigerLTStd-BoldCn"/>
          <w:b/>
          <w:bCs/>
          <w:sz w:val="24"/>
          <w:szCs w:val="24"/>
        </w:rPr>
      </w:pPr>
      <w:r w:rsidRPr="00EE003F">
        <w:rPr>
          <w:noProof/>
          <w:lang w:eastAsia="es-PE"/>
        </w:rPr>
        <w:drawing>
          <wp:inline distT="0" distB="0" distL="0" distR="0" wp14:anchorId="2997C274" wp14:editId="3E0BB6BB">
            <wp:extent cx="4345759" cy="3049604"/>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347416" cy="3050767"/>
                    </a:xfrm>
                    <a:prstGeom prst="rect">
                      <a:avLst/>
                    </a:prstGeom>
                  </pic:spPr>
                </pic:pic>
              </a:graphicData>
            </a:graphic>
          </wp:inline>
        </w:drawing>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F4674E"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En el caso del </w:t>
      </w:r>
      <w:r w:rsidR="00337D1C" w:rsidRPr="00EE003F">
        <w:rPr>
          <w:rFonts w:ascii="Arial Narrow" w:eastAsia="FrutigerLTStd-Light" w:hAnsi="Arial Narrow" w:cs="FrutigerLTStd-Light"/>
          <w:sz w:val="24"/>
          <w:szCs w:val="24"/>
        </w:rPr>
        <w:t xml:space="preserve">Índice de Democracia </w:t>
      </w:r>
      <w:r w:rsidRPr="00EE003F">
        <w:rPr>
          <w:rFonts w:ascii="Arial Narrow" w:eastAsia="FrutigerLTStd-Light" w:hAnsi="Arial Narrow" w:cs="FrutigerLTStd-Light"/>
          <w:sz w:val="24"/>
          <w:szCs w:val="24"/>
        </w:rPr>
        <w:t xml:space="preserve">las metas propuestas para los años 2016 y 2021 son: </w:t>
      </w:r>
      <w:r w:rsidR="001A6AE1" w:rsidRPr="00EE003F">
        <w:rPr>
          <w:rFonts w:ascii="Arial Narrow" w:eastAsia="FrutigerLTStd-Light" w:hAnsi="Arial Narrow" w:cs="FrutigerLTStd-Light"/>
          <w:sz w:val="24"/>
          <w:szCs w:val="24"/>
        </w:rPr>
        <w:t>6,</w:t>
      </w:r>
      <w:r w:rsidR="00B613A7" w:rsidRPr="00EE003F">
        <w:rPr>
          <w:rFonts w:ascii="Arial Narrow" w:eastAsia="FrutigerLTStd-Light" w:hAnsi="Arial Narrow" w:cs="FrutigerLTStd-Light"/>
          <w:sz w:val="24"/>
          <w:szCs w:val="24"/>
        </w:rPr>
        <w:t>77</w:t>
      </w:r>
      <w:r w:rsidR="001A6AE1" w:rsidRPr="00EE003F">
        <w:rPr>
          <w:rFonts w:ascii="Arial Narrow" w:eastAsia="FrutigerLTStd-Light" w:hAnsi="Arial Narrow" w:cs="FrutigerLTStd-Light"/>
          <w:sz w:val="24"/>
          <w:szCs w:val="24"/>
        </w:rPr>
        <w:t xml:space="preserve"> y 6,9</w:t>
      </w:r>
      <w:r w:rsidR="00B613A7" w:rsidRPr="00EE003F">
        <w:rPr>
          <w:rFonts w:ascii="Arial Narrow" w:eastAsia="FrutigerLTStd-Light" w:hAnsi="Arial Narrow" w:cs="FrutigerLTStd-Light"/>
          <w:sz w:val="24"/>
          <w:szCs w:val="24"/>
        </w:rPr>
        <w:t>0</w:t>
      </w:r>
      <w:r w:rsidR="001A6AE1" w:rsidRPr="00EE003F">
        <w:rPr>
          <w:rFonts w:ascii="Arial Narrow" w:eastAsia="FrutigerLTStd-Light" w:hAnsi="Arial Narrow" w:cs="FrutigerLTStd-Light"/>
          <w:sz w:val="24"/>
          <w:szCs w:val="24"/>
        </w:rPr>
        <w:t xml:space="preserve"> similares a Hungría y Croacia respectivamente. Esta mejora </w:t>
      </w:r>
      <w:r w:rsidR="00337D1C" w:rsidRPr="00EE003F">
        <w:rPr>
          <w:rFonts w:ascii="Arial Narrow" w:eastAsia="FrutigerLTStd-Light" w:hAnsi="Arial Narrow" w:cs="FrutigerLTStd-Light"/>
          <w:sz w:val="24"/>
          <w:szCs w:val="24"/>
        </w:rPr>
        <w:t>sustantiva se podrá alcanzar fortaleciendo los mecanismos de participación y control ciudadano, institucionalizando nuevos mecanismos para la rendición de cuentas, con una mejor capacidad de gestión del Estado y una reforma del servicio civil ya en marcha.</w:t>
      </w:r>
    </w:p>
    <w:p w:rsidR="00EA63A7" w:rsidRPr="00EE003F" w:rsidRDefault="00337D1C" w:rsidP="006D2C57">
      <w:pPr>
        <w:autoSpaceDE w:val="0"/>
        <w:autoSpaceDN w:val="0"/>
        <w:adjustRightInd w:val="0"/>
        <w:spacing w:before="120" w:after="0" w:line="240" w:lineRule="auto"/>
        <w:jc w:val="both"/>
        <w:rPr>
          <w:rFonts w:ascii="Arial Narrow" w:hAnsi="Arial Narrow" w:cs="FrutigerLTStd-BoldCn"/>
          <w:b/>
          <w:bCs/>
          <w:sz w:val="24"/>
          <w:szCs w:val="24"/>
        </w:rPr>
      </w:pPr>
      <w:r w:rsidRPr="00EE003F">
        <w:rPr>
          <w:rFonts w:ascii="Arial Narrow" w:eastAsia="FrutigerLTStd-Light" w:hAnsi="Arial Narrow" w:cs="FrutigerLTStd-Light"/>
          <w:sz w:val="24"/>
          <w:szCs w:val="24"/>
        </w:rPr>
        <w:t>En cuanto a la pluralidad en la participación política, podremos mejorar promoviendo espacios de diálogo intercultural y una mayor participación de las mujeres en cargos públicos. Finalmente, la cultura política (acciones y valoraciones) de los ciudadanos tendrá una mejora para el 2021, gracias al fortalecimiento de los procesos de democracia al interior de las organizaciones políticas y un financiamiento público transparente. Todo lo anterior contribuiría a mejorar la confianza en la democracia y en las instituciones del Estado.</w:t>
      </w:r>
      <w:r w:rsidR="00EA63A7" w:rsidRPr="00EE003F">
        <w:rPr>
          <w:rFonts w:ascii="Arial Narrow" w:hAnsi="Arial Narrow" w:cs="FrutigerLTStd-BoldCn"/>
          <w:b/>
          <w:bCs/>
          <w:sz w:val="24"/>
          <w:szCs w:val="24"/>
        </w:rPr>
        <w:br w:type="page"/>
      </w:r>
    </w:p>
    <w:p w:rsidR="00337D1C" w:rsidRPr="00EE003F" w:rsidRDefault="001A6AE1" w:rsidP="00337D1C">
      <w:pPr>
        <w:autoSpaceDE w:val="0"/>
        <w:autoSpaceDN w:val="0"/>
        <w:adjustRightInd w:val="0"/>
        <w:spacing w:after="0" w:line="240" w:lineRule="auto"/>
        <w:jc w:val="both"/>
        <w:rPr>
          <w:rFonts w:ascii="Arial Narrow" w:hAnsi="Arial Narrow" w:cs="FrutigerLTStd-BoldCn"/>
          <w:b/>
          <w:bCs/>
          <w:sz w:val="24"/>
          <w:szCs w:val="24"/>
        </w:rPr>
      </w:pPr>
      <w:r w:rsidRPr="00EE003F">
        <w:rPr>
          <w:rFonts w:ascii="Arial Narrow" w:hAnsi="Arial Narrow"/>
          <w:noProof/>
          <w:lang w:eastAsia="es-PE"/>
        </w:rPr>
        <w:t xml:space="preserve"> </w:t>
      </w:r>
      <w:r w:rsidR="004814C0" w:rsidRPr="00EE003F">
        <w:rPr>
          <w:noProof/>
          <w:lang w:eastAsia="es-PE"/>
        </w:rPr>
        <w:drawing>
          <wp:inline distT="0" distB="0" distL="0" distR="0" wp14:anchorId="626DEE8F" wp14:editId="2E65E0DB">
            <wp:extent cx="5400675" cy="2890382"/>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00675" cy="2890382"/>
                    </a:xfrm>
                    <a:prstGeom prst="rect">
                      <a:avLst/>
                    </a:prstGeom>
                  </pic:spPr>
                </pic:pic>
              </a:graphicData>
            </a:graphic>
          </wp:inline>
        </w:drawing>
      </w:r>
    </w:p>
    <w:p w:rsidR="001A6AE1" w:rsidRPr="00EE003F" w:rsidRDefault="001A6AE1" w:rsidP="001A6AE1">
      <w:pPr>
        <w:autoSpaceDE w:val="0"/>
        <w:autoSpaceDN w:val="0"/>
        <w:adjustRightInd w:val="0"/>
        <w:spacing w:after="0" w:line="240" w:lineRule="auto"/>
        <w:jc w:val="both"/>
        <w:rPr>
          <w:rFonts w:ascii="Arial Narrow" w:hAnsi="Arial Narrow" w:cs="FrutigerLTStd-BoldCn"/>
          <w:bCs/>
          <w:sz w:val="24"/>
          <w:szCs w:val="24"/>
        </w:rPr>
      </w:pPr>
      <w:r w:rsidRPr="00EE003F">
        <w:rPr>
          <w:rFonts w:ascii="Arial Narrow" w:hAnsi="Arial Narrow" w:cs="FrutigerLTStd-BoldCn"/>
          <w:bCs/>
          <w:sz w:val="18"/>
          <w:szCs w:val="24"/>
        </w:rPr>
        <w:t xml:space="preserve">Fuente: </w:t>
      </w:r>
      <w:proofErr w:type="spellStart"/>
      <w:r w:rsidRPr="00EE003F">
        <w:rPr>
          <w:rFonts w:ascii="Arial Narrow" w:hAnsi="Arial Narrow" w:cs="FrutigerLTStd-BoldCn"/>
          <w:bCs/>
          <w:sz w:val="18"/>
          <w:szCs w:val="24"/>
        </w:rPr>
        <w:t>Freedom</w:t>
      </w:r>
      <w:proofErr w:type="spellEnd"/>
      <w:r w:rsidRPr="00EE003F">
        <w:rPr>
          <w:rFonts w:ascii="Arial Narrow" w:hAnsi="Arial Narrow" w:cs="FrutigerLTStd-BoldCn"/>
          <w:bCs/>
          <w:sz w:val="18"/>
          <w:szCs w:val="24"/>
        </w:rPr>
        <w:t xml:space="preserve"> </w:t>
      </w:r>
      <w:proofErr w:type="spellStart"/>
      <w:r w:rsidRPr="00EE003F">
        <w:rPr>
          <w:rFonts w:ascii="Arial Narrow" w:hAnsi="Arial Narrow" w:cs="FrutigerLTStd-BoldCn"/>
          <w:bCs/>
          <w:sz w:val="18"/>
          <w:szCs w:val="24"/>
        </w:rPr>
        <w:t>House</w:t>
      </w:r>
      <w:proofErr w:type="spellEnd"/>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704F44" w:rsidRPr="00EE003F" w:rsidRDefault="00704F44" w:rsidP="00704F44">
      <w:pPr>
        <w:spacing w:after="0" w:line="240" w:lineRule="auto"/>
        <w:jc w:val="both"/>
        <w:rPr>
          <w:rFonts w:ascii="Arial Narrow" w:eastAsia="Times New Roman" w:hAnsi="Arial Narrow" w:cs="Times New Roman"/>
          <w:lang w:eastAsia="es-PE"/>
        </w:rPr>
      </w:pPr>
    </w:p>
    <w:p w:rsidR="001A6AE1" w:rsidRPr="00EE003F" w:rsidRDefault="001A6AE1" w:rsidP="00337D1C">
      <w:pPr>
        <w:autoSpaceDE w:val="0"/>
        <w:autoSpaceDN w:val="0"/>
        <w:adjustRightInd w:val="0"/>
        <w:spacing w:after="0" w:line="240" w:lineRule="auto"/>
        <w:jc w:val="both"/>
        <w:rPr>
          <w:rFonts w:ascii="Arial Narrow" w:hAnsi="Arial Narrow" w:cs="FrutigerLTStd-Bold"/>
          <w:b/>
          <w:bCs/>
          <w:sz w:val="24"/>
          <w:szCs w:val="24"/>
        </w:rPr>
      </w:pPr>
    </w:p>
    <w:p w:rsidR="00A145E0" w:rsidRPr="00EE003F" w:rsidRDefault="00A145E0" w:rsidP="00337D1C">
      <w:pPr>
        <w:autoSpaceDE w:val="0"/>
        <w:autoSpaceDN w:val="0"/>
        <w:adjustRightInd w:val="0"/>
        <w:spacing w:after="0" w:line="240" w:lineRule="auto"/>
        <w:jc w:val="both"/>
        <w:rPr>
          <w:rFonts w:ascii="Arial Narrow" w:hAnsi="Arial Narrow" w:cs="FrutigerLTStd-Bold"/>
          <w:b/>
          <w:bCs/>
          <w:sz w:val="24"/>
          <w:szCs w:val="24"/>
        </w:rPr>
      </w:pPr>
      <w:r w:rsidRPr="00EE003F">
        <w:rPr>
          <w:noProof/>
          <w:lang w:eastAsia="es-PE"/>
        </w:rPr>
        <w:drawing>
          <wp:inline distT="0" distB="0" distL="0" distR="0" wp14:anchorId="15700388" wp14:editId="0544474F">
            <wp:extent cx="5400675" cy="3692111"/>
            <wp:effectExtent l="0" t="0" r="0" b="38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00675" cy="3692111"/>
                    </a:xfrm>
                    <a:prstGeom prst="rect">
                      <a:avLst/>
                    </a:prstGeom>
                  </pic:spPr>
                </pic:pic>
              </a:graphicData>
            </a:graphic>
          </wp:inline>
        </w:drawing>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El Índice de Libertad en el Mundo </w:t>
      </w:r>
      <w:r w:rsidR="001A6AE1" w:rsidRPr="00EE003F">
        <w:rPr>
          <w:rFonts w:ascii="Arial Narrow" w:eastAsia="FrutigerLTStd-Light" w:hAnsi="Arial Narrow" w:cs="FrutigerLTStd-Light"/>
          <w:sz w:val="24"/>
          <w:szCs w:val="24"/>
        </w:rPr>
        <w:t xml:space="preserve">se califica a un país </w:t>
      </w:r>
      <w:r w:rsidRPr="00EE003F">
        <w:rPr>
          <w:rFonts w:ascii="Arial Narrow" w:eastAsia="FrutigerLTStd-Light" w:hAnsi="Arial Narrow" w:cs="FrutigerLTStd-Light"/>
          <w:sz w:val="24"/>
          <w:szCs w:val="24"/>
        </w:rPr>
        <w:t>más cercan</w:t>
      </w:r>
      <w:r w:rsidR="001A6AE1" w:rsidRPr="00EE003F">
        <w:rPr>
          <w:rFonts w:ascii="Arial Narrow" w:eastAsia="FrutigerLTStd-Light" w:hAnsi="Arial Narrow" w:cs="FrutigerLTStd-Light"/>
          <w:sz w:val="24"/>
          <w:szCs w:val="24"/>
        </w:rPr>
        <w:t>o</w:t>
      </w:r>
      <w:r w:rsidRPr="00EE003F">
        <w:rPr>
          <w:rFonts w:ascii="Arial Narrow" w:eastAsia="FrutigerLTStd-Light" w:hAnsi="Arial Narrow" w:cs="FrutigerLTStd-Light"/>
          <w:sz w:val="24"/>
          <w:szCs w:val="24"/>
        </w:rPr>
        <w:t xml:space="preserve"> a 1</w:t>
      </w:r>
      <w:r w:rsidR="001A6AE1" w:rsidRPr="00EE003F">
        <w:rPr>
          <w:rFonts w:ascii="Arial Narrow" w:eastAsia="FrutigerLTStd-Light" w:hAnsi="Arial Narrow" w:cs="FrutigerLTStd-Light"/>
          <w:sz w:val="24"/>
          <w:szCs w:val="24"/>
        </w:rPr>
        <w:t xml:space="preserve"> mientras más nivel de libertad tenga</w:t>
      </w:r>
      <w:r w:rsidRPr="00EE003F">
        <w:rPr>
          <w:rFonts w:ascii="Arial Narrow" w:eastAsia="FrutigerLTStd-Light" w:hAnsi="Arial Narrow" w:cs="FrutigerLTStd-Light"/>
          <w:sz w:val="24"/>
          <w:szCs w:val="24"/>
        </w:rPr>
        <w:t>. En el Perú, un mayor nivel de Derechos Políticos se refleja en la continua percepción de elecciones libres y participación de organismos internacionales en la transparencia del proceso de votación. Respecto a las Libertades Civiles, la prevención de conflictos sociales, el desarrollo y la promoción de la Ley de Consulta Previa, permitirían cumplir las metas establecidas al 2016 y 2021.</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DC3F82" w:rsidRPr="00EE003F" w:rsidRDefault="00DC3F82">
      <w:pPr>
        <w:rPr>
          <w:rFonts w:ascii="Arial Narrow" w:hAnsi="Arial Narrow" w:cs="FrutigerLTStd-LightCn"/>
          <w:b/>
          <w:sz w:val="24"/>
          <w:szCs w:val="24"/>
        </w:rPr>
      </w:pPr>
    </w:p>
    <w:p w:rsidR="00337D1C" w:rsidRPr="00EE003F" w:rsidRDefault="00EF313F" w:rsidP="00EF313F">
      <w:pPr>
        <w:pStyle w:val="Ttulo2"/>
        <w:jc w:val="left"/>
        <w:rPr>
          <w:rFonts w:asciiTheme="minorHAnsi" w:hAnsiTheme="minorHAnsi"/>
          <w:lang w:val="es-ES_tradnl"/>
        </w:rPr>
      </w:pPr>
      <w:bookmarkStart w:id="32" w:name="_Toc453004672"/>
      <w:r w:rsidRPr="00EE003F">
        <w:rPr>
          <w:rFonts w:asciiTheme="minorHAnsi" w:hAnsiTheme="minorHAnsi"/>
          <w:lang w:val="es-ES_tradnl"/>
        </w:rPr>
        <w:t>Eje e</w:t>
      </w:r>
      <w:r w:rsidR="00337D1C" w:rsidRPr="00EE003F">
        <w:rPr>
          <w:rFonts w:asciiTheme="minorHAnsi" w:hAnsiTheme="minorHAnsi"/>
          <w:lang w:val="es-ES_tradnl"/>
        </w:rPr>
        <w:t>stratégico</w:t>
      </w:r>
      <w:r w:rsidR="00C810AE" w:rsidRPr="00EE003F">
        <w:rPr>
          <w:rFonts w:asciiTheme="minorHAnsi" w:hAnsiTheme="minorHAnsi"/>
          <w:lang w:val="es-ES_tradnl"/>
        </w:rPr>
        <w:t xml:space="preserve"> 2</w:t>
      </w:r>
      <w:bookmarkStart w:id="33" w:name="_Toc448398400"/>
      <w:r w:rsidR="009C05D7" w:rsidRPr="00EE003F">
        <w:rPr>
          <w:sz w:val="32"/>
          <w:szCs w:val="32"/>
        </w:rPr>
        <w:br/>
      </w:r>
      <w:r w:rsidR="00337D1C" w:rsidRPr="00EE003F">
        <w:rPr>
          <w:rFonts w:asciiTheme="minorHAnsi" w:hAnsiTheme="minorHAnsi"/>
          <w:lang w:val="es-ES_tradnl"/>
        </w:rPr>
        <w:t>Oportunidades y acceso a los servicios</w:t>
      </w:r>
      <w:bookmarkEnd w:id="32"/>
      <w:bookmarkEnd w:id="33"/>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El acceso a los servicios corresponde al nivel mínimo de bienestar al que debería acceder la ciudadanía para lograr una mejor calidad de vida y desarrollo. Si consideramos que la calidad de vida –es decir, la capacidad de las personas de realizarse como seres humanos y la libertad de elegir estilos de vida diferentes (</w:t>
      </w:r>
      <w:proofErr w:type="spellStart"/>
      <w:r w:rsidRPr="00EE003F">
        <w:rPr>
          <w:rFonts w:ascii="Arial Narrow" w:eastAsia="FrutigerLTStd-Light" w:hAnsi="Arial Narrow" w:cs="FrutigerLTStd-Light"/>
          <w:sz w:val="24"/>
          <w:szCs w:val="24"/>
        </w:rPr>
        <w:t>Sen</w:t>
      </w:r>
      <w:proofErr w:type="spellEnd"/>
      <w:r w:rsidRPr="00EE003F">
        <w:rPr>
          <w:rFonts w:ascii="Arial Narrow" w:eastAsia="FrutigerLTStd-Light" w:hAnsi="Arial Narrow" w:cs="FrutigerLTStd-Light"/>
          <w:sz w:val="24"/>
          <w:szCs w:val="24"/>
        </w:rPr>
        <w:t xml:space="preserve"> 1993</w:t>
      </w:r>
      <w:proofErr w:type="gramStart"/>
      <w:r w:rsidRPr="00EE003F">
        <w:rPr>
          <w:rFonts w:ascii="Arial Narrow" w:eastAsia="FrutigerLTStd-Light" w:hAnsi="Arial Narrow" w:cs="FrutigerLTStd-Light"/>
          <w:sz w:val="24"/>
          <w:szCs w:val="24"/>
        </w:rPr>
        <w:t>)–</w:t>
      </w:r>
      <w:proofErr w:type="gramEnd"/>
      <w:r w:rsidRPr="00EE003F">
        <w:rPr>
          <w:rFonts w:ascii="Arial Narrow" w:eastAsia="FrutigerLTStd-Light" w:hAnsi="Arial Narrow" w:cs="FrutigerLTStd-Light"/>
          <w:sz w:val="24"/>
          <w:szCs w:val="24"/>
        </w:rPr>
        <w:t xml:space="preserve"> </w:t>
      </w:r>
      <w:r w:rsidR="006744CF"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está relacionada con el acceso a servicios básicos de manera eficiente y equitativa, el garantizar su disponibilidad es un factor que contribuiría al desarrollo pleno de las capacidades de los ciudadanos y su derecho al desarrollo humano (PNUD 20</w:t>
      </w:r>
      <w:r w:rsidR="00392A98" w:rsidRPr="00EE003F">
        <w:rPr>
          <w:rFonts w:ascii="Arial Narrow" w:eastAsia="FrutigerLTStd-Light" w:hAnsi="Arial Narrow" w:cs="FrutigerLTStd-Light"/>
          <w:sz w:val="24"/>
          <w:szCs w:val="24"/>
        </w:rPr>
        <w:t>13</w:t>
      </w:r>
      <w:r w:rsidRPr="00EE003F">
        <w:rPr>
          <w:rFonts w:ascii="Arial Narrow" w:eastAsia="FrutigerLTStd-Light" w:hAnsi="Arial Narrow" w:cs="FrutigerLTStd-Light"/>
          <w:sz w:val="24"/>
          <w:szCs w:val="24"/>
        </w:rPr>
        <w:t>).</w:t>
      </w: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La calidad de vida favorece, además, el incremento del capital humano, la productividad y la acumulación de activos que permitirán que la ciudadanía aumente sus ingresos. Y, en el largo plazo, favorecerá que acceda a mayores oportunidades para salir de la pobreza. Se ha demostrado que la provisión conjunta de acceso a servicios e infraestructura (tales como saneamiento</w:t>
      </w:r>
      <w:r w:rsidR="006D1BD8" w:rsidRPr="00EE003F">
        <w:rPr>
          <w:rFonts w:ascii="Arial Narrow" w:eastAsia="FrutigerLTStd-Light" w:hAnsi="Arial Narrow" w:cs="FrutigerLTStd-Light"/>
          <w:sz w:val="24"/>
          <w:szCs w:val="24"/>
        </w:rPr>
        <w:t>, de riego y drenaje</w:t>
      </w:r>
      <w:r w:rsidRPr="00EE003F">
        <w:rPr>
          <w:rFonts w:ascii="Arial Narrow" w:eastAsia="FrutigerLTStd-Light" w:hAnsi="Arial Narrow" w:cs="FrutigerLTStd-Light"/>
          <w:sz w:val="24"/>
          <w:szCs w:val="24"/>
        </w:rPr>
        <w:t>, transporte, telecomunicaciones y suministros energéticos) y la implementación de políticas de lucha contra la pobreza tienen un impacto mayor sobre la erradicación de esta en comparación a su efecto por separado, lo que ha llevado a un replanteamiento de los enfoques de desarrollo en relación con las políticas públicas (</w:t>
      </w:r>
      <w:proofErr w:type="spellStart"/>
      <w:r w:rsidRPr="00EE003F">
        <w:rPr>
          <w:rFonts w:ascii="Arial Narrow" w:eastAsia="FrutigerLTStd-Light" w:hAnsi="Arial Narrow" w:cs="FrutigerLTStd-Light"/>
          <w:sz w:val="24"/>
          <w:szCs w:val="24"/>
        </w:rPr>
        <w:t>Stiglitz</w:t>
      </w:r>
      <w:proofErr w:type="spellEnd"/>
      <w:r w:rsidRPr="00EE003F">
        <w:rPr>
          <w:rFonts w:ascii="Arial Narrow" w:eastAsia="FrutigerLTStd-Light" w:hAnsi="Arial Narrow" w:cs="FrutigerLTStd-Light"/>
          <w:sz w:val="24"/>
          <w:szCs w:val="24"/>
        </w:rPr>
        <w:t xml:space="preserve"> 2003).</w:t>
      </w: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El Eje 2 propone como objetivo nacional: “Garantizar el acceso a servicios de calidad que permitan el desarrollo pleno de las capacidades y los derechos de la población, en condiciones equitativas y sostenibles”. Para hacer seguimiento a este objetivo se ha propuesto como indicador líder el Índice de Pobreza Multidimensional (IPM), que es estimado internacionalmente por el PNUD bajo</w:t>
      </w:r>
      <w:r w:rsidR="00EA63A7"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una metodología que cubre tres dimensiones temáticas: salud, educación y condiciones de vida; y propone 10 indicadores para su cálculo. El IPM no explica la pobreza a partir de una aproximación monetaria per cápita, sino por la cantidad de carencias o privaciones de servicios en la población en el rubro de hogares.</w:t>
      </w: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Las carencias que analiza el IPM se aproximan a las contempladas por el Eje 2, ya que este</w:t>
      </w:r>
      <w:r w:rsidR="00EA63A7"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toma en cuenta los niveles de cobertura (brechas de acceso) de salud, educación y de otros</w:t>
      </w:r>
      <w:r w:rsidR="00EA63A7"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indicadores como agua, saneamiento, electricidad, combustible. Con todo, el enfoque del Eje 2 va más allá de la perspectiva cuantitativa de cierre de brechas o superación de carencias, y da un paso hacia adelante en cuanto a la calidad de los servicios. Este es un aspecto que cada vez demanda mayores esfuerzos por parte del Estado para brindar una mejor provisión de dichos servicios a la población con el fin de satisfacer sus expectativas y situarlos en condiciones competitivas con un nivel superior de bienestar.</w:t>
      </w: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El reto planteado es que los ciudadanos dispongan de servicios básicos de calidad para su desarrollo. Para lograrlo, se comparte la preocupación central por la equidad y la calidad educativa planteada en el Proyecto Educativo al 2021, en cuanto a mejorar los niveles de acceso y calidad de la educación básica y de la educación superior; mejorar la provisión, acceso y calidad de las prestaciones de carácter preventivo, promocional, recuperativo y de rehabilitación de la salud, que forma parte de las medidas de reforma de la salud emprendidas en la actualidad; ampliar el acceso de los servicios de agua potable y saneamiento, asegurando su calidad, sostenibilidad y viabilidad; disponer de un nivel suficiente de uso masificado de gas natural, de acceso y uso adecuado del servicio eléctrico, ampliar el acceso y calidad de los servicios de telecomunicaciones; mejorar las condiciones de habitabilidad y el acceso a viviendas adecuadas y disponer de servicios de transporte urbano seguros, integrados, de calidad y en armonía con el ambiente.</w:t>
      </w: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El acceso a los servicios de calidad por la población rural, rural dispersa y los Pueblos Indígenas y Tribales dispersos, es un reto para los tres niveles de gobierno los mismos que contaran con la Plataforma de Servicios “Tambos” como plataforma de apoyo de la Red Integrada de Atención Primaria de Salud, en aquellas zonas geográficas donde exista esta infraestructura, para la atención itinerante de salud, así como para contribuir con el acceso de agua apta para el consumo humano.</w:t>
      </w: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Para medir el avance de las múltiples dimensiones del reto planteado se detallan los objetivos específicos y sus respectivos indicadores de seguimiento:</w:t>
      </w:r>
    </w:p>
    <w:p w:rsidR="00337D1C" w:rsidRPr="00EE003F" w:rsidRDefault="009153B0" w:rsidP="00EA63A7">
      <w:pPr>
        <w:pStyle w:val="Prrafodelista"/>
        <w:numPr>
          <w:ilvl w:val="0"/>
          <w:numId w:val="3"/>
        </w:numPr>
        <w:autoSpaceDE w:val="0"/>
        <w:autoSpaceDN w:val="0"/>
        <w:adjustRightInd w:val="0"/>
        <w:spacing w:before="120" w:after="0" w:line="240" w:lineRule="auto"/>
        <w:jc w:val="both"/>
        <w:rPr>
          <w:rFonts w:ascii="Arial Narrow" w:hAnsi="Arial Narrow" w:cs="FrutigerLTStd-Italic"/>
          <w:i/>
          <w:iCs/>
          <w:sz w:val="24"/>
          <w:szCs w:val="24"/>
        </w:rPr>
      </w:pPr>
      <w:r w:rsidRPr="00EE003F">
        <w:rPr>
          <w:rFonts w:ascii="Arial Narrow" w:hAnsi="Arial Narrow" w:cs="Arial"/>
          <w:bCs/>
          <w:i/>
          <w:sz w:val="24"/>
          <w:szCs w:val="24"/>
        </w:rPr>
        <w:t>Incrementar los niveles calidad con equidad de la educación básica y asegurar las condiciones necesarias para una educación superior de calidad.</w:t>
      </w:r>
      <w:r w:rsidRPr="00EE003F">
        <w:rPr>
          <w:rFonts w:ascii="Arial Narrow" w:hAnsi="Arial Narrow" w:cs="Arial"/>
          <w:bCs/>
          <w:sz w:val="16"/>
          <w:szCs w:val="16"/>
        </w:rPr>
        <w:t xml:space="preserve"> </w:t>
      </w:r>
      <w:r w:rsidR="00337D1C" w:rsidRPr="00EE003F">
        <w:rPr>
          <w:rFonts w:ascii="Arial Narrow" w:hAnsi="Arial Narrow" w:cs="FrutigerLTStd-Italic"/>
          <w:i/>
          <w:iCs/>
          <w:sz w:val="24"/>
          <w:szCs w:val="24"/>
        </w:rPr>
        <w:t>Para el seguimiento de este objetivo se utilizan</w:t>
      </w:r>
      <w:r w:rsidR="00FA059B" w:rsidRPr="00EE003F">
        <w:rPr>
          <w:rFonts w:ascii="Arial Narrow" w:hAnsi="Arial Narrow" w:cs="FrutigerLTStd-Italic"/>
          <w:i/>
          <w:iCs/>
          <w:sz w:val="24"/>
          <w:szCs w:val="24"/>
        </w:rPr>
        <w:t xml:space="preserve">  los siguientes </w:t>
      </w:r>
      <w:r w:rsidR="00337D1C" w:rsidRPr="00EE003F">
        <w:rPr>
          <w:rFonts w:ascii="Arial Narrow" w:hAnsi="Arial Narrow" w:cs="FrutigerLTStd-Italic"/>
          <w:i/>
          <w:iCs/>
          <w:sz w:val="24"/>
          <w:szCs w:val="24"/>
        </w:rPr>
        <w:t xml:space="preserve">indicadores: </w:t>
      </w:r>
      <w:r w:rsidR="00337D1C" w:rsidRPr="00EE003F">
        <w:rPr>
          <w:rFonts w:ascii="Arial Narrow" w:eastAsia="FrutigerLTStd-Light" w:hAnsi="Arial Narrow" w:cs="FrutigerLTStd-Light"/>
          <w:sz w:val="24"/>
          <w:szCs w:val="24"/>
        </w:rPr>
        <w:t xml:space="preserve">la tasa neta de </w:t>
      </w:r>
      <w:r w:rsidR="00883B0E" w:rsidRPr="00EE003F">
        <w:rPr>
          <w:rFonts w:ascii="Arial Narrow" w:eastAsia="FrutigerLTStd-Light" w:hAnsi="Arial Narrow" w:cs="FrutigerLTStd-Light"/>
          <w:sz w:val="24"/>
          <w:szCs w:val="24"/>
        </w:rPr>
        <w:t>matrícula en educación</w:t>
      </w:r>
      <w:r w:rsidR="00337D1C" w:rsidRPr="00EE003F">
        <w:rPr>
          <w:rFonts w:ascii="Arial Narrow" w:eastAsia="FrutigerLTStd-Light" w:hAnsi="Arial Narrow" w:cs="FrutigerLTStd-Light"/>
          <w:sz w:val="24"/>
          <w:szCs w:val="24"/>
        </w:rPr>
        <w:t xml:space="preserve"> inicial</w:t>
      </w:r>
      <w:r w:rsidR="00883B0E" w:rsidRPr="00EE003F">
        <w:rPr>
          <w:rFonts w:ascii="Arial Narrow" w:eastAsia="FrutigerLTStd-Light" w:hAnsi="Arial Narrow" w:cs="FrutigerLTStd-Light"/>
          <w:sz w:val="24"/>
          <w:szCs w:val="24"/>
        </w:rPr>
        <w:t xml:space="preserve">, </w:t>
      </w:r>
      <w:r w:rsidR="00D42D15" w:rsidRPr="00EE003F">
        <w:rPr>
          <w:rFonts w:ascii="Arial Narrow" w:eastAsia="FrutigerLTStd-Light" w:hAnsi="Arial Narrow" w:cs="FrutigerLTStd-Light"/>
          <w:sz w:val="24"/>
          <w:szCs w:val="24"/>
        </w:rPr>
        <w:t xml:space="preserve">porcentaje de estudiantes en el nivel satisfactorio en comprensión lectora y matemática </w:t>
      </w:r>
      <w:r w:rsidR="00337D1C" w:rsidRPr="00EE003F">
        <w:rPr>
          <w:rFonts w:ascii="Arial Narrow" w:eastAsia="FrutigerLTStd-Light" w:hAnsi="Arial Narrow" w:cs="FrutigerLTStd-Light"/>
          <w:sz w:val="24"/>
          <w:szCs w:val="24"/>
        </w:rPr>
        <w:t>y la puntuación media del país en la prueba PISA. Los dos primeros indicadores son utilizados por el sector Educación mientras que el tercero es usado como referente de calidad en los países de la OCDE.</w:t>
      </w:r>
      <w:r w:rsidR="00CC176F" w:rsidRPr="00EE003F">
        <w:rPr>
          <w:rFonts w:ascii="Arial Narrow" w:eastAsia="FrutigerLTStd-Light" w:hAnsi="Arial Narrow" w:cs="FrutigerLTStd-Light"/>
          <w:sz w:val="24"/>
          <w:szCs w:val="24"/>
        </w:rPr>
        <w:t xml:space="preserve"> Se incluye la medición de las pruebas ECE en compresión lectora y en matemática.</w:t>
      </w:r>
    </w:p>
    <w:p w:rsidR="00337D1C" w:rsidRPr="00EE003F" w:rsidRDefault="00337D1C" w:rsidP="00EA63A7">
      <w:pPr>
        <w:pStyle w:val="Prrafodelista"/>
        <w:numPr>
          <w:ilvl w:val="0"/>
          <w:numId w:val="3"/>
        </w:numPr>
        <w:autoSpaceDE w:val="0"/>
        <w:autoSpaceDN w:val="0"/>
        <w:adjustRightInd w:val="0"/>
        <w:spacing w:before="120" w:after="0" w:line="240" w:lineRule="auto"/>
        <w:jc w:val="both"/>
        <w:rPr>
          <w:rFonts w:ascii="Arial Narrow" w:hAnsi="Arial Narrow" w:cs="FrutigerLTStd-Italic"/>
          <w:i/>
          <w:iCs/>
          <w:sz w:val="24"/>
          <w:szCs w:val="24"/>
        </w:rPr>
      </w:pPr>
      <w:r w:rsidRPr="00EE003F">
        <w:rPr>
          <w:rFonts w:ascii="Arial Narrow" w:hAnsi="Arial Narrow" w:cs="FrutigerLTStd-Italic"/>
          <w:i/>
          <w:iCs/>
          <w:sz w:val="24"/>
          <w:szCs w:val="24"/>
        </w:rPr>
        <w:t xml:space="preserve">Mejorar la provisión y calidad de las prestaciones de carácter preventivo, promocional, recuperativo y de rehabilitación de salud. En este objetivo se proponen </w:t>
      </w:r>
      <w:r w:rsidR="00704F44" w:rsidRPr="00EE003F">
        <w:rPr>
          <w:rFonts w:ascii="Arial Narrow" w:hAnsi="Arial Narrow" w:cs="FrutigerLTStd-Italic"/>
          <w:i/>
          <w:iCs/>
          <w:sz w:val="24"/>
          <w:szCs w:val="24"/>
        </w:rPr>
        <w:t xml:space="preserve">dos </w:t>
      </w:r>
      <w:r w:rsidRPr="00EE003F">
        <w:rPr>
          <w:rFonts w:ascii="Arial Narrow" w:hAnsi="Arial Narrow" w:cs="FrutigerLTStd-Italic"/>
          <w:i/>
          <w:iCs/>
          <w:sz w:val="24"/>
          <w:szCs w:val="24"/>
        </w:rPr>
        <w:t xml:space="preserve">indicadores de seguimiento: </w:t>
      </w:r>
      <w:r w:rsidRPr="00EE003F">
        <w:rPr>
          <w:rFonts w:ascii="Arial Narrow" w:eastAsia="FrutigerLTStd-Light" w:hAnsi="Arial Narrow" w:cs="FrutigerLTStd-Light"/>
          <w:sz w:val="24"/>
          <w:szCs w:val="24"/>
        </w:rPr>
        <w:t>el porcentaje de la población afiliada a algún seguro de salud</w:t>
      </w:r>
      <w:r w:rsidR="00F33EB0" w:rsidRPr="00EE003F">
        <w:rPr>
          <w:rFonts w:ascii="Arial Narrow" w:eastAsia="FrutigerLTStd-Light" w:hAnsi="Arial Narrow" w:cs="FrutigerLTStd-Light"/>
          <w:sz w:val="24"/>
          <w:szCs w:val="24"/>
        </w:rPr>
        <w:t xml:space="preserve"> y </w:t>
      </w:r>
      <w:r w:rsidRPr="00EE003F">
        <w:rPr>
          <w:rFonts w:ascii="Arial Narrow" w:eastAsia="FrutigerLTStd-Light" w:hAnsi="Arial Narrow" w:cs="FrutigerLTStd-Light"/>
          <w:sz w:val="24"/>
          <w:szCs w:val="24"/>
        </w:rPr>
        <w:t>la incidencia de tuberculosis.</w:t>
      </w:r>
    </w:p>
    <w:p w:rsidR="00337D1C" w:rsidRPr="00EE003F" w:rsidRDefault="00337D1C" w:rsidP="00EA63A7">
      <w:pPr>
        <w:pStyle w:val="Prrafodelista"/>
        <w:numPr>
          <w:ilvl w:val="0"/>
          <w:numId w:val="3"/>
        </w:numPr>
        <w:autoSpaceDE w:val="0"/>
        <w:autoSpaceDN w:val="0"/>
        <w:adjustRightInd w:val="0"/>
        <w:spacing w:before="120" w:after="0" w:line="240" w:lineRule="auto"/>
        <w:jc w:val="both"/>
        <w:rPr>
          <w:rFonts w:ascii="Arial Narrow" w:hAnsi="Arial Narrow" w:cs="FrutigerLTStd-Italic"/>
          <w:i/>
          <w:iCs/>
          <w:sz w:val="24"/>
          <w:szCs w:val="24"/>
        </w:rPr>
      </w:pPr>
      <w:r w:rsidRPr="00EE003F">
        <w:rPr>
          <w:rFonts w:ascii="Arial Narrow" w:hAnsi="Arial Narrow" w:cs="FrutigerLTStd-Italic"/>
          <w:i/>
          <w:iCs/>
          <w:sz w:val="24"/>
          <w:szCs w:val="24"/>
        </w:rPr>
        <w:t xml:space="preserve">Ampliar el acceso de los servicios de agua potable y saneamiento, asegurando su calidad, sostenibilidad y viabilidad. Para su seguimiento, se utilizan dos indicadores, </w:t>
      </w:r>
      <w:r w:rsidRPr="00EE003F">
        <w:rPr>
          <w:rFonts w:ascii="Arial Narrow" w:eastAsia="FrutigerLTStd-Light" w:hAnsi="Arial Narrow" w:cs="FrutigerLTStd-Light"/>
          <w:sz w:val="24"/>
          <w:szCs w:val="24"/>
        </w:rPr>
        <w:t>el porcentaje de hogares que se abastecen de agua mediante la red pública; y porcentaje de hogares con servicio higiénico conectado a red pública dentro de la vivienda. Ambos indicadores son propuestos por el Ministerio de Desarrollo e Inclusión Social como parte de la Estrategia Nacional de Desarrollo en Inclusión Social “Incluir para Crecer”.</w:t>
      </w:r>
    </w:p>
    <w:p w:rsidR="00337D1C" w:rsidRPr="00EE003F" w:rsidRDefault="00337D1C" w:rsidP="00EA63A7">
      <w:pPr>
        <w:pStyle w:val="Prrafodelista"/>
        <w:numPr>
          <w:ilvl w:val="0"/>
          <w:numId w:val="3"/>
        </w:numPr>
        <w:autoSpaceDE w:val="0"/>
        <w:autoSpaceDN w:val="0"/>
        <w:adjustRightInd w:val="0"/>
        <w:spacing w:before="120" w:after="0" w:line="240" w:lineRule="auto"/>
        <w:jc w:val="both"/>
        <w:rPr>
          <w:rFonts w:ascii="Arial Narrow" w:eastAsia="FrutigerLTStd-Light" w:hAnsi="Arial Narrow" w:cs="FrutigerLTStd-Italic"/>
          <w:i/>
          <w:iCs/>
          <w:sz w:val="24"/>
          <w:szCs w:val="24"/>
        </w:rPr>
      </w:pPr>
      <w:r w:rsidRPr="00EE003F">
        <w:rPr>
          <w:rFonts w:ascii="Arial Narrow" w:eastAsia="FrutigerLTStd-Light" w:hAnsi="Arial Narrow" w:cs="FrutigerLTStd-Italic"/>
          <w:i/>
          <w:iCs/>
          <w:sz w:val="24"/>
          <w:szCs w:val="24"/>
        </w:rPr>
        <w:t xml:space="preserve">Disponer de un nivel suficiente de uso masificado de gas natural, de acceso y uso adecuado del servicio eléctrico. </w:t>
      </w:r>
      <w:r w:rsidRPr="00EE003F">
        <w:rPr>
          <w:rFonts w:ascii="Arial Narrow" w:eastAsia="FrutigerLTStd-Light" w:hAnsi="Arial Narrow" w:cs="FrutigerLTStd-Light"/>
          <w:sz w:val="24"/>
          <w:szCs w:val="24"/>
        </w:rPr>
        <w:t xml:space="preserve">En este objetivo se plantean dos indicadores, el porcentaje de hogares que disponen de alumbrado eléctrico por red pública y porcentaje de hogares que usan combustibles alternativos como insumo para cocinar. Ambos indicadores son propuestos por el </w:t>
      </w:r>
      <w:proofErr w:type="spellStart"/>
      <w:r w:rsidRPr="00EE003F">
        <w:rPr>
          <w:rFonts w:ascii="Arial Narrow" w:eastAsia="FrutigerLTStd-Light" w:hAnsi="Arial Narrow" w:cs="FrutigerLTStd-Light"/>
          <w:sz w:val="24"/>
          <w:szCs w:val="24"/>
        </w:rPr>
        <w:t>Ceplan</w:t>
      </w:r>
      <w:proofErr w:type="spellEnd"/>
      <w:r w:rsidRPr="00EE003F">
        <w:rPr>
          <w:rFonts w:ascii="Arial Narrow" w:eastAsia="FrutigerLTStd-Light" w:hAnsi="Arial Narrow" w:cs="FrutigerLTStd-Light"/>
          <w:sz w:val="24"/>
          <w:szCs w:val="24"/>
        </w:rPr>
        <w:t xml:space="preserve"> por la disponibilidad de información que ofrece la Encuesta Nacional de Hogares del INEI.</w:t>
      </w:r>
    </w:p>
    <w:p w:rsidR="00EA63A7" w:rsidRPr="00EE003F" w:rsidRDefault="00337D1C" w:rsidP="00EA63A7">
      <w:pPr>
        <w:pStyle w:val="Prrafodelista"/>
        <w:numPr>
          <w:ilvl w:val="0"/>
          <w:numId w:val="3"/>
        </w:num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Italic"/>
          <w:i/>
          <w:iCs/>
          <w:sz w:val="24"/>
          <w:szCs w:val="24"/>
        </w:rPr>
        <w:t xml:space="preserve">Mejorar las condiciones de habitabilidad el acceso a viviendas adecuadas. </w:t>
      </w:r>
      <w:r w:rsidRPr="00EE003F">
        <w:rPr>
          <w:rFonts w:ascii="Arial Narrow" w:eastAsia="FrutigerLTStd-Light" w:hAnsi="Arial Narrow" w:cs="FrutigerLTStd-Light"/>
          <w:sz w:val="24"/>
          <w:szCs w:val="24"/>
        </w:rPr>
        <w:t>En este objetivo se utiliza como indicador de seguimiento el porcentaje de viviendas funcionales, seguras y saludables, sugerido por el sector Vivienda, por su capacidad de recoger características específicas y mínimas de la vivienda.</w:t>
      </w:r>
    </w:p>
    <w:p w:rsidR="006B5CA3" w:rsidRPr="00EE003F" w:rsidRDefault="006B5CA3" w:rsidP="00EA63A7">
      <w:pPr>
        <w:pStyle w:val="Prrafodelista"/>
        <w:numPr>
          <w:ilvl w:val="0"/>
          <w:numId w:val="3"/>
        </w:numPr>
        <w:autoSpaceDE w:val="0"/>
        <w:autoSpaceDN w:val="0"/>
        <w:adjustRightInd w:val="0"/>
        <w:spacing w:before="120" w:after="0" w:line="240" w:lineRule="auto"/>
        <w:jc w:val="both"/>
        <w:rPr>
          <w:rStyle w:val="cuerpodetextotablas"/>
          <w:rFonts w:ascii="Arial Narrow" w:hAnsi="Arial Narrow"/>
          <w:sz w:val="20"/>
          <w:szCs w:val="20"/>
        </w:rPr>
      </w:pPr>
      <w:r w:rsidRPr="00EE003F">
        <w:rPr>
          <w:rFonts w:ascii="Arial Narrow" w:hAnsi="Arial Narrow" w:cs="FrutigerLTStd-Italic"/>
          <w:i/>
          <w:iCs/>
          <w:sz w:val="24"/>
          <w:szCs w:val="24"/>
        </w:rPr>
        <w:t xml:space="preserve">Ampliar el acceso y calidad de los servicios de telecomunicaciones. </w:t>
      </w:r>
      <w:r w:rsidRPr="00EE003F">
        <w:rPr>
          <w:rFonts w:ascii="Arial Narrow" w:hAnsi="Arial Narrow" w:cs="FrutigerLTStd-Italic"/>
          <w:iCs/>
          <w:sz w:val="24"/>
          <w:szCs w:val="24"/>
        </w:rPr>
        <w:t xml:space="preserve">Para ello se propone, entre otros, </w:t>
      </w:r>
      <w:r w:rsidR="008E1F9B" w:rsidRPr="00EE003F">
        <w:rPr>
          <w:rFonts w:ascii="Arial Narrow" w:hAnsi="Arial Narrow" w:cs="FrutigerLTStd-Italic"/>
          <w:iCs/>
          <w:sz w:val="24"/>
          <w:szCs w:val="24"/>
        </w:rPr>
        <w:t>promover el despliegue de infraestructura y servicios de telecomunicaciones, mediante la ampliación y promoción de la inversión privada, e inversión pública</w:t>
      </w:r>
      <w:r w:rsidR="00786A32" w:rsidRPr="00EE003F">
        <w:rPr>
          <w:rFonts w:ascii="Arial Narrow" w:hAnsi="Arial Narrow" w:cs="FrutigerLTStd-Italic"/>
          <w:iCs/>
          <w:sz w:val="24"/>
          <w:szCs w:val="24"/>
        </w:rPr>
        <w:t>; y</w:t>
      </w:r>
      <w:r w:rsidR="008E1F9B" w:rsidRPr="00EE003F">
        <w:rPr>
          <w:rFonts w:ascii="Arial Narrow" w:hAnsi="Arial Narrow" w:cs="FrutigerLTStd-Italic"/>
          <w:iCs/>
          <w:sz w:val="24"/>
          <w:szCs w:val="24"/>
        </w:rPr>
        <w:t xml:space="preserve"> consolidar el desarrollo de la banda ancha y la red dorsal nacional de fibra óptica alineando los intereses del país, con énfasis en las zonas rurales y los lugares de preferente interés social, zonas rurales de selva y frontera.</w:t>
      </w:r>
    </w:p>
    <w:p w:rsidR="008E1F9B" w:rsidRPr="00EE003F" w:rsidRDefault="008E1F9B" w:rsidP="008E1F9B">
      <w:pPr>
        <w:autoSpaceDE w:val="0"/>
        <w:autoSpaceDN w:val="0"/>
        <w:adjustRightInd w:val="0"/>
        <w:spacing w:before="120" w:after="0" w:line="240" w:lineRule="auto"/>
        <w:jc w:val="both"/>
        <w:rPr>
          <w:rFonts w:ascii="Arial Narrow" w:eastAsia="FrutigerLTStd-Light" w:hAnsi="Arial Narrow" w:cs="FrutigerLTStd-Italic"/>
          <w:i/>
          <w:iCs/>
          <w:sz w:val="24"/>
          <w:szCs w:val="24"/>
        </w:rPr>
      </w:pPr>
    </w:p>
    <w:p w:rsidR="00D42D15" w:rsidRPr="00EE003F" w:rsidRDefault="00CD70ED" w:rsidP="00EA63A7">
      <w:pPr>
        <w:pStyle w:val="Prrafodelista"/>
        <w:numPr>
          <w:ilvl w:val="0"/>
          <w:numId w:val="3"/>
        </w:numPr>
        <w:autoSpaceDE w:val="0"/>
        <w:autoSpaceDN w:val="0"/>
        <w:adjustRightInd w:val="0"/>
        <w:spacing w:before="120" w:after="0" w:line="240" w:lineRule="auto"/>
        <w:jc w:val="both"/>
        <w:rPr>
          <w:rFonts w:ascii="Arial Narrow" w:eastAsia="FrutigerLTStd-Light" w:hAnsi="Arial Narrow" w:cs="FrutigerLTStd-Italic"/>
          <w:i/>
          <w:iCs/>
          <w:sz w:val="24"/>
          <w:szCs w:val="24"/>
        </w:rPr>
      </w:pPr>
      <w:r w:rsidRPr="00EE003F">
        <w:rPr>
          <w:rFonts w:ascii="Arial Narrow" w:eastAsia="FrutigerLTStd-Light" w:hAnsi="Arial Narrow" w:cs="FrutigerLTStd-Italic"/>
          <w:i/>
          <w:iCs/>
          <w:sz w:val="24"/>
          <w:szCs w:val="24"/>
        </w:rPr>
        <w:t>D</w:t>
      </w:r>
      <w:r w:rsidR="00D42D15" w:rsidRPr="00EE003F">
        <w:rPr>
          <w:rFonts w:ascii="Arial Narrow" w:eastAsia="FrutigerLTStd-Light" w:hAnsi="Arial Narrow" w:cs="FrutigerLTStd-Italic"/>
          <w:i/>
          <w:iCs/>
          <w:sz w:val="24"/>
          <w:szCs w:val="24"/>
        </w:rPr>
        <w:t>isponer de servicios de transporte urbano seguros, integrados, de calidad y en armonía con el medio ambiente</w:t>
      </w:r>
      <w:r w:rsidR="00D42D15" w:rsidRPr="00EE003F">
        <w:rPr>
          <w:rFonts w:ascii="Arial Narrow" w:eastAsia="FrutigerLTStd-Light" w:hAnsi="Arial Narrow" w:cs="FrutigerLTStd-Italic"/>
          <w:iCs/>
          <w:sz w:val="24"/>
          <w:szCs w:val="24"/>
        </w:rPr>
        <w:t>.</w:t>
      </w:r>
      <w:r w:rsidR="00441486" w:rsidRPr="00EE003F">
        <w:rPr>
          <w:rFonts w:ascii="Arial Narrow" w:eastAsia="FrutigerLTStd-Light" w:hAnsi="Arial Narrow" w:cs="FrutigerLTStd-Italic"/>
          <w:iCs/>
          <w:sz w:val="24"/>
          <w:szCs w:val="24"/>
        </w:rPr>
        <w:t xml:space="preserve"> Para tal fin se propone promover la creación de autoridades de transporte para las grandes ciudades, que coordinen entre organismos del sector, planifiquen, regulen y supervisen el transporte público urbano; y p</w:t>
      </w:r>
      <w:r w:rsidR="00441486" w:rsidRPr="00EE003F">
        <w:rPr>
          <w:rFonts w:eastAsia="FrutigerLTStd-Light" w:cs="FrutigerLTStd-Italic"/>
          <w:iCs/>
          <w:sz w:val="24"/>
          <w:szCs w:val="24"/>
        </w:rPr>
        <w:t>romover la implementación de un plan de reordenamiento del transporte urbano a nivel de grandes ciudades, que contemple los programas de chatarreo, planes de adecuación de consorcios y la elaboración de un plan de infraestructura</w:t>
      </w:r>
      <w:r w:rsidR="00441486" w:rsidRPr="00EE003F">
        <w:rPr>
          <w:rFonts w:ascii="Arial Narrow" w:eastAsia="FrutigerLTStd-Light" w:hAnsi="Arial Narrow" w:cs="FrutigerLTStd-Italic"/>
          <w:iCs/>
          <w:sz w:val="24"/>
          <w:szCs w:val="24"/>
        </w:rPr>
        <w:t>; entre otros.</w:t>
      </w:r>
    </w:p>
    <w:p w:rsidR="00441486" w:rsidRPr="00EE003F" w:rsidRDefault="00441486" w:rsidP="00441486">
      <w:pPr>
        <w:autoSpaceDE w:val="0"/>
        <w:autoSpaceDN w:val="0"/>
        <w:adjustRightInd w:val="0"/>
        <w:spacing w:before="120" w:after="0" w:line="240" w:lineRule="auto"/>
        <w:jc w:val="both"/>
        <w:rPr>
          <w:rFonts w:ascii="Arial Narrow" w:eastAsia="FrutigerLTStd-Light" w:hAnsi="Arial Narrow" w:cs="FrutigerLTStd-Italic"/>
          <w:i/>
          <w:iCs/>
          <w:sz w:val="24"/>
          <w:szCs w:val="24"/>
        </w:rPr>
      </w:pPr>
    </w:p>
    <w:p w:rsidR="00EA63A7" w:rsidRPr="00EE003F" w:rsidRDefault="00EA63A7">
      <w:pPr>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br w:type="page"/>
      </w:r>
    </w:p>
    <w:p w:rsidR="00787E66" w:rsidRPr="00EE003F" w:rsidRDefault="000664EB" w:rsidP="00337D1C">
      <w:pPr>
        <w:autoSpaceDE w:val="0"/>
        <w:autoSpaceDN w:val="0"/>
        <w:adjustRightInd w:val="0"/>
        <w:spacing w:after="0" w:line="240" w:lineRule="auto"/>
        <w:jc w:val="both"/>
        <w:rPr>
          <w:rFonts w:ascii="Arial Narrow" w:hAnsi="Arial Narrow" w:cs="FrutigerLTStd-BoldCn"/>
          <w:b/>
          <w:bCs/>
          <w:sz w:val="24"/>
          <w:szCs w:val="24"/>
        </w:rPr>
      </w:pPr>
      <w:r w:rsidRPr="00EE003F">
        <w:rPr>
          <w:rFonts w:ascii="Arial Narrow" w:hAnsi="Arial Narrow" w:cs="FrutigerLTStd-BoldCn"/>
          <w:b/>
          <w:bCs/>
          <w:noProof/>
          <w:sz w:val="24"/>
          <w:szCs w:val="24"/>
          <w:lang w:eastAsia="es-PE"/>
        </w:rPr>
        <w:drawing>
          <wp:inline distT="0" distB="0" distL="0" distR="0" wp14:anchorId="27705F71" wp14:editId="1D0A3F4E">
            <wp:extent cx="4579952" cy="2468693"/>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90954" cy="2474623"/>
                    </a:xfrm>
                    <a:prstGeom prst="rect">
                      <a:avLst/>
                    </a:prstGeom>
                    <a:noFill/>
                  </pic:spPr>
                </pic:pic>
              </a:graphicData>
            </a:graphic>
          </wp:inline>
        </w:drawing>
      </w:r>
    </w:p>
    <w:p w:rsidR="00787E66" w:rsidRPr="00EE003F" w:rsidRDefault="00787E66"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004A9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noProof/>
          <w:sz w:val="24"/>
          <w:szCs w:val="24"/>
          <w:lang w:eastAsia="es-PE"/>
        </w:rPr>
        <w:drawing>
          <wp:inline distT="0" distB="0" distL="0" distR="0" wp14:anchorId="2D2B513A" wp14:editId="71D7F941">
            <wp:extent cx="4816475" cy="2170430"/>
            <wp:effectExtent l="0" t="0" r="3175"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16475" cy="2170430"/>
                    </a:xfrm>
                    <a:prstGeom prst="rect">
                      <a:avLst/>
                    </a:prstGeom>
                    <a:noFill/>
                  </pic:spPr>
                </pic:pic>
              </a:graphicData>
            </a:graphic>
          </wp:inline>
        </w:drawing>
      </w:r>
      <w:r w:rsidR="00787E66" w:rsidRPr="00EE003F">
        <w:rPr>
          <w:rFonts w:ascii="Arial Narrow" w:hAnsi="Arial Narrow"/>
          <w:noProof/>
          <w:lang w:eastAsia="es-PE"/>
        </w:rPr>
        <w:drawing>
          <wp:inline distT="0" distB="0" distL="0" distR="0" wp14:anchorId="058234FE" wp14:editId="6F37A9D8">
            <wp:extent cx="561905" cy="20000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1905" cy="200000"/>
                    </a:xfrm>
                    <a:prstGeom prst="rect">
                      <a:avLst/>
                    </a:prstGeom>
                  </pic:spPr>
                </pic:pic>
              </a:graphicData>
            </a:graphic>
          </wp:inline>
        </w:drawing>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En el 2008 Índice de Pobreza Multidimensional fue 0.069 y en el 201</w:t>
      </w:r>
      <w:r w:rsidR="00651921" w:rsidRPr="00EE003F">
        <w:rPr>
          <w:rFonts w:ascii="Arial Narrow" w:eastAsia="FrutigerLTStd-Light" w:hAnsi="Arial Narrow" w:cs="FrutigerLTStd-Light"/>
          <w:sz w:val="24"/>
          <w:szCs w:val="24"/>
        </w:rPr>
        <w:t>3</w:t>
      </w:r>
      <w:r w:rsidRPr="00EE003F">
        <w:rPr>
          <w:rFonts w:ascii="Arial Narrow" w:eastAsia="FrutigerLTStd-Light" w:hAnsi="Arial Narrow" w:cs="FrutigerLTStd-Light"/>
          <w:sz w:val="24"/>
          <w:szCs w:val="24"/>
        </w:rPr>
        <w:t xml:space="preserve"> fue 0.043. La reducción del indicador ha representado una mejora en la calidad de vida, esto es, mayor acceso al servicio de salud, educación y mejoras en las condiciones de vida. Para cumplir las metas propuestas, se hace necesario reforzar políticas de gobierno como la estrategia nacional “Incluir para Crecer” a cargo del MIDIS; fortalecer programas que desarrollen las capacidades productivas de las familias; consolidar los procesos de reforma que se vienen dando en sectores primordiales como educación y salud; hacer viables las estrategias planteadas en el “Proyecto Educativo al 2021”; implementar los lineamientos de la reforma del sistema de salud; culminar la construcción de vías</w:t>
      </w:r>
      <w:r w:rsidR="00D9276B" w:rsidRPr="00EE003F">
        <w:rPr>
          <w:rFonts w:ascii="Arial Narrow" w:eastAsia="FrutigerLTStd-Light" w:hAnsi="Arial Narrow" w:cs="FrutigerLTStd-Light"/>
          <w:sz w:val="24"/>
          <w:szCs w:val="24"/>
        </w:rPr>
        <w:t xml:space="preserve">, continuar ejecutando el Plan Nacional de Banda Ancha del MTC </w:t>
      </w:r>
      <w:r w:rsidRPr="00EE003F">
        <w:rPr>
          <w:rFonts w:ascii="Arial Narrow" w:eastAsia="FrutigerLTStd-Light" w:hAnsi="Arial Narrow" w:cs="FrutigerLTStd-Light"/>
          <w:sz w:val="24"/>
          <w:szCs w:val="24"/>
        </w:rPr>
        <w:t>y los planes para la ampliación de los servicios de agua y saneamiento del MVCS y la masificación del uso de gas y acceso al servicio de electricidad.</w:t>
      </w:r>
    </w:p>
    <w:p w:rsidR="00337D1C" w:rsidRPr="00EE003F" w:rsidRDefault="00337D1C" w:rsidP="00337D1C">
      <w:pPr>
        <w:tabs>
          <w:tab w:val="left" w:pos="1358"/>
        </w:tabs>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C810AE" w:rsidP="00337D1C">
      <w:pPr>
        <w:tabs>
          <w:tab w:val="left" w:pos="1358"/>
        </w:tabs>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hAnsi="Arial Narrow"/>
          <w:noProof/>
          <w:lang w:eastAsia="es-PE"/>
        </w:rPr>
        <w:drawing>
          <wp:inline distT="0" distB="0" distL="0" distR="0" wp14:anchorId="457BBECD" wp14:editId="375397B7">
            <wp:extent cx="5400040" cy="2798029"/>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40" cy="2798029"/>
                    </a:xfrm>
                    <a:prstGeom prst="rect">
                      <a:avLst/>
                    </a:prstGeom>
                    <a:noFill/>
                    <a:ln>
                      <a:noFill/>
                    </a:ln>
                  </pic:spPr>
                </pic:pic>
              </a:graphicData>
            </a:graphic>
          </wp:inline>
        </w:drawing>
      </w:r>
    </w:p>
    <w:p w:rsidR="00C810AE" w:rsidRPr="00EE003F" w:rsidRDefault="00C810AE" w:rsidP="00337D1C">
      <w:pPr>
        <w:tabs>
          <w:tab w:val="left" w:pos="1358"/>
        </w:tabs>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hAnsi="Arial Narrow"/>
          <w:noProof/>
          <w:lang w:eastAsia="es-PE"/>
        </w:rPr>
        <w:drawing>
          <wp:inline distT="0" distB="0" distL="0" distR="0" wp14:anchorId="1CF007C5" wp14:editId="3F66E490">
            <wp:extent cx="5400040" cy="1866428"/>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40" cy="1866428"/>
                    </a:xfrm>
                    <a:prstGeom prst="rect">
                      <a:avLst/>
                    </a:prstGeom>
                    <a:noFill/>
                    <a:ln>
                      <a:noFill/>
                    </a:ln>
                  </pic:spPr>
                </pic:pic>
              </a:graphicData>
            </a:graphic>
          </wp:inline>
        </w:drawing>
      </w:r>
    </w:p>
    <w:p w:rsidR="005A786D" w:rsidRPr="00EE003F" w:rsidRDefault="005A786D" w:rsidP="005A786D">
      <w:pPr>
        <w:autoSpaceDE w:val="0"/>
        <w:autoSpaceDN w:val="0"/>
        <w:adjustRightInd w:val="0"/>
        <w:spacing w:after="0" w:line="240" w:lineRule="auto"/>
        <w:rPr>
          <w:rFonts w:ascii="Arial Narrow" w:hAnsi="Arial Narrow" w:cs="RotisSemiSans-Regular"/>
          <w:sz w:val="24"/>
          <w:szCs w:val="24"/>
        </w:rPr>
      </w:pPr>
    </w:p>
    <w:p w:rsidR="00DF1C5D" w:rsidRPr="00EE003F" w:rsidRDefault="00DF1C5D" w:rsidP="005A786D">
      <w:pPr>
        <w:autoSpaceDE w:val="0"/>
        <w:autoSpaceDN w:val="0"/>
        <w:adjustRightInd w:val="0"/>
        <w:spacing w:after="0" w:line="240" w:lineRule="auto"/>
        <w:rPr>
          <w:rFonts w:ascii="Arial Narrow" w:hAnsi="Arial Narrow" w:cs="RotisSemiSans-Regular"/>
          <w:b/>
          <w:sz w:val="32"/>
          <w:szCs w:val="32"/>
        </w:rPr>
      </w:pPr>
    </w:p>
    <w:p w:rsidR="00337D1C" w:rsidRPr="00EE003F" w:rsidRDefault="00337D1C" w:rsidP="005A786D">
      <w:pPr>
        <w:autoSpaceDE w:val="0"/>
        <w:autoSpaceDN w:val="0"/>
        <w:adjustRightInd w:val="0"/>
        <w:spacing w:after="0" w:line="240" w:lineRule="auto"/>
        <w:rPr>
          <w:rFonts w:ascii="Arial Narrow" w:hAnsi="Arial Narrow" w:cs="RotisSemiSans-Regular"/>
          <w:b/>
          <w:sz w:val="32"/>
          <w:szCs w:val="32"/>
        </w:rPr>
      </w:pPr>
      <w:r w:rsidRPr="00EE003F">
        <w:rPr>
          <w:rFonts w:ascii="Arial Narrow" w:hAnsi="Arial Narrow" w:cs="RotisSemiSans-Regular"/>
          <w:b/>
          <w:sz w:val="32"/>
          <w:szCs w:val="32"/>
        </w:rPr>
        <w:t>Objetivo nacional, objetivos específicos y acciones estratégicas</w:t>
      </w:r>
    </w:p>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RotisSemiSans-Regular"/>
          <w:sz w:val="24"/>
          <w:szCs w:val="24"/>
        </w:rPr>
      </w:pPr>
    </w:p>
    <w:tbl>
      <w:tblPr>
        <w:tblStyle w:val="Tablaconcuadrcula"/>
        <w:tblW w:w="0" w:type="auto"/>
        <w:tblLayout w:type="fixed"/>
        <w:tblLook w:val="0000" w:firstRow="0" w:lastRow="0" w:firstColumn="0" w:lastColumn="0" w:noHBand="0" w:noVBand="0"/>
      </w:tblPr>
      <w:tblGrid>
        <w:gridCol w:w="1672"/>
        <w:gridCol w:w="6018"/>
      </w:tblGrid>
      <w:tr w:rsidR="006E3336" w:rsidRPr="00EE003F" w:rsidTr="00C810AE">
        <w:trPr>
          <w:trHeight w:val="60"/>
        </w:trPr>
        <w:tc>
          <w:tcPr>
            <w:tcW w:w="7690" w:type="dxa"/>
            <w:gridSpan w:val="2"/>
          </w:tcPr>
          <w:p w:rsidR="00C810AE" w:rsidRPr="00EE003F" w:rsidRDefault="00C810AE" w:rsidP="006940CE">
            <w:pPr>
              <w:suppressAutoHyphens/>
              <w:autoSpaceDE w:val="0"/>
              <w:autoSpaceDN w:val="0"/>
              <w:adjustRightInd w:val="0"/>
              <w:spacing w:line="288" w:lineRule="auto"/>
              <w:ind w:left="170"/>
              <w:jc w:val="both"/>
              <w:textAlignment w:val="center"/>
              <w:rPr>
                <w:rStyle w:val="cuerpodetextotablas"/>
                <w:rFonts w:ascii="Arial Narrow" w:hAnsi="Arial Narrow"/>
                <w:b/>
                <w:sz w:val="20"/>
                <w:szCs w:val="20"/>
                <w:lang w:val="es-ES_tradnl"/>
              </w:rPr>
            </w:pPr>
            <w:r w:rsidRPr="00EE003F">
              <w:rPr>
                <w:rStyle w:val="cuerpodetextotablas"/>
                <w:rFonts w:ascii="Arial Narrow" w:hAnsi="Arial Narrow"/>
                <w:b/>
                <w:sz w:val="20"/>
                <w:szCs w:val="20"/>
                <w:lang w:val="es-ES_tradnl"/>
              </w:rPr>
              <w:t xml:space="preserve">OBJETIVO NACIONAL: </w:t>
            </w:r>
          </w:p>
          <w:p w:rsidR="00C810AE" w:rsidRPr="00EE003F" w:rsidRDefault="00C810AE" w:rsidP="006940CE">
            <w:pPr>
              <w:autoSpaceDE w:val="0"/>
              <w:autoSpaceDN w:val="0"/>
              <w:adjustRightInd w:val="0"/>
              <w:spacing w:line="288" w:lineRule="auto"/>
              <w:jc w:val="both"/>
              <w:textAlignment w:val="center"/>
              <w:rPr>
                <w:rStyle w:val="cuerpodetextotablas"/>
                <w:rFonts w:ascii="Arial Narrow" w:hAnsi="Arial Narrow"/>
                <w:sz w:val="22"/>
                <w:szCs w:val="22"/>
              </w:rPr>
            </w:pPr>
            <w:r w:rsidRPr="00EE003F">
              <w:rPr>
                <w:rStyle w:val="cuerpodetextotablas"/>
                <w:rFonts w:ascii="Arial Narrow" w:hAnsi="Arial Narrow"/>
                <w:sz w:val="20"/>
                <w:szCs w:val="20"/>
                <w:lang w:val="es-ES_tradnl"/>
              </w:rPr>
              <w:t>“Garantizar el acceso a servicios de calidad que permitan el desarrollo pleno de las capacidades y derechos de la población, en condiciones equitativas y sostenibles”</w:t>
            </w:r>
          </w:p>
        </w:tc>
      </w:tr>
      <w:tr w:rsidR="006E3336" w:rsidRPr="00EE003F" w:rsidTr="00C810AE">
        <w:trPr>
          <w:trHeight w:val="60"/>
        </w:trPr>
        <w:tc>
          <w:tcPr>
            <w:tcW w:w="1672" w:type="dxa"/>
          </w:tcPr>
          <w:p w:rsidR="00C810AE" w:rsidRPr="00EE003F" w:rsidRDefault="00C810AE" w:rsidP="00C810AE">
            <w:pPr>
              <w:autoSpaceDE w:val="0"/>
              <w:autoSpaceDN w:val="0"/>
              <w:adjustRightInd w:val="0"/>
              <w:spacing w:after="200" w:line="288" w:lineRule="auto"/>
              <w:jc w:val="center"/>
              <w:textAlignment w:val="center"/>
              <w:rPr>
                <w:rStyle w:val="cuerpodetextotablas"/>
                <w:rFonts w:ascii="Arial Narrow" w:hAnsi="Arial Narrow"/>
                <w:b/>
                <w:bCs/>
                <w:sz w:val="20"/>
                <w:szCs w:val="20"/>
                <w:lang w:val="es-ES_tradnl"/>
              </w:rPr>
            </w:pPr>
            <w:r w:rsidRPr="00EE003F">
              <w:rPr>
                <w:rStyle w:val="cuerpodetextotablas"/>
                <w:rFonts w:ascii="Arial Narrow" w:hAnsi="Arial Narrow"/>
                <w:b/>
                <w:sz w:val="20"/>
                <w:szCs w:val="20"/>
                <w:lang w:val="es-ES_tradnl"/>
              </w:rPr>
              <w:t>Objetivos Específicos</w:t>
            </w:r>
          </w:p>
        </w:tc>
        <w:tc>
          <w:tcPr>
            <w:tcW w:w="6018" w:type="dxa"/>
          </w:tcPr>
          <w:p w:rsidR="00C810AE" w:rsidRPr="00EE003F" w:rsidRDefault="00C810AE" w:rsidP="00C810AE">
            <w:pPr>
              <w:autoSpaceDE w:val="0"/>
              <w:autoSpaceDN w:val="0"/>
              <w:adjustRightInd w:val="0"/>
              <w:spacing w:after="200" w:line="288" w:lineRule="auto"/>
              <w:jc w:val="center"/>
              <w:textAlignment w:val="center"/>
              <w:rPr>
                <w:rStyle w:val="cuerpodetextotablas"/>
                <w:rFonts w:ascii="Arial Narrow" w:hAnsi="Arial Narrow"/>
                <w:b/>
                <w:sz w:val="20"/>
                <w:szCs w:val="20"/>
                <w:lang w:val="es-ES_tradnl"/>
              </w:rPr>
            </w:pPr>
            <w:r w:rsidRPr="00EE003F">
              <w:rPr>
                <w:rStyle w:val="cuerpodetextotablas"/>
                <w:rFonts w:ascii="Arial Narrow" w:hAnsi="Arial Narrow"/>
                <w:b/>
                <w:sz w:val="20"/>
                <w:szCs w:val="20"/>
                <w:lang w:val="es-ES_tradnl"/>
              </w:rPr>
              <w:t>Acciones Estratégicas</w:t>
            </w:r>
          </w:p>
        </w:tc>
      </w:tr>
      <w:tr w:rsidR="006E3336" w:rsidRPr="00EE003F" w:rsidTr="00C810AE">
        <w:trPr>
          <w:trHeight w:val="60"/>
        </w:trPr>
        <w:tc>
          <w:tcPr>
            <w:tcW w:w="1672" w:type="dxa"/>
            <w:vMerge w:val="restart"/>
          </w:tcPr>
          <w:p w:rsidR="005B309F" w:rsidRPr="00EE003F" w:rsidRDefault="005B309F" w:rsidP="00B34E4E">
            <w:pPr>
              <w:pStyle w:val="BasicParagraph"/>
              <w:numPr>
                <w:ilvl w:val="0"/>
                <w:numId w:val="38"/>
              </w:numPr>
              <w:suppressAutoHyphens/>
              <w:ind w:left="284" w:right="113" w:hanging="284"/>
              <w:rPr>
                <w:rFonts w:ascii="Arial Narrow" w:hAnsi="Arial Narrow"/>
                <w:color w:val="auto"/>
                <w:sz w:val="20"/>
                <w:szCs w:val="20"/>
              </w:rPr>
            </w:pPr>
            <w:r w:rsidRPr="00EE003F">
              <w:rPr>
                <w:rFonts w:ascii="Arial Narrow" w:hAnsi="Arial Narrow" w:cs="Arial"/>
                <w:bCs/>
                <w:color w:val="auto"/>
                <w:sz w:val="20"/>
                <w:szCs w:val="20"/>
              </w:rPr>
              <w:t xml:space="preserve">Incrementar los niveles calidad con equidad de la educación básica y asegurar las condiciones necesarias para una educación superior de calidad. </w:t>
            </w:r>
          </w:p>
        </w:tc>
        <w:tc>
          <w:tcPr>
            <w:tcW w:w="6018" w:type="dxa"/>
          </w:tcPr>
          <w:p w:rsidR="009E7CF2" w:rsidRPr="00EE003F" w:rsidRDefault="009E7CF2" w:rsidP="006940CE">
            <w:pPr>
              <w:pStyle w:val="BasicParagraph"/>
              <w:numPr>
                <w:ilvl w:val="0"/>
                <w:numId w:val="80"/>
              </w:numPr>
              <w:tabs>
                <w:tab w:val="left" w:pos="171"/>
              </w:tabs>
              <w:suppressAutoHyphens/>
              <w:ind w:left="313" w:hanging="284"/>
              <w:jc w:val="both"/>
              <w:rPr>
                <w:rFonts w:cs="Arial"/>
                <w:sz w:val="20"/>
                <w:szCs w:val="20"/>
              </w:rPr>
            </w:pPr>
            <w:r w:rsidRPr="00EE003F">
              <w:rPr>
                <w:rFonts w:ascii="Arial Narrow" w:hAnsi="Arial Narrow" w:cs="Arial"/>
                <w:color w:val="auto"/>
                <w:sz w:val="20"/>
                <w:szCs w:val="20"/>
              </w:rPr>
              <w:t xml:space="preserve">Consolidar un cuerpo docente idóneo para la enseñanza a través de una oferta formativa inicial y en servicio de calidad centrada principalmente en el aula y en la investigación, así como de una carrera pública magisterial </w:t>
            </w:r>
            <w:proofErr w:type="spellStart"/>
            <w:r w:rsidRPr="00EE003F">
              <w:rPr>
                <w:rFonts w:ascii="Arial Narrow" w:hAnsi="Arial Narrow" w:cs="Arial"/>
                <w:color w:val="auto"/>
                <w:sz w:val="20"/>
                <w:szCs w:val="20"/>
              </w:rPr>
              <w:t>meritocrática</w:t>
            </w:r>
            <w:proofErr w:type="spellEnd"/>
            <w:r w:rsidRPr="00EE003F">
              <w:rPr>
                <w:rFonts w:ascii="Arial Narrow" w:hAnsi="Arial Narrow" w:cs="Arial"/>
                <w:color w:val="auto"/>
                <w:sz w:val="20"/>
                <w:szCs w:val="20"/>
              </w:rPr>
              <w:t xml:space="preserve"> que reconozca y revalorice la profesión docente.</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6940CE">
            <w:pPr>
              <w:pStyle w:val="BasicParagraph"/>
              <w:numPr>
                <w:ilvl w:val="0"/>
                <w:numId w:val="80"/>
              </w:numPr>
              <w:tabs>
                <w:tab w:val="left" w:pos="171"/>
              </w:tabs>
              <w:suppressAutoHyphens/>
              <w:ind w:left="313" w:hanging="284"/>
              <w:jc w:val="both"/>
              <w:rPr>
                <w:rFonts w:cs="Arial"/>
                <w:sz w:val="20"/>
                <w:szCs w:val="20"/>
              </w:rPr>
            </w:pPr>
            <w:r w:rsidRPr="00EE003F">
              <w:rPr>
                <w:rFonts w:cs="Arial"/>
                <w:sz w:val="20"/>
                <w:szCs w:val="20"/>
              </w:rPr>
              <w:t xml:space="preserve">Consolidar un currículo nacional  </w:t>
            </w:r>
            <w:r w:rsidR="006B28D1" w:rsidRPr="00EE003F">
              <w:rPr>
                <w:rFonts w:cs="Arial"/>
                <w:sz w:val="20"/>
                <w:szCs w:val="20"/>
              </w:rPr>
              <w:t xml:space="preserve">de la educación básica </w:t>
            </w:r>
            <w:r w:rsidRPr="00EE003F">
              <w:rPr>
                <w:rFonts w:cs="Arial"/>
                <w:sz w:val="20"/>
                <w:szCs w:val="20"/>
              </w:rPr>
              <w:t>compartido e  integrador, que permita el desarrollo de currículos regionales, con énfasis en la adquisición de competencias básicas, desde una perspectiva intercultural e inclusiva.</w:t>
            </w:r>
          </w:p>
        </w:tc>
      </w:tr>
      <w:tr w:rsidR="006E3336" w:rsidRPr="00EE003F" w:rsidTr="00C810AE">
        <w:trPr>
          <w:trHeight w:val="60"/>
        </w:trPr>
        <w:tc>
          <w:tcPr>
            <w:tcW w:w="1672" w:type="dxa"/>
            <w:vMerge/>
          </w:tcPr>
          <w:p w:rsidR="009E7CF2" w:rsidRPr="00EE003F" w:rsidRDefault="009E7CF2"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9E7CF2" w:rsidRPr="00EE003F" w:rsidRDefault="009E7CF2" w:rsidP="006940CE">
            <w:pPr>
              <w:pStyle w:val="BasicParagraph"/>
              <w:numPr>
                <w:ilvl w:val="0"/>
                <w:numId w:val="80"/>
              </w:numPr>
              <w:tabs>
                <w:tab w:val="left" w:pos="171"/>
              </w:tabs>
              <w:suppressAutoHyphens/>
              <w:ind w:left="313" w:hanging="284"/>
              <w:jc w:val="both"/>
              <w:rPr>
                <w:rFonts w:cs="Arial"/>
                <w:sz w:val="20"/>
                <w:szCs w:val="20"/>
              </w:rPr>
            </w:pPr>
            <w:r w:rsidRPr="00EE003F">
              <w:rPr>
                <w:rFonts w:ascii="Arial Narrow" w:hAnsi="Arial Narrow" w:cs="Arial"/>
                <w:color w:val="auto"/>
                <w:sz w:val="20"/>
                <w:szCs w:val="20"/>
              </w:rPr>
              <w:t>Asegurar el desarrollo temprano de niños de 3 a 5 años a través de servicios educativos pertinentes, así el aprendizaje continuo, con énfasis en aquellos estudiantes con bajos rendimientos, problemas de aprendizaje o usualmente excluidos del sistema educativo.</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6940CE">
            <w:pPr>
              <w:pStyle w:val="BasicParagraph"/>
              <w:numPr>
                <w:ilvl w:val="0"/>
                <w:numId w:val="80"/>
              </w:numPr>
              <w:tabs>
                <w:tab w:val="left" w:pos="171"/>
              </w:tabs>
              <w:suppressAutoHyphens/>
              <w:ind w:left="313" w:hanging="284"/>
              <w:jc w:val="both"/>
              <w:rPr>
                <w:rFonts w:cs="Arial"/>
                <w:sz w:val="20"/>
                <w:szCs w:val="20"/>
              </w:rPr>
            </w:pPr>
            <w:r w:rsidRPr="00EE003F">
              <w:rPr>
                <w:rFonts w:cs="Arial"/>
                <w:sz w:val="20"/>
                <w:szCs w:val="20"/>
              </w:rPr>
              <w:t>Ampliar progresivamente las horas de estudio de la educación básica, para fortalecer las capacidades artísticas, científicas, deportivas y el aprendizaje de una segunda lengua.</w:t>
            </w:r>
          </w:p>
        </w:tc>
      </w:tr>
      <w:tr w:rsidR="006E3336" w:rsidRPr="00EE003F" w:rsidTr="00C810AE">
        <w:trPr>
          <w:trHeight w:val="60"/>
        </w:trPr>
        <w:tc>
          <w:tcPr>
            <w:tcW w:w="1672" w:type="dxa"/>
            <w:vMerge/>
          </w:tcPr>
          <w:p w:rsidR="009E7CF2" w:rsidRPr="00EE003F" w:rsidRDefault="009E7CF2"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9E7CF2" w:rsidRPr="00EE003F" w:rsidRDefault="009E7CF2" w:rsidP="006940CE">
            <w:pPr>
              <w:pStyle w:val="BasicParagraph"/>
              <w:numPr>
                <w:ilvl w:val="0"/>
                <w:numId w:val="80"/>
              </w:numPr>
              <w:tabs>
                <w:tab w:val="left" w:pos="171"/>
              </w:tabs>
              <w:suppressAutoHyphens/>
              <w:ind w:left="313" w:hanging="284"/>
              <w:jc w:val="both"/>
              <w:rPr>
                <w:rFonts w:cs="Arial"/>
                <w:sz w:val="20"/>
                <w:szCs w:val="20"/>
              </w:rPr>
            </w:pPr>
            <w:r w:rsidRPr="00EE003F">
              <w:rPr>
                <w:rFonts w:ascii="Arial Narrow" w:hAnsi="Arial Narrow" w:cs="Arial"/>
                <w:color w:val="auto"/>
                <w:sz w:val="20"/>
                <w:szCs w:val="20"/>
              </w:rPr>
              <w:t>Incrementar las oportunidades de aprendizaje de los alumnos de secundaria a través de una jornada escolar completa, así como de servicios educativos diferenciados que permitan el desarrollo de estudiantes con alto rendimiento y el aprendizaje de una segunda lengua.</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9E7CF2" w:rsidRPr="00EE003F" w:rsidRDefault="009E7CF2" w:rsidP="006940CE">
            <w:pPr>
              <w:pStyle w:val="BasicParagraph"/>
              <w:numPr>
                <w:ilvl w:val="0"/>
                <w:numId w:val="80"/>
              </w:numPr>
              <w:tabs>
                <w:tab w:val="left" w:pos="171"/>
              </w:tabs>
              <w:suppressAutoHyphens/>
              <w:ind w:left="313" w:hanging="284"/>
              <w:jc w:val="both"/>
              <w:rPr>
                <w:rFonts w:cs="Arial"/>
                <w:sz w:val="20"/>
                <w:szCs w:val="20"/>
              </w:rPr>
            </w:pPr>
            <w:r w:rsidRPr="00EE003F">
              <w:rPr>
                <w:rFonts w:ascii="Arial Narrow" w:hAnsi="Arial Narrow" w:cs="Arial"/>
                <w:color w:val="auto"/>
                <w:sz w:val="20"/>
                <w:szCs w:val="20"/>
              </w:rPr>
              <w:t xml:space="preserve">Proveer el uso </w:t>
            </w:r>
            <w:r w:rsidR="009153B0" w:rsidRPr="00EE003F">
              <w:rPr>
                <w:rFonts w:ascii="Arial Narrow" w:hAnsi="Arial Narrow" w:cs="Arial"/>
                <w:color w:val="auto"/>
                <w:sz w:val="20"/>
                <w:szCs w:val="20"/>
              </w:rPr>
              <w:t xml:space="preserve">y aprovechamiento adecuado </w:t>
            </w:r>
            <w:r w:rsidRPr="00EE003F">
              <w:rPr>
                <w:rFonts w:ascii="Arial Narrow" w:hAnsi="Arial Narrow" w:cs="Arial"/>
                <w:color w:val="auto"/>
                <w:sz w:val="20"/>
                <w:szCs w:val="20"/>
              </w:rPr>
              <w:t xml:space="preserve">de materiales </w:t>
            </w:r>
            <w:r w:rsidR="00D9276B" w:rsidRPr="00EE003F">
              <w:rPr>
                <w:rFonts w:ascii="Arial Narrow" w:hAnsi="Arial Narrow" w:cs="Arial"/>
                <w:color w:val="auto"/>
                <w:sz w:val="20"/>
                <w:szCs w:val="20"/>
              </w:rPr>
              <w:t xml:space="preserve">y contenidos </w:t>
            </w:r>
            <w:r w:rsidRPr="00EE003F">
              <w:rPr>
                <w:rFonts w:ascii="Arial Narrow" w:hAnsi="Arial Narrow" w:cs="Arial"/>
                <w:color w:val="auto"/>
                <w:sz w:val="20"/>
                <w:szCs w:val="20"/>
              </w:rPr>
              <w:t xml:space="preserve">educativos físicos y digitales, </w:t>
            </w:r>
            <w:r w:rsidR="006B28D1" w:rsidRPr="00EE003F">
              <w:rPr>
                <w:rFonts w:ascii="Arial Narrow" w:hAnsi="Arial Narrow" w:cs="Arial"/>
                <w:color w:val="auto"/>
                <w:sz w:val="20"/>
                <w:szCs w:val="20"/>
              </w:rPr>
              <w:t xml:space="preserve">espacios educativos, </w:t>
            </w:r>
            <w:r w:rsidRPr="00EE003F">
              <w:rPr>
                <w:rFonts w:ascii="Arial Narrow" w:hAnsi="Arial Narrow" w:cs="Arial"/>
                <w:color w:val="auto"/>
                <w:sz w:val="20"/>
                <w:szCs w:val="20"/>
              </w:rPr>
              <w:t>así como equipamiento (TIC) para el aprendizaje de los estudiantes, de acuerdo al contexto y a las necesidades formativas de los mismos.</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D2174D" w:rsidRPr="00EE003F" w:rsidRDefault="00D2174D" w:rsidP="006940CE">
            <w:pPr>
              <w:pStyle w:val="BasicParagraph"/>
              <w:numPr>
                <w:ilvl w:val="0"/>
                <w:numId w:val="80"/>
              </w:numPr>
              <w:tabs>
                <w:tab w:val="left" w:pos="171"/>
              </w:tabs>
              <w:suppressAutoHyphens/>
              <w:ind w:left="313" w:hanging="284"/>
              <w:jc w:val="both"/>
              <w:rPr>
                <w:rFonts w:cs="Arial"/>
                <w:sz w:val="20"/>
                <w:szCs w:val="20"/>
              </w:rPr>
            </w:pPr>
            <w:r w:rsidRPr="00EE003F">
              <w:rPr>
                <w:rFonts w:ascii="Arial Narrow" w:hAnsi="Arial Narrow" w:cs="Arial"/>
                <w:color w:val="auto"/>
                <w:sz w:val="20"/>
                <w:szCs w:val="20"/>
              </w:rPr>
              <w:t>Incrementar la seguridad, calidad y funcionalidad de la infraestructura educativa y deportiva; así como de su mobiliario y equipamiento, especialmente en zonas rurales mediante mecanismos que aceleren la inversión en este rubro.</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6B28D1" w:rsidRPr="00EE003F" w:rsidRDefault="006B28D1" w:rsidP="006940CE">
            <w:pPr>
              <w:pStyle w:val="BasicParagraph"/>
              <w:numPr>
                <w:ilvl w:val="0"/>
                <w:numId w:val="80"/>
              </w:numPr>
              <w:tabs>
                <w:tab w:val="left" w:pos="171"/>
              </w:tabs>
              <w:suppressAutoHyphens/>
              <w:ind w:left="313" w:hanging="284"/>
              <w:jc w:val="both"/>
              <w:rPr>
                <w:rFonts w:cs="Arial"/>
                <w:color w:val="auto"/>
                <w:sz w:val="20"/>
                <w:szCs w:val="20"/>
              </w:rPr>
            </w:pPr>
            <w:r w:rsidRPr="00EE003F">
              <w:rPr>
                <w:rFonts w:ascii="Arial Narrow" w:hAnsi="Arial Narrow" w:cs="Arial"/>
                <w:color w:val="auto"/>
                <w:sz w:val="20"/>
                <w:szCs w:val="20"/>
              </w:rPr>
              <w:t>Fortalecer la autonomía y el liderazgo directivo en las instituciones educativas a fin de incrementar su desempeño, así como optimizar la capacidad de gestión y de gasto de las instancias descentralizadas involucradas en la gestión educativa, educativos, de acuerdo a  las políticas del sector.</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6940CE">
            <w:pPr>
              <w:pStyle w:val="BasicParagraph"/>
              <w:numPr>
                <w:ilvl w:val="0"/>
                <w:numId w:val="80"/>
              </w:numPr>
              <w:tabs>
                <w:tab w:val="left" w:pos="171"/>
              </w:tabs>
              <w:suppressAutoHyphens/>
              <w:ind w:left="313" w:hanging="284"/>
              <w:jc w:val="both"/>
              <w:rPr>
                <w:rFonts w:cs="Arial"/>
                <w:sz w:val="20"/>
                <w:szCs w:val="20"/>
              </w:rPr>
            </w:pPr>
            <w:r w:rsidRPr="00EE003F">
              <w:rPr>
                <w:rFonts w:cs="Arial"/>
                <w:sz w:val="20"/>
                <w:szCs w:val="20"/>
              </w:rPr>
              <w:t xml:space="preserve">Desarrollar mecanismos que articulen la educación superior técnico-productiva </w:t>
            </w:r>
            <w:r w:rsidR="009D1FD8" w:rsidRPr="00EE003F">
              <w:rPr>
                <w:rFonts w:cs="Arial"/>
                <w:sz w:val="20"/>
                <w:szCs w:val="20"/>
              </w:rPr>
              <w:t xml:space="preserve">y superior tecnológica </w:t>
            </w:r>
            <w:r w:rsidRPr="00EE003F">
              <w:rPr>
                <w:rFonts w:cs="Arial"/>
                <w:sz w:val="20"/>
                <w:szCs w:val="20"/>
              </w:rPr>
              <w:t xml:space="preserve">con la inversión pública y privada de calidad que requiere el aparato productivo a nivel nacional, regional y local, </w:t>
            </w:r>
            <w:r w:rsidR="00456C5A" w:rsidRPr="00EE003F">
              <w:rPr>
                <w:rFonts w:cs="Arial"/>
                <w:sz w:val="20"/>
                <w:szCs w:val="20"/>
              </w:rPr>
              <w:t xml:space="preserve">a través de las diversas modalidades de participación de la inversión sobre la base y los Planes Nacionales y/o Sectoriales y del Informe Multianual de Inversiones en Asociaciones Público Privada que recojan las </w:t>
            </w:r>
            <w:r w:rsidRPr="00EE003F">
              <w:rPr>
                <w:rFonts w:cs="Arial"/>
                <w:sz w:val="20"/>
                <w:szCs w:val="20"/>
              </w:rPr>
              <w:t>agendas estratégicas del país orientadas a la investigación y producción de conocimiento.</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6B28D1" w:rsidRPr="00EE003F" w:rsidRDefault="006B28D1" w:rsidP="006940CE">
            <w:pPr>
              <w:pStyle w:val="BasicParagraph"/>
              <w:numPr>
                <w:ilvl w:val="0"/>
                <w:numId w:val="80"/>
              </w:numPr>
              <w:tabs>
                <w:tab w:val="left" w:pos="171"/>
              </w:tabs>
              <w:suppressAutoHyphens/>
              <w:ind w:left="313" w:hanging="284"/>
              <w:jc w:val="both"/>
              <w:rPr>
                <w:rFonts w:cs="Arial"/>
                <w:sz w:val="20"/>
                <w:szCs w:val="20"/>
              </w:rPr>
            </w:pPr>
            <w:r w:rsidRPr="00EE003F">
              <w:rPr>
                <w:rFonts w:ascii="Arial Narrow" w:hAnsi="Arial Narrow" w:cs="Arial"/>
                <w:color w:val="auto"/>
                <w:sz w:val="20"/>
                <w:szCs w:val="20"/>
              </w:rPr>
              <w:t>Institucionalizar una estructura organizativa que asegure que la oferta de servicios educativos superior técnico y universitario pública y privada</w:t>
            </w:r>
            <w:r w:rsidR="009D1FD8" w:rsidRPr="00EE003F">
              <w:rPr>
                <w:rFonts w:ascii="Arial Narrow" w:hAnsi="Arial Narrow" w:cs="Arial"/>
                <w:color w:val="auto"/>
                <w:sz w:val="20"/>
                <w:szCs w:val="20"/>
              </w:rPr>
              <w:t>,</w:t>
            </w:r>
            <w:r w:rsidRPr="00EE003F">
              <w:rPr>
                <w:rFonts w:ascii="Arial Narrow" w:hAnsi="Arial Narrow" w:cs="Arial"/>
                <w:color w:val="auto"/>
                <w:sz w:val="20"/>
                <w:szCs w:val="20"/>
              </w:rPr>
              <w:t xml:space="preserve"> cumpla con las condiciones básicas de calidad y que brinde información confiable, oportuna y accesible a todos los actores del sistema educativo a través de una plataforma integrada.</w:t>
            </w:r>
          </w:p>
        </w:tc>
      </w:tr>
      <w:tr w:rsidR="006E3336" w:rsidRPr="00EE003F" w:rsidTr="00C810AE">
        <w:trPr>
          <w:trHeight w:val="60"/>
        </w:trPr>
        <w:tc>
          <w:tcPr>
            <w:tcW w:w="1672" w:type="dxa"/>
            <w:vMerge/>
          </w:tcPr>
          <w:p w:rsidR="009D1FD8" w:rsidRPr="00EE003F" w:rsidRDefault="009D1FD8"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9D1FD8" w:rsidRPr="00EE003F" w:rsidRDefault="009D1FD8" w:rsidP="006940CE">
            <w:pPr>
              <w:pStyle w:val="BasicParagraph"/>
              <w:numPr>
                <w:ilvl w:val="0"/>
                <w:numId w:val="80"/>
              </w:numPr>
              <w:tabs>
                <w:tab w:val="left" w:pos="171"/>
              </w:tabs>
              <w:suppressAutoHyphens/>
              <w:ind w:left="313" w:hanging="284"/>
              <w:jc w:val="both"/>
              <w:rPr>
                <w:rFonts w:cs="Arial"/>
                <w:sz w:val="20"/>
                <w:szCs w:val="20"/>
              </w:rPr>
            </w:pPr>
            <w:r w:rsidRPr="00EE003F">
              <w:rPr>
                <w:rFonts w:ascii="Arial Narrow" w:hAnsi="Arial Narrow" w:cs="Arial"/>
                <w:color w:val="auto"/>
                <w:sz w:val="20"/>
                <w:szCs w:val="20"/>
              </w:rPr>
              <w:t>Evaluar periódicamente los estándares de calidad del licenciamiento y renovación de los programas de estudios de educación superior y brindar acceso a información transparente de la situación de los egresados.</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6940CE">
            <w:pPr>
              <w:pStyle w:val="BasicParagraph"/>
              <w:numPr>
                <w:ilvl w:val="0"/>
                <w:numId w:val="80"/>
              </w:numPr>
              <w:tabs>
                <w:tab w:val="left" w:pos="171"/>
              </w:tabs>
              <w:suppressAutoHyphens/>
              <w:ind w:left="313" w:hanging="284"/>
              <w:jc w:val="both"/>
              <w:rPr>
                <w:rFonts w:cs="Arial"/>
                <w:sz w:val="20"/>
                <w:szCs w:val="20"/>
              </w:rPr>
            </w:pPr>
            <w:r w:rsidRPr="00EE003F">
              <w:rPr>
                <w:rFonts w:cs="Arial"/>
                <w:sz w:val="20"/>
                <w:szCs w:val="20"/>
              </w:rPr>
              <w:t>Consolidar un sistema de becas y crédito educativo inclusivo que permita a jóvenes y adultos con talento acceder a la educación superior en las mejores universidades del país y del mundo, priorizando las áreas de ciencia y tecnología sobre la base de una agenda nacional.</w:t>
            </w:r>
          </w:p>
        </w:tc>
      </w:tr>
      <w:tr w:rsidR="006E3336" w:rsidRPr="00EE003F" w:rsidTr="00C810AE">
        <w:trPr>
          <w:trHeight w:val="60"/>
        </w:trPr>
        <w:tc>
          <w:tcPr>
            <w:tcW w:w="1672" w:type="dxa"/>
            <w:vMerge w:val="restart"/>
          </w:tcPr>
          <w:p w:rsidR="00886ACD" w:rsidRPr="00EE003F" w:rsidRDefault="00886ACD" w:rsidP="003C1393">
            <w:pPr>
              <w:pStyle w:val="BasicParagraph"/>
              <w:numPr>
                <w:ilvl w:val="0"/>
                <w:numId w:val="38"/>
              </w:numPr>
              <w:suppressAutoHyphens/>
              <w:ind w:left="142" w:right="113" w:hanging="142"/>
              <w:rPr>
                <w:rFonts w:ascii="Arial Narrow" w:hAnsi="Arial Narrow"/>
                <w:color w:val="auto"/>
                <w:sz w:val="20"/>
                <w:szCs w:val="20"/>
              </w:rPr>
            </w:pPr>
            <w:r w:rsidRPr="00EE003F">
              <w:rPr>
                <w:rStyle w:val="negritatablas"/>
                <w:rFonts w:ascii="Arial Narrow" w:hAnsi="Arial Narrow"/>
                <w:color w:val="auto"/>
                <w:sz w:val="20"/>
                <w:szCs w:val="20"/>
              </w:rPr>
              <w:t>Mejorar la provisión y calidad de las prestaciones de carácter preventivo, promocional, recuperativo y de rehabilitación de la salud</w:t>
            </w:r>
          </w:p>
        </w:tc>
        <w:tc>
          <w:tcPr>
            <w:tcW w:w="6018" w:type="dxa"/>
          </w:tcPr>
          <w:p w:rsidR="00565FE6" w:rsidRPr="00EE003F" w:rsidRDefault="00886ACD" w:rsidP="006940CE">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Ampliar la cobertura del aseguramiento en salud priorizando la protección de los más pobres y vulnerables </w:t>
            </w:r>
            <w:r w:rsidR="00565FE6" w:rsidRPr="00EE003F">
              <w:rPr>
                <w:rStyle w:val="cuerpodetextotablas"/>
                <w:rFonts w:ascii="Arial Narrow" w:hAnsi="Arial Narrow"/>
                <w:color w:val="auto"/>
                <w:sz w:val="20"/>
                <w:szCs w:val="20"/>
              </w:rPr>
              <w:t>(madres gestantes, recién nacidos, niños y adolescentes).</w:t>
            </w:r>
          </w:p>
        </w:tc>
      </w:tr>
      <w:tr w:rsidR="006E3336" w:rsidRPr="00EE003F" w:rsidTr="00C810AE">
        <w:trPr>
          <w:trHeight w:val="60"/>
        </w:trPr>
        <w:tc>
          <w:tcPr>
            <w:tcW w:w="1672" w:type="dxa"/>
            <w:vMerge/>
          </w:tcPr>
          <w:p w:rsidR="00886ACD" w:rsidRPr="00EE003F" w:rsidRDefault="00886ACD"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886ACD" w:rsidRPr="00EE003F" w:rsidRDefault="00886ACD" w:rsidP="006940CE">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Difundir las prestaciones </w:t>
            </w:r>
            <w:r w:rsidR="00565FE6" w:rsidRPr="00EE003F">
              <w:rPr>
                <w:rStyle w:val="cuerpodetextotablas"/>
                <w:rFonts w:ascii="Arial Narrow" w:hAnsi="Arial Narrow"/>
                <w:color w:val="auto"/>
                <w:sz w:val="20"/>
                <w:szCs w:val="20"/>
              </w:rPr>
              <w:t xml:space="preserve">esenciales </w:t>
            </w:r>
            <w:r w:rsidRPr="00EE003F">
              <w:rPr>
                <w:rStyle w:val="cuerpodetextotablas"/>
                <w:rFonts w:ascii="Arial Narrow" w:hAnsi="Arial Narrow"/>
                <w:color w:val="auto"/>
                <w:sz w:val="20"/>
                <w:szCs w:val="20"/>
              </w:rPr>
              <w:t>de aseguramiento en salud, la obligatoriedad del mismo, y evaluar periódicamente la ampliación de condiciones mínimas asegurables que deben responder a las demandas de la población.</w:t>
            </w:r>
          </w:p>
        </w:tc>
      </w:tr>
      <w:tr w:rsidR="006E3336" w:rsidRPr="00EE003F" w:rsidTr="00C810AE">
        <w:trPr>
          <w:trHeight w:val="60"/>
        </w:trPr>
        <w:tc>
          <w:tcPr>
            <w:tcW w:w="1672" w:type="dxa"/>
            <w:vMerge/>
          </w:tcPr>
          <w:p w:rsidR="00886ACD" w:rsidRPr="00EE003F" w:rsidRDefault="00886ACD"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886ACD" w:rsidRPr="00EE003F" w:rsidRDefault="00886ACD" w:rsidP="006940CE">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Fortalecer el primer nivel de atención, integrándolo a un modelo de redes funcionales y propiciando la participación ciudadana en la prevención y promoción de su salud.</w:t>
            </w:r>
          </w:p>
        </w:tc>
      </w:tr>
      <w:tr w:rsidR="006E3336" w:rsidRPr="00EE003F" w:rsidTr="00C810AE">
        <w:trPr>
          <w:trHeight w:val="60"/>
        </w:trPr>
        <w:tc>
          <w:tcPr>
            <w:tcW w:w="1672" w:type="dxa"/>
            <w:vMerge/>
          </w:tcPr>
          <w:p w:rsidR="00886ACD" w:rsidRPr="00EE003F" w:rsidRDefault="00886ACD"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E47517" w:rsidRPr="00EE003F" w:rsidRDefault="00886ACD" w:rsidP="006940CE">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sz w:val="20"/>
                <w:szCs w:val="20"/>
              </w:rPr>
              <w:t xml:space="preserve">Ampliar la cobertura del primer nivel de atención a la población rural, rural dispersa, pueblos indígenas y tribales dispersos, a través </w:t>
            </w:r>
            <w:r w:rsidR="00E47517" w:rsidRPr="00EE003F">
              <w:rPr>
                <w:rStyle w:val="cuerpodetextotablas"/>
                <w:rFonts w:ascii="Arial Narrow" w:hAnsi="Arial Narrow"/>
                <w:sz w:val="20"/>
                <w:szCs w:val="20"/>
              </w:rPr>
              <w:t xml:space="preserve">de modelos de entrega de servicios que incluyan oferta móvil e intervenciones intersectoriales, como </w:t>
            </w:r>
            <w:r w:rsidRPr="00EE003F">
              <w:rPr>
                <w:rStyle w:val="cuerpodetextotablas"/>
                <w:rFonts w:ascii="Arial Narrow" w:hAnsi="Arial Narrow"/>
                <w:sz w:val="20"/>
                <w:szCs w:val="20"/>
              </w:rPr>
              <w:t xml:space="preserve"> la Plataforma de Servicios “Tambos”</w:t>
            </w:r>
            <w:r w:rsidR="00E47517" w:rsidRPr="00EE003F">
              <w:rPr>
                <w:rStyle w:val="cuerpodetextotablas"/>
                <w:rFonts w:ascii="Arial Narrow" w:hAnsi="Arial Narrow"/>
                <w:sz w:val="20"/>
                <w:szCs w:val="20"/>
              </w:rPr>
              <w:t>,</w:t>
            </w:r>
            <w:r w:rsidRPr="00EE003F">
              <w:rPr>
                <w:rStyle w:val="cuerpodetextotablas"/>
                <w:rFonts w:ascii="Arial Narrow" w:hAnsi="Arial Narrow"/>
                <w:sz w:val="20"/>
                <w:szCs w:val="20"/>
              </w:rPr>
              <w:t xml:space="preserve"> las Plataformas Itinerantes de Acción Social</w:t>
            </w:r>
            <w:r w:rsidR="00E47517" w:rsidRPr="00EE003F">
              <w:rPr>
                <w:rStyle w:val="cuerpodetextotablas"/>
                <w:rFonts w:ascii="Arial Narrow" w:hAnsi="Arial Narrow"/>
                <w:sz w:val="20"/>
                <w:szCs w:val="20"/>
              </w:rPr>
              <w:t xml:space="preserve"> y las campañas Más Salud</w:t>
            </w:r>
            <w:r w:rsidRPr="00EE003F">
              <w:rPr>
                <w:rStyle w:val="cuerpodetextotablas"/>
                <w:rFonts w:ascii="Arial Narrow" w:hAnsi="Arial Narrow"/>
                <w:sz w:val="20"/>
                <w:szCs w:val="20"/>
              </w:rPr>
              <w:t>, priorizando la protección de los más pobres y vulnerables (madres gestantes, recién nacidos, niños y adultos mayores).</w:t>
            </w:r>
          </w:p>
        </w:tc>
      </w:tr>
      <w:tr w:rsidR="006E3336" w:rsidRPr="00EE003F" w:rsidTr="00C810AE">
        <w:trPr>
          <w:trHeight w:val="60"/>
        </w:trPr>
        <w:tc>
          <w:tcPr>
            <w:tcW w:w="1672" w:type="dxa"/>
            <w:vMerge/>
          </w:tcPr>
          <w:p w:rsidR="00886ACD" w:rsidRPr="00EE003F" w:rsidRDefault="00886ACD"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886ACD" w:rsidRPr="00EE003F" w:rsidRDefault="00886ACD" w:rsidP="006940CE">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Implementar la normativa de los productos farmacéuticos y dispositivos médicos esenciales, y actualizar la política nacional de medicamentos, propiciando el acceso a medicamentos genéricos. </w:t>
            </w:r>
          </w:p>
        </w:tc>
      </w:tr>
      <w:tr w:rsidR="006E3336" w:rsidRPr="00EE003F" w:rsidTr="00C810AE">
        <w:trPr>
          <w:trHeight w:val="60"/>
        </w:trPr>
        <w:tc>
          <w:tcPr>
            <w:tcW w:w="1672" w:type="dxa"/>
            <w:vMerge/>
          </w:tcPr>
          <w:p w:rsidR="00886ACD" w:rsidRPr="00EE003F" w:rsidRDefault="00886ACD"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886ACD" w:rsidRPr="00EE003F" w:rsidRDefault="00886ACD" w:rsidP="006940CE">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Establecer mecanismos que incentiven la formación de profesionales de la salud y su distribución hacia zonas de menor desarrollo, además fomentar la especialización de profesionales de acuerdo a las necesidades de la población.</w:t>
            </w:r>
          </w:p>
        </w:tc>
      </w:tr>
      <w:tr w:rsidR="006E3336" w:rsidRPr="00EE003F" w:rsidTr="00C810AE">
        <w:trPr>
          <w:trHeight w:val="60"/>
        </w:trPr>
        <w:tc>
          <w:tcPr>
            <w:tcW w:w="1672" w:type="dxa"/>
            <w:vMerge/>
          </w:tcPr>
          <w:p w:rsidR="00886ACD" w:rsidRPr="00EE003F" w:rsidRDefault="00886ACD"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886ACD" w:rsidRPr="00EE003F" w:rsidRDefault="00886ACD" w:rsidP="006940CE">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la innovación e investigación aplicando nuevas tecnologías (tele-salud) a la medicina e impulsando el Sistema nacional de investigación en salud.</w:t>
            </w:r>
          </w:p>
        </w:tc>
      </w:tr>
      <w:tr w:rsidR="006E3336" w:rsidRPr="00EE003F" w:rsidTr="00C810AE">
        <w:trPr>
          <w:trHeight w:val="60"/>
        </w:trPr>
        <w:tc>
          <w:tcPr>
            <w:tcW w:w="1672" w:type="dxa"/>
            <w:vMerge/>
          </w:tcPr>
          <w:p w:rsidR="00886ACD" w:rsidRPr="00EE003F" w:rsidRDefault="00886ACD"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E47517" w:rsidRPr="00EE003F" w:rsidRDefault="00886ACD" w:rsidP="006940CE">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sz w:val="20"/>
                <w:szCs w:val="20"/>
              </w:rPr>
              <w:t xml:space="preserve">Crear, renovar y descentralizar la infraestructura de salud con un adecuado equipamiento y gestión, en el marco de los respectivos planes nacionales y/o sectoriales o del Informe Multianual de Inversiones en Asociaciones Públicos </w:t>
            </w:r>
            <w:r w:rsidR="008A4256" w:rsidRPr="00EE003F">
              <w:rPr>
                <w:rStyle w:val="cuerpodetextotablas"/>
                <w:rFonts w:ascii="Arial Narrow" w:hAnsi="Arial Narrow"/>
                <w:sz w:val="20"/>
                <w:szCs w:val="20"/>
              </w:rPr>
              <w:t>Privados; así</w:t>
            </w:r>
            <w:r w:rsidRPr="00EE003F">
              <w:rPr>
                <w:rStyle w:val="cuerpodetextotablas"/>
                <w:rFonts w:ascii="Arial Narrow" w:hAnsi="Arial Narrow"/>
                <w:sz w:val="20"/>
                <w:szCs w:val="20"/>
              </w:rPr>
              <w:t xml:space="preserve"> como la creación de centros de alta complejidad.</w:t>
            </w:r>
          </w:p>
        </w:tc>
      </w:tr>
      <w:tr w:rsidR="006E3336" w:rsidRPr="00EE003F" w:rsidTr="00C810AE">
        <w:trPr>
          <w:trHeight w:val="60"/>
        </w:trPr>
        <w:tc>
          <w:tcPr>
            <w:tcW w:w="1672" w:type="dxa"/>
            <w:vMerge/>
          </w:tcPr>
          <w:p w:rsidR="00886ACD" w:rsidRPr="00EE003F" w:rsidRDefault="00886ACD"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886ACD" w:rsidRPr="00EE003F" w:rsidRDefault="00886ACD" w:rsidP="006940CE">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Fortalecer el rol rector del MINSA a través de su adecuación organizacional, definiendo las funciones y responsabilidades descentralizadas del sector salud, así como, mejorando sus sistemas de información.</w:t>
            </w:r>
          </w:p>
        </w:tc>
      </w:tr>
      <w:tr w:rsidR="006E3336" w:rsidRPr="00EE003F" w:rsidTr="00C810AE">
        <w:trPr>
          <w:trHeight w:val="60"/>
        </w:trPr>
        <w:tc>
          <w:tcPr>
            <w:tcW w:w="1672" w:type="dxa"/>
            <w:vMerge/>
          </w:tcPr>
          <w:p w:rsidR="00886ACD" w:rsidRPr="00EE003F" w:rsidRDefault="00886ACD"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886ACD" w:rsidRPr="00EE003F" w:rsidRDefault="00886ACD" w:rsidP="006940CE">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Propiciar la ampliación de la cobertura de la seguridad social en materia previsional, en el marco de las prestaciones </w:t>
            </w:r>
            <w:r w:rsidR="00967F5F" w:rsidRPr="00EE003F">
              <w:rPr>
                <w:rStyle w:val="cuerpodetextotablas"/>
                <w:rFonts w:ascii="Arial Narrow" w:hAnsi="Arial Narrow"/>
                <w:color w:val="auto"/>
                <w:sz w:val="20"/>
                <w:szCs w:val="20"/>
              </w:rPr>
              <w:t xml:space="preserve">esenciales </w:t>
            </w:r>
            <w:r w:rsidRPr="00EE003F">
              <w:rPr>
                <w:rStyle w:val="cuerpodetextotablas"/>
                <w:rFonts w:ascii="Arial Narrow" w:hAnsi="Arial Narrow"/>
                <w:color w:val="auto"/>
                <w:sz w:val="20"/>
                <w:szCs w:val="20"/>
              </w:rPr>
              <w:t>de aseguramiento en salud.</w:t>
            </w:r>
          </w:p>
        </w:tc>
      </w:tr>
      <w:tr w:rsidR="006E3336" w:rsidRPr="00EE003F" w:rsidTr="00C810AE">
        <w:trPr>
          <w:trHeight w:val="60"/>
        </w:trPr>
        <w:tc>
          <w:tcPr>
            <w:tcW w:w="1672" w:type="dxa"/>
            <w:vMerge/>
          </w:tcPr>
          <w:p w:rsidR="00886ACD" w:rsidRPr="00EE003F" w:rsidRDefault="00886ACD"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886ACD" w:rsidRPr="00EE003F" w:rsidRDefault="00886ACD" w:rsidP="001F76F8">
            <w:pPr>
              <w:pStyle w:val="BasicParagraph"/>
              <w:numPr>
                <w:ilvl w:val="0"/>
                <w:numId w:val="81"/>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Garantizar la  prevención y la atención efectiva en salud mental como eje transversal en todos los niveles (básico y especializado), considerando estudios que nos den información precisa y confiable para abordar la problemática.</w:t>
            </w:r>
          </w:p>
        </w:tc>
      </w:tr>
      <w:tr w:rsidR="006E3336" w:rsidRPr="00EE003F" w:rsidTr="00C810AE">
        <w:trPr>
          <w:trHeight w:val="60"/>
        </w:trPr>
        <w:tc>
          <w:tcPr>
            <w:tcW w:w="1672" w:type="dxa"/>
            <w:vMerge w:val="restart"/>
          </w:tcPr>
          <w:p w:rsidR="00C810AE" w:rsidRPr="00EE003F" w:rsidRDefault="00C810AE" w:rsidP="003C1393">
            <w:pPr>
              <w:pStyle w:val="BasicParagraph"/>
              <w:numPr>
                <w:ilvl w:val="0"/>
                <w:numId w:val="38"/>
              </w:numPr>
              <w:suppressAutoHyphens/>
              <w:ind w:left="142" w:right="113" w:hanging="142"/>
              <w:rPr>
                <w:rFonts w:ascii="Arial Narrow" w:hAnsi="Arial Narrow"/>
                <w:color w:val="auto"/>
                <w:sz w:val="20"/>
                <w:szCs w:val="20"/>
              </w:rPr>
            </w:pPr>
            <w:r w:rsidRPr="00EE003F">
              <w:rPr>
                <w:rStyle w:val="negritatablas"/>
                <w:rFonts w:ascii="Arial Narrow" w:hAnsi="Arial Narrow"/>
                <w:color w:val="auto"/>
                <w:sz w:val="20"/>
                <w:szCs w:val="20"/>
              </w:rPr>
              <w:t>Ampliar el acceso de los servicios de agua potable y saneamiento, asegurando su calidad, sostenibilidad y viabilidad</w:t>
            </w:r>
          </w:p>
        </w:tc>
        <w:tc>
          <w:tcPr>
            <w:tcW w:w="6018" w:type="dxa"/>
          </w:tcPr>
          <w:p w:rsidR="0018348E" w:rsidRPr="00EE003F" w:rsidRDefault="001329A0" w:rsidP="00523DB2">
            <w:pPr>
              <w:pStyle w:val="BasicParagraph"/>
              <w:numPr>
                <w:ilvl w:val="0"/>
                <w:numId w:val="82"/>
              </w:numPr>
              <w:tabs>
                <w:tab w:val="left" w:pos="313"/>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Consolidar un</w:t>
            </w:r>
            <w:r w:rsidR="00C810AE" w:rsidRPr="00EE003F">
              <w:rPr>
                <w:rStyle w:val="cuerpodetextotablas"/>
                <w:rFonts w:ascii="Arial Narrow" w:hAnsi="Arial Narrow"/>
                <w:color w:val="auto"/>
                <w:sz w:val="20"/>
                <w:szCs w:val="20"/>
              </w:rPr>
              <w:t xml:space="preserve"> adecuad</w:t>
            </w:r>
            <w:r w:rsidR="004C5862" w:rsidRPr="00EE003F">
              <w:rPr>
                <w:rStyle w:val="cuerpodetextotablas"/>
                <w:rFonts w:ascii="Arial Narrow" w:hAnsi="Arial Narrow"/>
                <w:color w:val="auto"/>
                <w:sz w:val="20"/>
                <w:szCs w:val="20"/>
              </w:rPr>
              <w:t>o Pl</w:t>
            </w:r>
            <w:r w:rsidR="001D2488" w:rsidRPr="00EE003F">
              <w:rPr>
                <w:rStyle w:val="cuerpodetextotablas"/>
                <w:rFonts w:ascii="Arial Narrow" w:hAnsi="Arial Narrow"/>
                <w:color w:val="auto"/>
                <w:sz w:val="20"/>
                <w:szCs w:val="20"/>
              </w:rPr>
              <w:t>a</w:t>
            </w:r>
            <w:r w:rsidR="004C5862" w:rsidRPr="00EE003F">
              <w:rPr>
                <w:rStyle w:val="cuerpodetextotablas"/>
                <w:rFonts w:ascii="Arial Narrow" w:hAnsi="Arial Narrow"/>
                <w:color w:val="auto"/>
                <w:sz w:val="20"/>
                <w:szCs w:val="20"/>
              </w:rPr>
              <w:t>n Sectorial que incluya las</w:t>
            </w:r>
            <w:r w:rsidR="00C810AE" w:rsidRPr="00EE003F">
              <w:rPr>
                <w:rStyle w:val="cuerpodetextotablas"/>
                <w:rFonts w:ascii="Arial Narrow" w:hAnsi="Arial Narrow"/>
                <w:color w:val="auto"/>
                <w:sz w:val="20"/>
                <w:szCs w:val="20"/>
              </w:rPr>
              <w:t xml:space="preserve"> política financiera y de inversiones</w:t>
            </w:r>
            <w:r w:rsidR="0049042F" w:rsidRPr="00EE003F">
              <w:rPr>
                <w:rStyle w:val="cuerpodetextotablas"/>
                <w:rFonts w:ascii="Arial Narrow" w:hAnsi="Arial Narrow"/>
                <w:color w:val="auto"/>
                <w:sz w:val="20"/>
                <w:szCs w:val="20"/>
              </w:rPr>
              <w:t>, así como el Informe Multianual de Inversiones en Asociaciones Público Privadas</w:t>
            </w:r>
            <w:r w:rsidR="00C810AE" w:rsidRPr="00EE003F">
              <w:rPr>
                <w:rStyle w:val="cuerpodetextotablas"/>
                <w:rFonts w:ascii="Arial Narrow" w:hAnsi="Arial Narrow"/>
                <w:color w:val="auto"/>
                <w:sz w:val="20"/>
                <w:szCs w:val="20"/>
              </w:rPr>
              <w:t xml:space="preserve"> que contemple la promoción de </w:t>
            </w:r>
            <w:r w:rsidR="0049042F" w:rsidRPr="00EE003F">
              <w:rPr>
                <w:rStyle w:val="cuerpodetextotablas"/>
                <w:rFonts w:ascii="Arial Narrow" w:hAnsi="Arial Narrow"/>
                <w:color w:val="auto"/>
                <w:sz w:val="20"/>
                <w:szCs w:val="20"/>
              </w:rPr>
              <w:t xml:space="preserve"> la inversión privada en proyectos </w:t>
            </w:r>
            <w:r w:rsidR="00C810AE" w:rsidRPr="00EE003F">
              <w:rPr>
                <w:rStyle w:val="cuerpodetextotablas"/>
                <w:rFonts w:ascii="Arial Narrow" w:hAnsi="Arial Narrow"/>
                <w:color w:val="auto"/>
                <w:sz w:val="20"/>
                <w:szCs w:val="20"/>
              </w:rPr>
              <w:t>para</w:t>
            </w:r>
            <w:r w:rsidR="0049042F" w:rsidRPr="00EE003F">
              <w:rPr>
                <w:rStyle w:val="cuerpodetextotablas"/>
                <w:rFonts w:ascii="Arial Narrow" w:hAnsi="Arial Narrow"/>
                <w:color w:val="auto"/>
                <w:sz w:val="20"/>
                <w:szCs w:val="20"/>
              </w:rPr>
              <w:t xml:space="preserve"> el diseño, financiamiento</w:t>
            </w:r>
            <w:r w:rsidR="00C810AE" w:rsidRPr="00EE003F">
              <w:rPr>
                <w:rStyle w:val="cuerpodetextotablas"/>
                <w:rFonts w:ascii="Arial Narrow" w:hAnsi="Arial Narrow"/>
                <w:color w:val="auto"/>
                <w:sz w:val="20"/>
                <w:szCs w:val="20"/>
              </w:rPr>
              <w:t xml:space="preserve"> </w:t>
            </w:r>
            <w:r w:rsidR="0049042F" w:rsidRPr="00EE003F">
              <w:rPr>
                <w:rStyle w:val="cuerpodetextotablas"/>
                <w:rFonts w:ascii="Arial Narrow" w:hAnsi="Arial Narrow"/>
                <w:color w:val="auto"/>
                <w:sz w:val="20"/>
                <w:szCs w:val="20"/>
              </w:rPr>
              <w:t>la construcción, operación y mantenimiento de la i</w:t>
            </w:r>
            <w:r w:rsidR="00C810AE" w:rsidRPr="00EE003F">
              <w:rPr>
                <w:rStyle w:val="cuerpodetextotablas"/>
                <w:rFonts w:ascii="Arial Narrow" w:hAnsi="Arial Narrow"/>
                <w:color w:val="auto"/>
                <w:sz w:val="20"/>
                <w:szCs w:val="20"/>
              </w:rPr>
              <w:t xml:space="preserve">nfraestructura de agua potable y saneamiento. </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523DB2">
            <w:pPr>
              <w:pStyle w:val="BasicParagraph"/>
              <w:numPr>
                <w:ilvl w:val="0"/>
                <w:numId w:val="82"/>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Mejorar el esquema tarifario y de subsidios cruzados, que incluya costos de generación de los servicios, para lograr la autosuficiencia financiera de las EPS y la demanda agregada focalizada del servicio. </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523DB2">
            <w:pPr>
              <w:pStyle w:val="BasicParagraph"/>
              <w:numPr>
                <w:ilvl w:val="0"/>
                <w:numId w:val="82"/>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Impulsar la integración geográfica a nivel regional para mejorar la gestión de la prestación de servicios de agua y saneamiento, procurando economías de escala para su sostenibilidad financiera, y considerando criterios técnicos, ambientales y de afinidad socio-cultural.</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2"/>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Fortalecer las capacidades de la población rural, rural dispersa, pueblos indígenas y tribales dispersos, del ámbito de influencia de la Plataforma de Servicios “Tambos” y las Plataformas Itinerantes de Acción Social, para garantizar la disponibilidad de agua apta para el consumo humano, priorizando la protección de los más pobres y vulnerables (madres gestantes, recién nacidos, niños y adultos mayores).</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523DB2">
            <w:pPr>
              <w:pStyle w:val="BasicParagraph"/>
              <w:numPr>
                <w:ilvl w:val="0"/>
                <w:numId w:val="82"/>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Mejorar las capacidades de los prestadores del servicio, mediante el fortalecimiento y ordenamiento de la gestión integral de las EPS y la asistencia técnica y financiera para los prestadores del ámbito rural.</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2"/>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Fortalecer la valoración de los servicios por parte de la población a través de la formación de capacidades, con énfasis en educación sanitaria en las zonas rurales.</w:t>
            </w:r>
          </w:p>
        </w:tc>
      </w:tr>
      <w:tr w:rsidR="005A22F8" w:rsidRPr="00EE003F" w:rsidTr="00C810AE">
        <w:trPr>
          <w:trHeight w:val="60"/>
        </w:trPr>
        <w:tc>
          <w:tcPr>
            <w:tcW w:w="1672" w:type="dxa"/>
            <w:vMerge w:val="restart"/>
          </w:tcPr>
          <w:p w:rsidR="005A22F8" w:rsidRPr="00EE003F" w:rsidRDefault="005A22F8" w:rsidP="003C1393">
            <w:pPr>
              <w:pStyle w:val="BasicParagraph"/>
              <w:numPr>
                <w:ilvl w:val="0"/>
                <w:numId w:val="38"/>
              </w:numPr>
              <w:suppressAutoHyphens/>
              <w:ind w:left="142" w:right="113" w:hanging="142"/>
              <w:rPr>
                <w:rFonts w:ascii="Arial Narrow" w:hAnsi="Arial Narrow"/>
                <w:color w:val="auto"/>
                <w:sz w:val="20"/>
                <w:szCs w:val="20"/>
              </w:rPr>
            </w:pPr>
            <w:r w:rsidRPr="00EE003F">
              <w:rPr>
                <w:rStyle w:val="negritatablas"/>
                <w:rFonts w:ascii="Arial Narrow" w:hAnsi="Arial Narrow"/>
                <w:color w:val="auto"/>
                <w:sz w:val="20"/>
                <w:szCs w:val="20"/>
              </w:rPr>
              <w:t>Disponer de un nivel suficiente de uso masificado de gas natural, de acceso y uso adecuado del servicio eléctrico</w:t>
            </w:r>
          </w:p>
        </w:tc>
        <w:tc>
          <w:tcPr>
            <w:tcW w:w="6018" w:type="dxa"/>
          </w:tcPr>
          <w:p w:rsidR="005A22F8" w:rsidRPr="00EE003F" w:rsidRDefault="005A22F8" w:rsidP="007C6A1E">
            <w:pPr>
              <w:pStyle w:val="BasicParagraph"/>
              <w:numPr>
                <w:ilvl w:val="0"/>
                <w:numId w:val="83"/>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Ampliar la cobertura del servicio mediante instalación, ampliación o mejoramiento de redes primarias y secundarias en aquellas zonas rurales factibles de conectar al SEIN. </w:t>
            </w:r>
          </w:p>
        </w:tc>
      </w:tr>
      <w:tr w:rsidR="005A22F8" w:rsidRPr="00EE003F" w:rsidTr="00C810AE">
        <w:trPr>
          <w:trHeight w:val="60"/>
        </w:trPr>
        <w:tc>
          <w:tcPr>
            <w:tcW w:w="1672" w:type="dxa"/>
            <w:vMerge/>
          </w:tcPr>
          <w:p w:rsidR="005A22F8" w:rsidRPr="00EE003F" w:rsidRDefault="005A22F8"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5A22F8" w:rsidRPr="00EE003F" w:rsidRDefault="005A22F8" w:rsidP="007C6A1E">
            <w:pPr>
              <w:pStyle w:val="BasicParagraph"/>
              <w:numPr>
                <w:ilvl w:val="0"/>
                <w:numId w:val="83"/>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Ejecutar proyectos de generación local y distribución de electricidad procedente de fuentes eólicas, hidroeléctricas y/o fotovoltaicas para la población rural, aislada y de frontera. </w:t>
            </w:r>
          </w:p>
        </w:tc>
      </w:tr>
      <w:tr w:rsidR="005A22F8" w:rsidRPr="00EE003F" w:rsidTr="00C810AE">
        <w:trPr>
          <w:trHeight w:val="60"/>
        </w:trPr>
        <w:tc>
          <w:tcPr>
            <w:tcW w:w="1672" w:type="dxa"/>
            <w:vMerge/>
          </w:tcPr>
          <w:p w:rsidR="005A22F8" w:rsidRPr="00EE003F" w:rsidRDefault="005A22F8"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5A22F8" w:rsidRPr="00EE003F" w:rsidRDefault="005A22F8" w:rsidP="007C6A1E">
            <w:pPr>
              <w:pStyle w:val="BasicParagraph"/>
              <w:numPr>
                <w:ilvl w:val="0"/>
                <w:numId w:val="83"/>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Capacitar a la población en usos eficientes de la energía eléctrica para promover su consumo racional y disminuir las pérdidas de energía eléctrica.</w:t>
            </w:r>
          </w:p>
        </w:tc>
      </w:tr>
      <w:tr w:rsidR="005A22F8" w:rsidRPr="00EE003F" w:rsidTr="00C810AE">
        <w:trPr>
          <w:trHeight w:val="60"/>
        </w:trPr>
        <w:tc>
          <w:tcPr>
            <w:tcW w:w="1672" w:type="dxa"/>
            <w:vMerge/>
          </w:tcPr>
          <w:p w:rsidR="005A22F8" w:rsidRPr="00EE003F" w:rsidRDefault="005A22F8"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5A22F8" w:rsidRPr="00EE003F" w:rsidRDefault="005A22F8" w:rsidP="007C6A1E">
            <w:pPr>
              <w:pStyle w:val="BasicParagraph"/>
              <w:numPr>
                <w:ilvl w:val="0"/>
                <w:numId w:val="83"/>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Adecuar normas para agilizar procesos de inversión, planificación y la gestión de los proyectos de electrificación. </w:t>
            </w:r>
          </w:p>
        </w:tc>
      </w:tr>
      <w:tr w:rsidR="005A22F8" w:rsidRPr="00EE003F" w:rsidTr="00C810AE">
        <w:trPr>
          <w:trHeight w:val="60"/>
        </w:trPr>
        <w:tc>
          <w:tcPr>
            <w:tcW w:w="1672" w:type="dxa"/>
            <w:vMerge/>
          </w:tcPr>
          <w:p w:rsidR="005A22F8" w:rsidRPr="00EE003F" w:rsidRDefault="005A22F8"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5A22F8" w:rsidRPr="00EE003F" w:rsidRDefault="005A22F8" w:rsidP="007C6A1E">
            <w:pPr>
              <w:pStyle w:val="BasicParagraph"/>
              <w:numPr>
                <w:ilvl w:val="0"/>
                <w:numId w:val="83"/>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la masificación del uso de gas natural, residencial y vehicular.</w:t>
            </w:r>
          </w:p>
        </w:tc>
      </w:tr>
      <w:tr w:rsidR="005A22F8" w:rsidRPr="00EE003F" w:rsidTr="00C810AE">
        <w:trPr>
          <w:trHeight w:val="60"/>
        </w:trPr>
        <w:tc>
          <w:tcPr>
            <w:tcW w:w="1672" w:type="dxa"/>
            <w:vMerge/>
          </w:tcPr>
          <w:p w:rsidR="005A22F8" w:rsidRPr="00EE003F" w:rsidRDefault="005A22F8">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5A22F8" w:rsidRPr="00EE003F" w:rsidRDefault="005A22F8" w:rsidP="007C6A1E">
            <w:pPr>
              <w:pStyle w:val="BasicParagraph"/>
              <w:numPr>
                <w:ilvl w:val="0"/>
                <w:numId w:val="83"/>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Distribución de mayor información de los beneficios del uso del gas natural a la población.</w:t>
            </w:r>
          </w:p>
        </w:tc>
      </w:tr>
      <w:tr w:rsidR="005A22F8" w:rsidRPr="00EE003F" w:rsidTr="00C810AE">
        <w:trPr>
          <w:trHeight w:val="60"/>
        </w:trPr>
        <w:tc>
          <w:tcPr>
            <w:tcW w:w="1672" w:type="dxa"/>
            <w:vMerge/>
          </w:tcPr>
          <w:p w:rsidR="005A22F8" w:rsidRPr="00EE003F" w:rsidRDefault="005A22F8">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5A22F8" w:rsidRPr="00EE003F" w:rsidRDefault="005A22F8" w:rsidP="007C6A1E">
            <w:pPr>
              <w:pStyle w:val="BasicParagraph"/>
              <w:numPr>
                <w:ilvl w:val="0"/>
                <w:numId w:val="83"/>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Incrementar los conocimientos de los recursos gasíferos.</w:t>
            </w:r>
          </w:p>
        </w:tc>
      </w:tr>
      <w:tr w:rsidR="005A22F8" w:rsidRPr="00EE003F" w:rsidTr="00C810AE">
        <w:trPr>
          <w:trHeight w:val="60"/>
        </w:trPr>
        <w:tc>
          <w:tcPr>
            <w:tcW w:w="1672" w:type="dxa"/>
            <w:vMerge/>
          </w:tcPr>
          <w:p w:rsidR="005A22F8" w:rsidRPr="00EE003F" w:rsidRDefault="005A22F8">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5A22F8" w:rsidRPr="00EE003F" w:rsidRDefault="005A22F8" w:rsidP="007C6A1E">
            <w:pPr>
              <w:pStyle w:val="BasicParagraph"/>
              <w:numPr>
                <w:ilvl w:val="0"/>
                <w:numId w:val="83"/>
              </w:numPr>
              <w:tabs>
                <w:tab w:val="left" w:pos="171"/>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Perfeccionar los mecanismos de regulación para las actividades monopólicas de los servicios de transporte y distribución del gas.</w:t>
            </w:r>
          </w:p>
        </w:tc>
      </w:tr>
      <w:tr w:rsidR="006E3336" w:rsidRPr="00EE003F" w:rsidTr="001329A0">
        <w:trPr>
          <w:trHeight w:val="713"/>
        </w:trPr>
        <w:tc>
          <w:tcPr>
            <w:tcW w:w="1672" w:type="dxa"/>
            <w:vMerge w:val="restart"/>
          </w:tcPr>
          <w:p w:rsidR="00C810AE" w:rsidRPr="00EE003F" w:rsidRDefault="00C810AE" w:rsidP="003C1393">
            <w:pPr>
              <w:pStyle w:val="BasicParagraph"/>
              <w:numPr>
                <w:ilvl w:val="0"/>
                <w:numId w:val="38"/>
              </w:numPr>
              <w:suppressAutoHyphens/>
              <w:ind w:left="142" w:right="113" w:hanging="142"/>
              <w:rPr>
                <w:rFonts w:ascii="Arial Narrow" w:hAnsi="Arial Narrow"/>
                <w:color w:val="auto"/>
                <w:sz w:val="20"/>
                <w:szCs w:val="20"/>
              </w:rPr>
            </w:pPr>
            <w:r w:rsidRPr="00EE003F">
              <w:rPr>
                <w:rStyle w:val="negritatablas"/>
                <w:rFonts w:ascii="Arial Narrow" w:hAnsi="Arial Narrow"/>
                <w:color w:val="auto"/>
                <w:sz w:val="20"/>
                <w:szCs w:val="20"/>
              </w:rPr>
              <w:t>Ampliar el acceso y calidad de los servicios de telecomunicaciones</w:t>
            </w:r>
          </w:p>
        </w:tc>
        <w:tc>
          <w:tcPr>
            <w:tcW w:w="6018" w:type="dxa"/>
          </w:tcPr>
          <w:p w:rsidR="00C810AE" w:rsidRPr="00EE003F" w:rsidRDefault="00C810AE" w:rsidP="007C6A1E">
            <w:pPr>
              <w:pStyle w:val="BasicParagraph"/>
              <w:numPr>
                <w:ilvl w:val="0"/>
                <w:numId w:val="84"/>
              </w:numPr>
              <w:tabs>
                <w:tab w:val="left" w:pos="313"/>
              </w:tabs>
              <w:suppressAutoHyphens/>
              <w:ind w:left="313" w:hanging="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el despliegue de infraestructura y servicios de telecomunicaciones, mediante la ampliación y promoción de la inversión privada,</w:t>
            </w:r>
            <w:r w:rsidR="008F535C" w:rsidRPr="00EE003F">
              <w:rPr>
                <w:rStyle w:val="cuerpodetextotablas"/>
                <w:rFonts w:ascii="Arial Narrow" w:hAnsi="Arial Narrow"/>
                <w:color w:val="auto"/>
                <w:sz w:val="20"/>
                <w:szCs w:val="20"/>
              </w:rPr>
              <w:t xml:space="preserve"> e inversión pública</w:t>
            </w:r>
            <w:r w:rsidR="00FB60C3" w:rsidRPr="00EE003F">
              <w:rPr>
                <w:rStyle w:val="cuerpodetextotablas"/>
                <w:rFonts w:ascii="Arial Narrow" w:hAnsi="Arial Narrow"/>
                <w:color w:val="auto"/>
                <w:sz w:val="20"/>
                <w:szCs w:val="20"/>
              </w:rPr>
              <w:t>.</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4"/>
              </w:numPr>
              <w:tabs>
                <w:tab w:val="left" w:pos="313"/>
              </w:tabs>
              <w:suppressAutoHyphens/>
              <w:ind w:left="313" w:hanging="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Consolidar el desarrollo de la banda ancha y la red dorsal nacional de fibra óptica alineando los intereses del país, con énfasis en las zonas rurales y los lugares de preferente interés social</w:t>
            </w:r>
            <w:r w:rsidR="00D9276B" w:rsidRPr="00EE003F">
              <w:rPr>
                <w:rStyle w:val="cuerpodetextotablas"/>
                <w:rFonts w:ascii="Arial Narrow" w:hAnsi="Arial Narrow"/>
                <w:color w:val="auto"/>
                <w:sz w:val="20"/>
                <w:szCs w:val="20"/>
              </w:rPr>
              <w:t>, zonas rurales de selva y frontera.</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4"/>
              </w:numPr>
              <w:tabs>
                <w:tab w:val="left" w:pos="313"/>
              </w:tabs>
              <w:suppressAutoHyphens/>
              <w:ind w:left="313" w:hanging="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Fortalecer la labor de las instituciones, para el cumplimiento de las normas y la regulación, así como la transparencia en la toma de decisiones.</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4"/>
              </w:numPr>
              <w:tabs>
                <w:tab w:val="left" w:pos="313"/>
              </w:tabs>
              <w:suppressAutoHyphens/>
              <w:ind w:left="313" w:hanging="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las intervenciones planificadas y coordinadas entre las diferentes instituciones del gobierno central, regional y local en la ejecución de programas y proyectos de inversión para la provisión de servicios de telecomunicaciones.</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4"/>
              </w:numPr>
              <w:tabs>
                <w:tab w:val="left" w:pos="313"/>
              </w:tabs>
              <w:suppressAutoHyphens/>
              <w:ind w:left="313" w:hanging="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Promocionar los beneficios y potencialidades del uso de las TIC en la población, la alfabetización digital  y la generación de contenidos y aplicaciones digitales.</w:t>
            </w:r>
          </w:p>
        </w:tc>
      </w:tr>
      <w:tr w:rsidR="006E3336" w:rsidRPr="00EE003F" w:rsidTr="00C810AE">
        <w:trPr>
          <w:trHeight w:val="60"/>
        </w:trPr>
        <w:tc>
          <w:tcPr>
            <w:tcW w:w="1672" w:type="dxa"/>
            <w:vMerge w:val="restart"/>
          </w:tcPr>
          <w:p w:rsidR="00C810AE" w:rsidRPr="00EE003F" w:rsidRDefault="00C810AE" w:rsidP="003C1393">
            <w:pPr>
              <w:pStyle w:val="BasicParagraph"/>
              <w:numPr>
                <w:ilvl w:val="0"/>
                <w:numId w:val="38"/>
              </w:numPr>
              <w:suppressAutoHyphens/>
              <w:ind w:left="142" w:right="113" w:hanging="142"/>
              <w:rPr>
                <w:rFonts w:ascii="Arial Narrow" w:hAnsi="Arial Narrow"/>
                <w:color w:val="auto"/>
                <w:sz w:val="20"/>
                <w:szCs w:val="20"/>
              </w:rPr>
            </w:pPr>
            <w:r w:rsidRPr="00EE003F">
              <w:rPr>
                <w:rStyle w:val="negritatablas"/>
                <w:rFonts w:ascii="Arial Narrow" w:hAnsi="Arial Narrow"/>
                <w:color w:val="auto"/>
                <w:sz w:val="20"/>
                <w:szCs w:val="20"/>
              </w:rPr>
              <w:t>Mejorar las condiciones de habitabilidad y el acceso a viviendas adecuadas</w:t>
            </w:r>
          </w:p>
        </w:tc>
        <w:tc>
          <w:tcPr>
            <w:tcW w:w="6018" w:type="dxa"/>
          </w:tcPr>
          <w:p w:rsidR="00C810AE" w:rsidRPr="00EE003F" w:rsidRDefault="00C810AE" w:rsidP="007C6A1E">
            <w:pPr>
              <w:pStyle w:val="BasicParagraph"/>
              <w:numPr>
                <w:ilvl w:val="0"/>
                <w:numId w:val="85"/>
              </w:numPr>
              <w:tabs>
                <w:tab w:val="left" w:pos="313"/>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Fomentar mayor inversión e implementar mecanismos de financiamiento para la construcción de viviendas con énfasis en el ámbito urbano-marginal. </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5"/>
              </w:numPr>
              <w:tabs>
                <w:tab w:val="left" w:pos="313"/>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Promover la ocupación racional, ordenada y sostenible del territorio, mediante la consolidación de la formalización predial y el mejoramiento (saneamiento) de áreas para la ocupación urbana. </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5"/>
              </w:numPr>
              <w:tabs>
                <w:tab w:val="left" w:pos="313"/>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Facilitar asistencia técnica a las familias para la autoconstrucción y la mejora de viviendas,  y en la mejora de áreas urbanas deterioradas, con énfasis en zonas vulnerables.</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5"/>
              </w:numPr>
              <w:tabs>
                <w:tab w:val="left" w:pos="313"/>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Atención focalizada para reducir la vulnerabilidad de las viviendas ante desastres y cambios medioambientales (como son el </w:t>
            </w:r>
            <w:proofErr w:type="spellStart"/>
            <w:r w:rsidRPr="00EE003F">
              <w:rPr>
                <w:rStyle w:val="cuerpodetextotablas"/>
                <w:rFonts w:ascii="Arial Narrow" w:hAnsi="Arial Narrow"/>
                <w:color w:val="auto"/>
                <w:sz w:val="20"/>
                <w:szCs w:val="20"/>
              </w:rPr>
              <w:t>friaje</w:t>
            </w:r>
            <w:proofErr w:type="spellEnd"/>
            <w:r w:rsidRPr="00EE003F">
              <w:rPr>
                <w:rStyle w:val="cuerpodetextotablas"/>
                <w:rFonts w:ascii="Arial Narrow" w:hAnsi="Arial Narrow"/>
                <w:color w:val="auto"/>
                <w:sz w:val="20"/>
                <w:szCs w:val="20"/>
              </w:rPr>
              <w:t xml:space="preserve"> y las inundaciones), incorporando procesos de innovación tecnológica de acuerdo al medio y costumbres de la población.</w:t>
            </w:r>
          </w:p>
        </w:tc>
      </w:tr>
      <w:tr w:rsidR="006E3336" w:rsidRPr="00EE003F" w:rsidTr="00C810AE">
        <w:trPr>
          <w:trHeight w:val="60"/>
        </w:trPr>
        <w:tc>
          <w:tcPr>
            <w:tcW w:w="1672" w:type="dxa"/>
            <w:vMerge/>
          </w:tcPr>
          <w:p w:rsidR="00C810AE" w:rsidRPr="00EE003F" w:rsidRDefault="00C810AE" w:rsidP="00631573">
            <w:pPr>
              <w:pStyle w:val="NoParagraphStyle"/>
              <w:numPr>
                <w:ilvl w:val="0"/>
                <w:numId w:val="38"/>
              </w:numPr>
              <w:spacing w:line="240" w:lineRule="auto"/>
              <w:ind w:left="142" w:hanging="142"/>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5"/>
              </w:numPr>
              <w:tabs>
                <w:tab w:val="left" w:pos="313"/>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Fortalecer capacidades y articulación con el ámbito sub nacional, mecanismos de monitoreo y evaluación, para un seguimiento nacional de la calidad en la construcción de viviendas.</w:t>
            </w:r>
          </w:p>
        </w:tc>
      </w:tr>
      <w:tr w:rsidR="006E3336" w:rsidRPr="00EE003F" w:rsidTr="00C810AE">
        <w:trPr>
          <w:trHeight w:val="60"/>
        </w:trPr>
        <w:tc>
          <w:tcPr>
            <w:tcW w:w="1672" w:type="dxa"/>
            <w:vMerge w:val="restart"/>
          </w:tcPr>
          <w:p w:rsidR="00C810AE" w:rsidRPr="00EE003F" w:rsidRDefault="00C810AE" w:rsidP="003C1393">
            <w:pPr>
              <w:pStyle w:val="BasicParagraph"/>
              <w:numPr>
                <w:ilvl w:val="0"/>
                <w:numId w:val="38"/>
              </w:numPr>
              <w:suppressAutoHyphens/>
              <w:ind w:left="142" w:right="113" w:hanging="142"/>
              <w:rPr>
                <w:rFonts w:ascii="Arial Narrow" w:hAnsi="Arial Narrow"/>
                <w:color w:val="auto"/>
                <w:sz w:val="20"/>
                <w:szCs w:val="20"/>
              </w:rPr>
            </w:pPr>
            <w:r w:rsidRPr="00EE003F">
              <w:rPr>
                <w:rStyle w:val="negritatablas"/>
                <w:rFonts w:ascii="Arial Narrow" w:hAnsi="Arial Narrow"/>
                <w:color w:val="auto"/>
                <w:sz w:val="20"/>
                <w:szCs w:val="20"/>
              </w:rPr>
              <w:t>Disponer de servicios de transporte urbano seguros, integrados, de calidad y en armonía con el medio ambiente</w:t>
            </w:r>
          </w:p>
        </w:tc>
        <w:tc>
          <w:tcPr>
            <w:tcW w:w="6018" w:type="dxa"/>
          </w:tcPr>
          <w:p w:rsidR="00C810AE" w:rsidRPr="00EE003F" w:rsidRDefault="00C810AE" w:rsidP="007C6A1E">
            <w:pPr>
              <w:pStyle w:val="BasicParagraph"/>
              <w:numPr>
                <w:ilvl w:val="0"/>
                <w:numId w:val="86"/>
              </w:numPr>
              <w:tabs>
                <w:tab w:val="left" w:pos="313"/>
              </w:tabs>
              <w:suppressAutoHyphens/>
              <w:ind w:left="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Promover la creación de autoridades de transporte para las  grandes ciudades, que coordinen entre organismos del sector, planifiquen, regulen y supervisen el transporte público urbano. </w:t>
            </w:r>
          </w:p>
        </w:tc>
      </w:tr>
      <w:tr w:rsidR="006E3336" w:rsidRPr="00EE003F" w:rsidTr="00C810AE">
        <w:trPr>
          <w:trHeight w:val="60"/>
        </w:trPr>
        <w:tc>
          <w:tcPr>
            <w:tcW w:w="1672" w:type="dxa"/>
            <w:vMerge/>
          </w:tcPr>
          <w:p w:rsidR="00C810AE" w:rsidRPr="00EE003F" w:rsidRDefault="00C810AE" w:rsidP="00C810AE">
            <w:pPr>
              <w:pStyle w:val="NoParagraphStyle"/>
              <w:spacing w:line="240" w:lineRule="auto"/>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6"/>
              </w:numPr>
              <w:tabs>
                <w:tab w:val="left" w:pos="313"/>
              </w:tabs>
              <w:suppressAutoHyphens/>
              <w:ind w:left="313" w:hanging="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la implementación de un plan de reordenamiento del transporte urbano a nivel de grandes ciudades, que contemple los programas de chatarreo, planes de adecuación de consorcios y la elaboración de un plan de infraestructura.</w:t>
            </w:r>
          </w:p>
        </w:tc>
      </w:tr>
      <w:tr w:rsidR="006E3336" w:rsidRPr="00EE003F" w:rsidTr="00C810AE">
        <w:trPr>
          <w:trHeight w:val="60"/>
        </w:trPr>
        <w:tc>
          <w:tcPr>
            <w:tcW w:w="1672" w:type="dxa"/>
            <w:vMerge/>
          </w:tcPr>
          <w:p w:rsidR="00C810AE" w:rsidRPr="00EE003F" w:rsidRDefault="00C810AE" w:rsidP="00C810AE">
            <w:pPr>
              <w:pStyle w:val="NoParagraphStyle"/>
              <w:spacing w:line="240" w:lineRule="auto"/>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6"/>
              </w:numPr>
              <w:tabs>
                <w:tab w:val="left" w:pos="313"/>
              </w:tabs>
              <w:suppressAutoHyphens/>
              <w:ind w:left="313" w:hanging="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Implementar nuevos programas de capacitación y formación vial a conductores y peatones que contemple la nueva reforma del transporte y mejorar el sistema de penalidades de forma que los incentivos generados sean efectivos.</w:t>
            </w:r>
          </w:p>
        </w:tc>
      </w:tr>
      <w:tr w:rsidR="006E3336" w:rsidRPr="00EE003F" w:rsidTr="00C810AE">
        <w:trPr>
          <w:trHeight w:val="60"/>
        </w:trPr>
        <w:tc>
          <w:tcPr>
            <w:tcW w:w="1672" w:type="dxa"/>
            <w:vMerge/>
          </w:tcPr>
          <w:p w:rsidR="00C810AE" w:rsidRPr="00EE003F" w:rsidRDefault="00C810AE" w:rsidP="00C810AE">
            <w:pPr>
              <w:pStyle w:val="NoParagraphStyle"/>
              <w:spacing w:line="240" w:lineRule="auto"/>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6"/>
              </w:numPr>
              <w:tabs>
                <w:tab w:val="left" w:pos="313"/>
              </w:tabs>
              <w:suppressAutoHyphens/>
              <w:ind w:left="313" w:hanging="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la reforma de la normatividad del sector e implementar un nuevo reglamento de transporte público  que elimine los incentivos a la informalidad.</w:t>
            </w:r>
          </w:p>
        </w:tc>
      </w:tr>
      <w:tr w:rsidR="006E3336" w:rsidRPr="00EE003F" w:rsidTr="00C810AE">
        <w:trPr>
          <w:trHeight w:val="60"/>
        </w:trPr>
        <w:tc>
          <w:tcPr>
            <w:tcW w:w="1672" w:type="dxa"/>
            <w:vMerge/>
          </w:tcPr>
          <w:p w:rsidR="00C810AE" w:rsidRPr="00EE003F" w:rsidRDefault="00C810AE" w:rsidP="00C810AE">
            <w:pPr>
              <w:pStyle w:val="NoParagraphStyle"/>
              <w:spacing w:line="240" w:lineRule="auto"/>
              <w:textAlignment w:val="auto"/>
              <w:rPr>
                <w:rFonts w:ascii="Arial Narrow" w:hAnsi="Arial Narrow"/>
                <w:color w:val="auto"/>
                <w:sz w:val="20"/>
                <w:szCs w:val="20"/>
                <w:lang w:val="es-PE"/>
              </w:rPr>
            </w:pPr>
          </w:p>
        </w:tc>
        <w:tc>
          <w:tcPr>
            <w:tcW w:w="6018" w:type="dxa"/>
          </w:tcPr>
          <w:p w:rsidR="00C810AE" w:rsidRPr="00EE003F" w:rsidRDefault="00C810AE" w:rsidP="007C6A1E">
            <w:pPr>
              <w:pStyle w:val="BasicParagraph"/>
              <w:numPr>
                <w:ilvl w:val="0"/>
                <w:numId w:val="86"/>
              </w:numPr>
              <w:tabs>
                <w:tab w:val="left" w:pos="313"/>
              </w:tabs>
              <w:suppressAutoHyphens/>
              <w:ind w:left="313" w:hanging="31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Fortalecer y promover la interconexión de los servicios de transporte y logística asociada, consolidando la construcción del metro de Lima y ampliando los BRT (Bus Rapid </w:t>
            </w:r>
            <w:proofErr w:type="spellStart"/>
            <w:r w:rsidRPr="00EE003F">
              <w:rPr>
                <w:rStyle w:val="cuerpodetextotablas"/>
                <w:rFonts w:ascii="Arial Narrow" w:hAnsi="Arial Narrow"/>
                <w:color w:val="auto"/>
                <w:sz w:val="20"/>
                <w:szCs w:val="20"/>
              </w:rPr>
              <w:t>Transit</w:t>
            </w:r>
            <w:proofErr w:type="spellEnd"/>
            <w:r w:rsidRPr="00EE003F">
              <w:rPr>
                <w:rStyle w:val="cuerpodetextotablas"/>
                <w:rFonts w:ascii="Arial Narrow" w:hAnsi="Arial Narrow"/>
                <w:color w:val="auto"/>
                <w:sz w:val="20"/>
                <w:szCs w:val="20"/>
              </w:rPr>
              <w:t xml:space="preserve">) y corredores complementarios de interconexión. </w:t>
            </w:r>
          </w:p>
        </w:tc>
      </w:tr>
    </w:tbl>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RotisSemiSans-Regular"/>
          <w:sz w:val="24"/>
          <w:szCs w:val="24"/>
        </w:rPr>
      </w:pPr>
    </w:p>
    <w:p w:rsidR="00337D1C" w:rsidRPr="00EE003F" w:rsidRDefault="00337D1C" w:rsidP="00337D1C">
      <w:pPr>
        <w:tabs>
          <w:tab w:val="left" w:pos="1358"/>
        </w:tabs>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337D1C" w:rsidP="00EA63A7">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Al 2021, la meta es que los peruanos cuenten con acceso a servicios de calidad de forma creciente y sostenida, que permitan el desarrollo pleno de sus capacidades, la mejora sustancial de su calidad de vida y el ejercicio de sus derechos, en un contexto de equidad y sostenibilidad.</w:t>
      </w:r>
    </w:p>
    <w:p w:rsidR="000E6064" w:rsidRPr="00EE003F" w:rsidRDefault="000E6064">
      <w:pPr>
        <w:rPr>
          <w:rFonts w:ascii="Arial Narrow" w:hAnsi="Arial Narrow" w:cs="RotisSemiSans-Regular"/>
          <w:b/>
          <w:sz w:val="32"/>
          <w:szCs w:val="32"/>
        </w:rPr>
      </w:pPr>
      <w:r w:rsidRPr="00EE003F">
        <w:rPr>
          <w:rFonts w:ascii="Arial Narrow" w:hAnsi="Arial Narrow" w:cs="RotisSemiSans-Regular"/>
          <w:b/>
          <w:sz w:val="32"/>
          <w:szCs w:val="32"/>
        </w:rPr>
        <w:br w:type="page"/>
      </w:r>
    </w:p>
    <w:p w:rsidR="00337D1C" w:rsidRPr="00EE003F" w:rsidRDefault="00337D1C" w:rsidP="005A786D">
      <w:pPr>
        <w:tabs>
          <w:tab w:val="left" w:pos="1358"/>
        </w:tabs>
        <w:autoSpaceDE w:val="0"/>
        <w:autoSpaceDN w:val="0"/>
        <w:adjustRightInd w:val="0"/>
        <w:spacing w:after="0" w:line="240" w:lineRule="auto"/>
        <w:rPr>
          <w:rFonts w:ascii="Arial Narrow" w:hAnsi="Arial Narrow" w:cs="RotisSemiSans-Regular"/>
          <w:b/>
          <w:sz w:val="32"/>
          <w:szCs w:val="32"/>
        </w:rPr>
      </w:pPr>
      <w:r w:rsidRPr="00EE003F">
        <w:rPr>
          <w:rFonts w:ascii="Arial Narrow" w:hAnsi="Arial Narrow" w:cs="RotisSemiSans-Regular"/>
          <w:b/>
          <w:sz w:val="32"/>
          <w:szCs w:val="32"/>
        </w:rPr>
        <w:t>Indicadores y metas</w:t>
      </w:r>
    </w:p>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RotisSemiSans-Regular"/>
          <w:sz w:val="20"/>
          <w:szCs w:val="24"/>
        </w:rPr>
      </w:pPr>
    </w:p>
    <w:tbl>
      <w:tblPr>
        <w:tblStyle w:val="Tablaconcuadrcula"/>
        <w:tblW w:w="0" w:type="auto"/>
        <w:tblLayout w:type="fixed"/>
        <w:tblLook w:val="0000" w:firstRow="0" w:lastRow="0" w:firstColumn="0" w:lastColumn="0" w:noHBand="0" w:noVBand="0"/>
      </w:tblPr>
      <w:tblGrid>
        <w:gridCol w:w="444"/>
        <w:gridCol w:w="1649"/>
        <w:gridCol w:w="283"/>
        <w:gridCol w:w="1923"/>
        <w:gridCol w:w="860"/>
        <w:gridCol w:w="1136"/>
        <w:gridCol w:w="862"/>
        <w:gridCol w:w="893"/>
      </w:tblGrid>
      <w:tr w:rsidR="006E3336" w:rsidRPr="00EE003F" w:rsidTr="00C810AE">
        <w:trPr>
          <w:trHeight w:val="1111"/>
        </w:trPr>
        <w:tc>
          <w:tcPr>
            <w:tcW w:w="8050" w:type="dxa"/>
            <w:gridSpan w:val="8"/>
          </w:tcPr>
          <w:p w:rsidR="00C810AE" w:rsidRPr="00EE003F" w:rsidRDefault="00C810AE" w:rsidP="00C810AE">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EJE 2 : OPORTUNIDADES Y ACCESO A LOS SERVICIOS</w:t>
            </w:r>
          </w:p>
          <w:p w:rsidR="00C810AE" w:rsidRPr="00EE003F" w:rsidRDefault="00C810AE" w:rsidP="00C810AE">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 xml:space="preserve">OBJETIVO NACIONAL: </w:t>
            </w:r>
          </w:p>
          <w:p w:rsidR="00C810AE" w:rsidRPr="00EE003F" w:rsidRDefault="00C810AE" w:rsidP="00C810AE">
            <w:pPr>
              <w:pStyle w:val="BasicParagraph"/>
              <w:suppressAutoHyphens/>
              <w:ind w:left="170"/>
              <w:rPr>
                <w:rFonts w:ascii="Arial Narrow" w:hAnsi="Arial Narrow"/>
                <w:color w:val="auto"/>
              </w:rPr>
            </w:pPr>
            <w:r w:rsidRPr="00EE003F">
              <w:rPr>
                <w:rStyle w:val="negritatablas"/>
                <w:rFonts w:ascii="Arial Narrow" w:hAnsi="Arial Narrow"/>
                <w:color w:val="auto"/>
              </w:rPr>
              <w:t>“Garantizar el acceso a servicios de calidad que permitan el desarrollo pleno de las capacidades y derechos de la población, en condiciones equitativas y sostenibles”</w:t>
            </w:r>
          </w:p>
        </w:tc>
      </w:tr>
      <w:tr w:rsidR="006E3336" w:rsidRPr="00EE003F" w:rsidTr="00C810AE">
        <w:trPr>
          <w:trHeight w:val="60"/>
        </w:trPr>
        <w:tc>
          <w:tcPr>
            <w:tcW w:w="4299" w:type="dxa"/>
            <w:gridSpan w:val="4"/>
          </w:tcPr>
          <w:p w:rsidR="00C810AE" w:rsidRPr="00EE003F" w:rsidRDefault="00C810AE" w:rsidP="00C810AE">
            <w:pPr>
              <w:pStyle w:val="BasicParagraph"/>
              <w:suppressAutoHyphens/>
              <w:rPr>
                <w:rFonts w:ascii="Arial Narrow" w:hAnsi="Arial Narrow"/>
                <w:color w:val="auto"/>
              </w:rPr>
            </w:pPr>
            <w:r w:rsidRPr="00EE003F">
              <w:rPr>
                <w:rStyle w:val="negritatablas"/>
                <w:rFonts w:ascii="Arial Narrow" w:hAnsi="Arial Narrow"/>
                <w:color w:val="auto"/>
              </w:rPr>
              <w:t>Indicador líder</w:t>
            </w:r>
          </w:p>
        </w:tc>
        <w:tc>
          <w:tcPr>
            <w:tcW w:w="860" w:type="dxa"/>
          </w:tcPr>
          <w:p w:rsidR="00C810AE" w:rsidRPr="00EE003F" w:rsidRDefault="00C810AE"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1136" w:type="dxa"/>
          </w:tcPr>
          <w:p w:rsidR="00C810AE" w:rsidRPr="00EE003F" w:rsidRDefault="00C810AE" w:rsidP="00C810AE">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w:t>
            </w:r>
          </w:p>
          <w:p w:rsidR="00C810AE" w:rsidRPr="00EE003F" w:rsidRDefault="00C810AE" w:rsidP="00652FBF">
            <w:pPr>
              <w:pStyle w:val="BasicParagraph"/>
              <w:suppressAutoHyphens/>
              <w:jc w:val="center"/>
              <w:rPr>
                <w:rFonts w:ascii="Arial Narrow" w:hAnsi="Arial Narrow"/>
                <w:color w:val="auto"/>
              </w:rPr>
            </w:pPr>
            <w:r w:rsidRPr="00EE003F">
              <w:rPr>
                <w:rStyle w:val="negritatablas"/>
                <w:rFonts w:ascii="Arial Narrow" w:hAnsi="Arial Narrow"/>
                <w:color w:val="auto"/>
              </w:rPr>
              <w:t>201</w:t>
            </w:r>
            <w:r w:rsidR="00652FBF" w:rsidRPr="00EE003F">
              <w:rPr>
                <w:rStyle w:val="negritatablas"/>
                <w:rFonts w:ascii="Arial Narrow" w:hAnsi="Arial Narrow"/>
                <w:color w:val="auto"/>
              </w:rPr>
              <w:t>3</w:t>
            </w:r>
          </w:p>
        </w:tc>
        <w:tc>
          <w:tcPr>
            <w:tcW w:w="862" w:type="dxa"/>
          </w:tcPr>
          <w:p w:rsidR="00C810AE" w:rsidRPr="00EE003F" w:rsidRDefault="00C810AE"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893" w:type="dxa"/>
          </w:tcPr>
          <w:p w:rsidR="00C810AE" w:rsidRPr="00EE003F" w:rsidRDefault="00C810AE"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C810AE">
        <w:trPr>
          <w:trHeight w:val="60"/>
        </w:trPr>
        <w:tc>
          <w:tcPr>
            <w:tcW w:w="4299" w:type="dxa"/>
            <w:gridSpan w:val="4"/>
          </w:tcPr>
          <w:p w:rsidR="00C810AE" w:rsidRPr="00EE003F" w:rsidRDefault="00C810AE" w:rsidP="00C810AE">
            <w:pPr>
              <w:pStyle w:val="BasicParagraph"/>
              <w:suppressAutoHyphens/>
              <w:rPr>
                <w:rFonts w:ascii="Arial Narrow" w:hAnsi="Arial Narrow"/>
                <w:color w:val="auto"/>
              </w:rPr>
            </w:pPr>
            <w:r w:rsidRPr="00EE003F">
              <w:rPr>
                <w:rStyle w:val="cuerpodetextotablas"/>
                <w:rFonts w:ascii="Arial Narrow" w:hAnsi="Arial Narrow"/>
                <w:color w:val="auto"/>
              </w:rPr>
              <w:t>Índice de pobreza multidimensional</w:t>
            </w:r>
          </w:p>
        </w:tc>
        <w:tc>
          <w:tcPr>
            <w:tcW w:w="860" w:type="dxa"/>
          </w:tcPr>
          <w:p w:rsidR="00C810AE" w:rsidRPr="00EE003F" w:rsidRDefault="00C810AE"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PNUD</w:t>
            </w:r>
          </w:p>
        </w:tc>
        <w:tc>
          <w:tcPr>
            <w:tcW w:w="1136" w:type="dxa"/>
          </w:tcPr>
          <w:p w:rsidR="00C810AE" w:rsidRPr="00EE003F" w:rsidRDefault="00C810AE"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0.043</w:t>
            </w:r>
          </w:p>
        </w:tc>
        <w:tc>
          <w:tcPr>
            <w:tcW w:w="862" w:type="dxa"/>
          </w:tcPr>
          <w:p w:rsidR="00C810AE" w:rsidRPr="00EE003F" w:rsidRDefault="00C810AE"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 xml:space="preserve"> 0.040</w:t>
            </w:r>
          </w:p>
        </w:tc>
        <w:tc>
          <w:tcPr>
            <w:tcW w:w="893" w:type="dxa"/>
          </w:tcPr>
          <w:p w:rsidR="00C810AE" w:rsidRPr="00EE003F" w:rsidRDefault="00C810AE" w:rsidP="0016767E">
            <w:pPr>
              <w:pStyle w:val="BasicParagraph"/>
              <w:suppressAutoHyphens/>
              <w:jc w:val="center"/>
              <w:rPr>
                <w:rFonts w:ascii="Arial Narrow" w:hAnsi="Arial Narrow"/>
                <w:color w:val="auto"/>
              </w:rPr>
            </w:pPr>
            <w:r w:rsidRPr="00EE003F">
              <w:rPr>
                <w:rStyle w:val="cuerpodetextotablas"/>
                <w:rFonts w:ascii="Arial Narrow" w:hAnsi="Arial Narrow"/>
                <w:color w:val="auto"/>
              </w:rPr>
              <w:t>0.</w:t>
            </w:r>
            <w:r w:rsidR="00F127FC" w:rsidRPr="00EE003F">
              <w:rPr>
                <w:rStyle w:val="cuerpodetextotablas"/>
                <w:rFonts w:ascii="Arial Narrow" w:hAnsi="Arial Narrow"/>
                <w:color w:val="auto"/>
              </w:rPr>
              <w:t>014</w:t>
            </w:r>
          </w:p>
        </w:tc>
      </w:tr>
      <w:tr w:rsidR="006E3336" w:rsidRPr="00EE003F" w:rsidTr="00F441B8">
        <w:trPr>
          <w:trHeight w:val="60"/>
        </w:trPr>
        <w:tc>
          <w:tcPr>
            <w:tcW w:w="2093" w:type="dxa"/>
            <w:gridSpan w:val="2"/>
            <w:vMerge w:val="restart"/>
          </w:tcPr>
          <w:p w:rsidR="00C810AE" w:rsidRPr="00EE003F" w:rsidRDefault="00C810AE" w:rsidP="00C810AE">
            <w:pPr>
              <w:pStyle w:val="BasicParagraph"/>
              <w:suppressAutoHyphens/>
              <w:rPr>
                <w:rFonts w:ascii="Arial Narrow" w:hAnsi="Arial Narrow"/>
                <w:color w:val="auto"/>
              </w:rPr>
            </w:pPr>
            <w:r w:rsidRPr="00EE003F">
              <w:rPr>
                <w:rStyle w:val="negritatablas"/>
                <w:rFonts w:ascii="Arial Narrow" w:hAnsi="Arial Narrow"/>
                <w:color w:val="auto"/>
              </w:rPr>
              <w:t>Objetivos Específicos</w:t>
            </w:r>
          </w:p>
        </w:tc>
        <w:tc>
          <w:tcPr>
            <w:tcW w:w="5957" w:type="dxa"/>
            <w:gridSpan w:val="6"/>
          </w:tcPr>
          <w:p w:rsidR="00C810AE" w:rsidRPr="00EE003F" w:rsidRDefault="00C810AE" w:rsidP="00C810AE">
            <w:pPr>
              <w:pStyle w:val="BasicParagraph"/>
              <w:suppressAutoHyphens/>
              <w:rPr>
                <w:rFonts w:ascii="Arial Narrow" w:hAnsi="Arial Narrow"/>
                <w:color w:val="auto"/>
              </w:rPr>
            </w:pPr>
            <w:r w:rsidRPr="00EE003F">
              <w:rPr>
                <w:rStyle w:val="negritatablas"/>
                <w:rFonts w:ascii="Arial Narrow" w:hAnsi="Arial Narrow"/>
                <w:color w:val="auto"/>
              </w:rPr>
              <w:t>Indicadores y metas</w:t>
            </w:r>
          </w:p>
        </w:tc>
      </w:tr>
      <w:tr w:rsidR="006E3336" w:rsidRPr="00EE003F" w:rsidTr="00F441B8">
        <w:trPr>
          <w:trHeight w:val="60"/>
        </w:trPr>
        <w:tc>
          <w:tcPr>
            <w:tcW w:w="2093" w:type="dxa"/>
            <w:gridSpan w:val="2"/>
            <w:vMerge/>
          </w:tcPr>
          <w:p w:rsidR="00C810AE" w:rsidRPr="00EE003F" w:rsidRDefault="00C810AE" w:rsidP="00C810AE">
            <w:pPr>
              <w:pStyle w:val="NoParagraphStyle"/>
              <w:spacing w:line="240" w:lineRule="auto"/>
              <w:textAlignment w:val="auto"/>
              <w:rPr>
                <w:rFonts w:ascii="Arial Narrow" w:hAnsi="Arial Narrow"/>
                <w:color w:val="auto"/>
                <w:lang w:val="es-PE"/>
              </w:rPr>
            </w:pPr>
          </w:p>
        </w:tc>
        <w:tc>
          <w:tcPr>
            <w:tcW w:w="283" w:type="dxa"/>
          </w:tcPr>
          <w:p w:rsidR="00C810AE" w:rsidRPr="00EE003F" w:rsidRDefault="00C810AE" w:rsidP="00F441B8">
            <w:pPr>
              <w:pStyle w:val="BasicParagraph"/>
              <w:suppressAutoHyphens/>
              <w:ind w:hanging="108"/>
              <w:jc w:val="center"/>
              <w:rPr>
                <w:rStyle w:val="cuerpodetextotablas"/>
                <w:rFonts w:ascii="Arial Narrow" w:hAnsi="Arial Narrow"/>
                <w:sz w:val="14"/>
              </w:rPr>
            </w:pPr>
            <w:r w:rsidRPr="00EE003F">
              <w:rPr>
                <w:rStyle w:val="cuerpodetextotablas"/>
                <w:rFonts w:ascii="Arial Narrow" w:hAnsi="Arial Narrow"/>
                <w:b/>
                <w:bCs/>
                <w:sz w:val="14"/>
              </w:rPr>
              <w:t>N.°</w:t>
            </w:r>
          </w:p>
        </w:tc>
        <w:tc>
          <w:tcPr>
            <w:tcW w:w="1923" w:type="dxa"/>
          </w:tcPr>
          <w:p w:rsidR="00C810AE" w:rsidRPr="00EE003F" w:rsidRDefault="00C810AE"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Indicadores</w:t>
            </w:r>
          </w:p>
        </w:tc>
        <w:tc>
          <w:tcPr>
            <w:tcW w:w="860" w:type="dxa"/>
          </w:tcPr>
          <w:p w:rsidR="00C810AE" w:rsidRPr="00EE003F" w:rsidRDefault="00C810AE"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1136" w:type="dxa"/>
          </w:tcPr>
          <w:p w:rsidR="00C810AE" w:rsidRPr="00EE003F" w:rsidRDefault="00C810AE" w:rsidP="00C810AE">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w:t>
            </w:r>
          </w:p>
          <w:p w:rsidR="00C810AE" w:rsidRPr="00EE003F" w:rsidRDefault="00C810AE"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2014</w:t>
            </w:r>
          </w:p>
        </w:tc>
        <w:tc>
          <w:tcPr>
            <w:tcW w:w="862" w:type="dxa"/>
          </w:tcPr>
          <w:p w:rsidR="00C810AE" w:rsidRPr="00EE003F" w:rsidRDefault="00C810AE"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893" w:type="dxa"/>
          </w:tcPr>
          <w:p w:rsidR="00C810AE" w:rsidRPr="00EE003F" w:rsidRDefault="00C810AE" w:rsidP="00C810AE">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F441B8">
        <w:trPr>
          <w:trHeight w:val="60"/>
        </w:trPr>
        <w:tc>
          <w:tcPr>
            <w:tcW w:w="444" w:type="dxa"/>
            <w:vMerge w:val="restart"/>
          </w:tcPr>
          <w:p w:rsidR="00010C30" w:rsidRPr="00EE003F" w:rsidRDefault="005F54A4" w:rsidP="00C810AE">
            <w:pPr>
              <w:pStyle w:val="NoParagraphStyle"/>
              <w:spacing w:line="240" w:lineRule="auto"/>
              <w:textAlignment w:val="auto"/>
              <w:rPr>
                <w:rFonts w:ascii="Arial Narrow" w:hAnsi="Arial Narrow"/>
                <w:color w:val="auto"/>
                <w:lang w:val="es-PE"/>
              </w:rPr>
            </w:pPr>
            <w:r w:rsidRPr="00EE003F">
              <w:rPr>
                <w:rFonts w:ascii="Arial Narrow" w:hAnsi="Arial Narrow"/>
                <w:color w:val="auto"/>
                <w:lang w:val="es-PE"/>
              </w:rPr>
              <w:t>1</w:t>
            </w:r>
          </w:p>
        </w:tc>
        <w:tc>
          <w:tcPr>
            <w:tcW w:w="1649" w:type="dxa"/>
            <w:vMerge w:val="restart"/>
          </w:tcPr>
          <w:p w:rsidR="00010C30" w:rsidRPr="00EE003F" w:rsidRDefault="005F54A4" w:rsidP="00C810AE">
            <w:pPr>
              <w:pStyle w:val="NoParagraphStyle"/>
              <w:spacing w:line="240" w:lineRule="auto"/>
              <w:textAlignment w:val="auto"/>
              <w:rPr>
                <w:rFonts w:ascii="Arial Narrow" w:hAnsi="Arial Narrow"/>
                <w:color w:val="auto"/>
                <w:lang w:val="es-PE"/>
              </w:rPr>
            </w:pPr>
            <w:r w:rsidRPr="00EE003F">
              <w:rPr>
                <w:rFonts w:ascii="Arial Narrow" w:hAnsi="Arial Narrow" w:cs="Arial"/>
                <w:bCs/>
                <w:color w:val="auto"/>
                <w:sz w:val="18"/>
                <w:szCs w:val="18"/>
              </w:rPr>
              <w:t xml:space="preserve">Incrementar los niveles calidad con equidad de la educación básica y asegurar las condiciones necesarias para una educación superior de calidad. </w:t>
            </w:r>
          </w:p>
        </w:tc>
        <w:tc>
          <w:tcPr>
            <w:tcW w:w="283" w:type="dxa"/>
          </w:tcPr>
          <w:p w:rsidR="00010C30" w:rsidRPr="00EE003F" w:rsidRDefault="00FA059B" w:rsidP="00F441B8">
            <w:pPr>
              <w:pStyle w:val="BasicParagraph"/>
              <w:suppressAutoHyphens/>
              <w:ind w:hanging="108"/>
              <w:jc w:val="center"/>
              <w:rPr>
                <w:rStyle w:val="cuerpodetextotablas"/>
                <w:rFonts w:ascii="Arial Narrow" w:hAnsi="Arial Narrow"/>
                <w:color w:val="auto"/>
                <w:sz w:val="14"/>
              </w:rPr>
            </w:pPr>
            <w:r w:rsidRPr="00EE003F">
              <w:rPr>
                <w:rStyle w:val="cuerpodetextotablas"/>
                <w:rFonts w:ascii="Arial Narrow" w:hAnsi="Arial Narrow"/>
                <w:color w:val="auto"/>
                <w:sz w:val="14"/>
              </w:rPr>
              <w:t>1</w:t>
            </w:r>
          </w:p>
        </w:tc>
        <w:tc>
          <w:tcPr>
            <w:tcW w:w="1923" w:type="dxa"/>
          </w:tcPr>
          <w:p w:rsidR="00010C30" w:rsidRPr="00EE003F" w:rsidRDefault="00010C30" w:rsidP="00A011B1">
            <w:pPr>
              <w:pStyle w:val="BasicParagraph"/>
              <w:suppressAutoHyphens/>
              <w:ind w:right="57"/>
              <w:rPr>
                <w:rStyle w:val="cuerpodetextotablas"/>
                <w:rFonts w:ascii="Arial Narrow" w:hAnsi="Arial Narrow"/>
                <w:color w:val="auto"/>
              </w:rPr>
            </w:pPr>
            <w:r w:rsidRPr="00EE003F">
              <w:rPr>
                <w:rStyle w:val="cuerpodetextotablas"/>
                <w:rFonts w:ascii="Arial Narrow" w:hAnsi="Arial Narrow"/>
                <w:color w:val="auto"/>
              </w:rPr>
              <w:t xml:space="preserve">Tasa neta de matrícula </w:t>
            </w:r>
            <w:r w:rsidR="00A011B1" w:rsidRPr="00EE003F">
              <w:rPr>
                <w:rStyle w:val="cuerpodetextotablas"/>
                <w:rFonts w:ascii="Arial Narrow" w:hAnsi="Arial Narrow"/>
                <w:color w:val="auto"/>
              </w:rPr>
              <w:t xml:space="preserve">en educación inicial </w:t>
            </w:r>
            <w:r w:rsidRPr="00EE003F">
              <w:rPr>
                <w:rStyle w:val="cuerpodetextotablas"/>
                <w:rFonts w:ascii="Arial Narrow" w:hAnsi="Arial Narrow"/>
                <w:color w:val="auto"/>
              </w:rPr>
              <w:t xml:space="preserve"> </w:t>
            </w:r>
            <w:r w:rsidR="00A011B1" w:rsidRPr="00EE003F">
              <w:rPr>
                <w:rStyle w:val="cuerpodetextotablas"/>
                <w:rFonts w:ascii="Arial Narrow" w:hAnsi="Arial Narrow"/>
                <w:color w:val="auto"/>
              </w:rPr>
              <w:t xml:space="preserve">(edades de </w:t>
            </w:r>
            <w:r w:rsidRPr="00EE003F">
              <w:rPr>
                <w:rStyle w:val="cuerpodetextotablas"/>
                <w:rFonts w:ascii="Arial Narrow" w:hAnsi="Arial Narrow"/>
                <w:color w:val="auto"/>
              </w:rPr>
              <w:t>3 a 5 años</w:t>
            </w:r>
            <w:r w:rsidR="00A011B1" w:rsidRPr="00EE003F">
              <w:rPr>
                <w:rStyle w:val="cuerpodetextotablas"/>
                <w:rFonts w:ascii="Arial Narrow" w:hAnsi="Arial Narrow"/>
                <w:color w:val="auto"/>
              </w:rPr>
              <w:t>)</w:t>
            </w:r>
            <w:r w:rsidRPr="00EE003F">
              <w:rPr>
                <w:rStyle w:val="cuerpodetextotablas"/>
                <w:rFonts w:ascii="Arial Narrow" w:hAnsi="Arial Narrow"/>
                <w:color w:val="auto"/>
              </w:rPr>
              <w:t xml:space="preserve"> </w:t>
            </w:r>
          </w:p>
        </w:tc>
        <w:tc>
          <w:tcPr>
            <w:tcW w:w="860" w:type="dxa"/>
          </w:tcPr>
          <w:p w:rsidR="00010C30" w:rsidRPr="00EE003F" w:rsidRDefault="00010C30"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INEI -</w:t>
            </w:r>
            <w:r w:rsidRPr="00EE003F">
              <w:rPr>
                <w:rStyle w:val="cuerpodetextotablas"/>
                <w:rFonts w:ascii="Arial Narrow" w:hAnsi="Arial Narrow"/>
                <w:color w:val="auto"/>
              </w:rPr>
              <w:br/>
            </w:r>
            <w:proofErr w:type="spellStart"/>
            <w:r w:rsidRPr="00EE003F">
              <w:rPr>
                <w:rStyle w:val="cuerpodetextotablas"/>
                <w:rFonts w:ascii="Arial Narrow" w:hAnsi="Arial Narrow"/>
                <w:color w:val="auto"/>
              </w:rPr>
              <w:t>Enaho</w:t>
            </w:r>
            <w:proofErr w:type="spellEnd"/>
          </w:p>
        </w:tc>
        <w:tc>
          <w:tcPr>
            <w:tcW w:w="1136" w:type="dxa"/>
          </w:tcPr>
          <w:p w:rsidR="00010C30" w:rsidRPr="00EE003F" w:rsidRDefault="00A011B1"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81.5</w:t>
            </w:r>
            <w:r w:rsidR="00010C30" w:rsidRPr="00EE003F">
              <w:rPr>
                <w:rStyle w:val="cuerpodetextotablas"/>
                <w:rFonts w:ascii="Arial Narrow" w:hAnsi="Arial Narrow"/>
                <w:color w:val="auto"/>
              </w:rPr>
              <w:t>%</w:t>
            </w:r>
          </w:p>
          <w:p w:rsidR="00010C30" w:rsidRPr="00EE003F" w:rsidRDefault="00010C30" w:rsidP="00A011B1">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w:t>
            </w:r>
            <w:r w:rsidR="00A011B1" w:rsidRPr="00EE003F">
              <w:rPr>
                <w:rStyle w:val="cuerpodetextotablas"/>
                <w:rFonts w:ascii="Arial Narrow" w:hAnsi="Arial Narrow"/>
                <w:color w:val="auto"/>
              </w:rPr>
              <w:t>2014</w:t>
            </w:r>
            <w:r w:rsidRPr="00EE003F">
              <w:rPr>
                <w:rStyle w:val="cuerpodetextotablas"/>
                <w:rFonts w:ascii="Arial Narrow" w:hAnsi="Arial Narrow"/>
                <w:color w:val="auto"/>
              </w:rPr>
              <w:t>)</w:t>
            </w:r>
          </w:p>
        </w:tc>
        <w:tc>
          <w:tcPr>
            <w:tcW w:w="862" w:type="dxa"/>
          </w:tcPr>
          <w:p w:rsidR="00010C30" w:rsidRPr="00EE003F" w:rsidRDefault="001A66D2" w:rsidP="00A011B1">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85</w:t>
            </w:r>
            <w:r w:rsidR="00010C30" w:rsidRPr="00EE003F">
              <w:rPr>
                <w:rStyle w:val="cuerpodetextotablas"/>
                <w:rFonts w:ascii="Arial Narrow" w:hAnsi="Arial Narrow"/>
                <w:color w:val="auto"/>
              </w:rPr>
              <w:t>%</w:t>
            </w:r>
          </w:p>
        </w:tc>
        <w:tc>
          <w:tcPr>
            <w:tcW w:w="893" w:type="dxa"/>
          </w:tcPr>
          <w:p w:rsidR="00010C30" w:rsidRPr="00EE003F" w:rsidRDefault="00E8415B" w:rsidP="001A66D2">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9</w:t>
            </w:r>
            <w:r w:rsidR="001A66D2" w:rsidRPr="00EE003F">
              <w:rPr>
                <w:rStyle w:val="cuerpodetextotablas"/>
                <w:rFonts w:ascii="Arial Narrow" w:hAnsi="Arial Narrow"/>
                <w:color w:val="auto"/>
              </w:rPr>
              <w:t>7</w:t>
            </w:r>
            <w:r w:rsidR="00010C30" w:rsidRPr="00EE003F">
              <w:rPr>
                <w:rStyle w:val="cuerpodetextotablas"/>
                <w:rFonts w:ascii="Arial Narrow" w:hAnsi="Arial Narrow"/>
                <w:color w:val="auto"/>
              </w:rPr>
              <w:t>%</w:t>
            </w:r>
          </w:p>
        </w:tc>
      </w:tr>
      <w:tr w:rsidR="006E3336" w:rsidRPr="00EE003F" w:rsidTr="00F441B8">
        <w:trPr>
          <w:trHeight w:val="60"/>
        </w:trPr>
        <w:tc>
          <w:tcPr>
            <w:tcW w:w="444" w:type="dxa"/>
            <w:vMerge/>
          </w:tcPr>
          <w:p w:rsidR="00635B1E" w:rsidRPr="00EE003F" w:rsidRDefault="00635B1E" w:rsidP="00C810AE">
            <w:pPr>
              <w:pStyle w:val="NoParagraphStyle"/>
              <w:spacing w:line="240" w:lineRule="auto"/>
              <w:textAlignment w:val="auto"/>
              <w:rPr>
                <w:rFonts w:ascii="Arial Narrow" w:hAnsi="Arial Narrow"/>
                <w:color w:val="auto"/>
                <w:lang w:val="es-PE"/>
              </w:rPr>
            </w:pPr>
          </w:p>
        </w:tc>
        <w:tc>
          <w:tcPr>
            <w:tcW w:w="1649" w:type="dxa"/>
            <w:vMerge/>
          </w:tcPr>
          <w:p w:rsidR="00635B1E" w:rsidRPr="00EE003F" w:rsidRDefault="00635B1E" w:rsidP="00C810AE">
            <w:pPr>
              <w:pStyle w:val="NoParagraphStyle"/>
              <w:spacing w:line="240" w:lineRule="auto"/>
              <w:textAlignment w:val="auto"/>
              <w:rPr>
                <w:rFonts w:ascii="Arial Narrow" w:hAnsi="Arial Narrow"/>
                <w:color w:val="auto"/>
                <w:lang w:val="es-PE"/>
              </w:rPr>
            </w:pPr>
          </w:p>
        </w:tc>
        <w:tc>
          <w:tcPr>
            <w:tcW w:w="283" w:type="dxa"/>
          </w:tcPr>
          <w:p w:rsidR="00635B1E" w:rsidRPr="00EE003F" w:rsidRDefault="00FA059B" w:rsidP="00F441B8">
            <w:pPr>
              <w:pStyle w:val="BasicParagraph"/>
              <w:suppressAutoHyphens/>
              <w:ind w:hanging="108"/>
              <w:jc w:val="center"/>
              <w:rPr>
                <w:rStyle w:val="cuerpodetextotablas"/>
                <w:rFonts w:ascii="Arial Narrow" w:hAnsi="Arial Narrow"/>
                <w:color w:val="auto"/>
                <w:sz w:val="14"/>
              </w:rPr>
            </w:pPr>
            <w:r w:rsidRPr="00EE003F">
              <w:rPr>
                <w:rStyle w:val="cuerpodetextotablas"/>
                <w:rFonts w:ascii="Arial Narrow" w:hAnsi="Arial Narrow"/>
                <w:color w:val="auto"/>
                <w:sz w:val="14"/>
              </w:rPr>
              <w:t>2</w:t>
            </w:r>
          </w:p>
        </w:tc>
        <w:tc>
          <w:tcPr>
            <w:tcW w:w="1923" w:type="dxa"/>
          </w:tcPr>
          <w:p w:rsidR="00635B1E" w:rsidRPr="00EE003F" w:rsidRDefault="00635B1E" w:rsidP="00C810AE">
            <w:pPr>
              <w:pStyle w:val="BasicParagraph"/>
              <w:suppressAutoHyphens/>
              <w:ind w:right="57"/>
              <w:rPr>
                <w:rStyle w:val="cuerpodetextotablas"/>
                <w:rFonts w:ascii="Arial Narrow" w:hAnsi="Arial Narrow"/>
                <w:color w:val="auto"/>
              </w:rPr>
            </w:pPr>
            <w:r w:rsidRPr="00EE003F">
              <w:rPr>
                <w:rStyle w:val="cuerpodetextotablas"/>
                <w:rFonts w:ascii="Arial Narrow" w:hAnsi="Arial Narrow"/>
                <w:color w:val="auto"/>
              </w:rPr>
              <w:t>Porcentaje de estudiantes en el nivel satisfactorio de comprensión lectora</w:t>
            </w:r>
            <w:r w:rsidR="005B309F" w:rsidRPr="00EE003F">
              <w:rPr>
                <w:rStyle w:val="cuerpodetextotablas"/>
                <w:rFonts w:ascii="Arial Narrow" w:hAnsi="Arial Narrow"/>
                <w:color w:val="auto"/>
              </w:rPr>
              <w:t xml:space="preserve"> (ECE)</w:t>
            </w:r>
          </w:p>
        </w:tc>
        <w:tc>
          <w:tcPr>
            <w:tcW w:w="860" w:type="dxa"/>
          </w:tcPr>
          <w:p w:rsidR="00635B1E" w:rsidRPr="00EE003F" w:rsidRDefault="00635B1E"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ESCALE- MINEDU</w:t>
            </w:r>
          </w:p>
        </w:tc>
        <w:tc>
          <w:tcPr>
            <w:tcW w:w="1136" w:type="dxa"/>
          </w:tcPr>
          <w:p w:rsidR="00635B1E" w:rsidRPr="00EE003F" w:rsidRDefault="00CD1FC6" w:rsidP="00C810AE">
            <w:pPr>
              <w:pStyle w:val="BasicParagraph"/>
              <w:suppressAutoHyphens/>
              <w:jc w:val="center"/>
              <w:rPr>
                <w:rFonts w:ascii="Arial Narrow" w:eastAsia="Times New Roman" w:hAnsi="Arial Narrow" w:cs="Arial"/>
                <w:color w:val="auto"/>
                <w:sz w:val="16"/>
                <w:szCs w:val="16"/>
                <w:lang w:eastAsia="es-PE"/>
              </w:rPr>
            </w:pPr>
            <w:r w:rsidRPr="00EE003F">
              <w:rPr>
                <w:rFonts w:ascii="Arial Narrow" w:eastAsia="Times New Roman" w:hAnsi="Arial Narrow" w:cs="Arial"/>
                <w:color w:val="auto"/>
                <w:sz w:val="16"/>
                <w:szCs w:val="16"/>
                <w:lang w:eastAsia="es-PE"/>
              </w:rPr>
              <w:t>50</w:t>
            </w:r>
          </w:p>
          <w:p w:rsidR="005B309F" w:rsidRPr="00EE003F" w:rsidRDefault="005B309F" w:rsidP="00C810AE">
            <w:pPr>
              <w:pStyle w:val="BasicParagraph"/>
              <w:suppressAutoHyphens/>
              <w:jc w:val="center"/>
              <w:rPr>
                <w:rStyle w:val="cuerpodetextotablas"/>
                <w:rFonts w:ascii="Arial Narrow" w:hAnsi="Arial Narrow"/>
                <w:color w:val="auto"/>
              </w:rPr>
            </w:pPr>
            <w:r w:rsidRPr="00EE003F">
              <w:rPr>
                <w:rFonts w:ascii="Arial Narrow" w:eastAsia="Times New Roman" w:hAnsi="Arial Narrow" w:cs="Arial"/>
                <w:color w:val="auto"/>
                <w:sz w:val="16"/>
                <w:szCs w:val="16"/>
                <w:lang w:eastAsia="es-PE"/>
              </w:rPr>
              <w:t>(2015)</w:t>
            </w:r>
          </w:p>
        </w:tc>
        <w:tc>
          <w:tcPr>
            <w:tcW w:w="862" w:type="dxa"/>
          </w:tcPr>
          <w:p w:rsidR="00635B1E" w:rsidRPr="00EE003F" w:rsidRDefault="00A011B1" w:rsidP="00B349FA">
            <w:pPr>
              <w:pStyle w:val="BasicParagraph"/>
              <w:suppressAutoHyphens/>
              <w:jc w:val="center"/>
              <w:rPr>
                <w:rStyle w:val="cuerpodetextotablas"/>
                <w:rFonts w:ascii="Arial Narrow" w:hAnsi="Arial Narrow"/>
                <w:color w:val="auto"/>
              </w:rPr>
            </w:pPr>
            <w:r w:rsidRPr="00EE003F">
              <w:rPr>
                <w:rFonts w:ascii="Arial Narrow" w:eastAsia="Times New Roman" w:hAnsi="Arial Narrow" w:cs="Arial"/>
                <w:color w:val="auto"/>
                <w:sz w:val="16"/>
                <w:szCs w:val="16"/>
                <w:lang w:eastAsia="es-PE"/>
              </w:rPr>
              <w:t>5</w:t>
            </w:r>
            <w:r w:rsidR="00CD1FC6" w:rsidRPr="00EE003F">
              <w:rPr>
                <w:rFonts w:ascii="Arial Narrow" w:eastAsia="Times New Roman" w:hAnsi="Arial Narrow" w:cs="Arial"/>
                <w:color w:val="auto"/>
                <w:sz w:val="16"/>
                <w:szCs w:val="16"/>
                <w:lang w:eastAsia="es-PE"/>
              </w:rPr>
              <w:t>4</w:t>
            </w:r>
          </w:p>
        </w:tc>
        <w:tc>
          <w:tcPr>
            <w:tcW w:w="893" w:type="dxa"/>
          </w:tcPr>
          <w:p w:rsidR="00635B1E" w:rsidRPr="00EE003F" w:rsidRDefault="00CD1FC6" w:rsidP="00B349FA">
            <w:pPr>
              <w:pStyle w:val="BasicParagraph"/>
              <w:suppressAutoHyphens/>
              <w:jc w:val="center"/>
              <w:rPr>
                <w:rStyle w:val="cuerpodetextotablas"/>
                <w:rFonts w:ascii="Arial Narrow" w:hAnsi="Arial Narrow"/>
                <w:color w:val="auto"/>
              </w:rPr>
            </w:pPr>
            <w:r w:rsidRPr="00EE003F">
              <w:rPr>
                <w:rFonts w:ascii="Arial Narrow" w:eastAsia="Times New Roman" w:hAnsi="Arial Narrow" w:cs="Arial"/>
                <w:color w:val="auto"/>
                <w:sz w:val="16"/>
                <w:szCs w:val="16"/>
                <w:lang w:eastAsia="es-PE"/>
              </w:rPr>
              <w:t>6</w:t>
            </w:r>
            <w:r w:rsidR="00B349FA" w:rsidRPr="00EE003F">
              <w:rPr>
                <w:rFonts w:ascii="Arial Narrow" w:eastAsia="Times New Roman" w:hAnsi="Arial Narrow" w:cs="Arial"/>
                <w:color w:val="auto"/>
                <w:sz w:val="16"/>
                <w:szCs w:val="16"/>
                <w:lang w:eastAsia="es-PE"/>
              </w:rPr>
              <w:t>9</w:t>
            </w:r>
          </w:p>
        </w:tc>
      </w:tr>
      <w:tr w:rsidR="006E3336" w:rsidRPr="00EE003F" w:rsidTr="00F441B8">
        <w:trPr>
          <w:trHeight w:val="60"/>
        </w:trPr>
        <w:tc>
          <w:tcPr>
            <w:tcW w:w="444" w:type="dxa"/>
            <w:vMerge/>
          </w:tcPr>
          <w:p w:rsidR="00635B1E" w:rsidRPr="00EE003F" w:rsidRDefault="00635B1E" w:rsidP="00C810AE">
            <w:pPr>
              <w:pStyle w:val="NoParagraphStyle"/>
              <w:spacing w:line="240" w:lineRule="auto"/>
              <w:textAlignment w:val="auto"/>
              <w:rPr>
                <w:rFonts w:ascii="Arial Narrow" w:hAnsi="Arial Narrow"/>
                <w:color w:val="auto"/>
                <w:lang w:val="es-PE"/>
              </w:rPr>
            </w:pPr>
          </w:p>
        </w:tc>
        <w:tc>
          <w:tcPr>
            <w:tcW w:w="1649" w:type="dxa"/>
            <w:vMerge/>
          </w:tcPr>
          <w:p w:rsidR="00635B1E" w:rsidRPr="00EE003F" w:rsidRDefault="00635B1E" w:rsidP="00C810AE">
            <w:pPr>
              <w:pStyle w:val="NoParagraphStyle"/>
              <w:spacing w:line="240" w:lineRule="auto"/>
              <w:textAlignment w:val="auto"/>
              <w:rPr>
                <w:rFonts w:ascii="Arial Narrow" w:hAnsi="Arial Narrow"/>
                <w:color w:val="auto"/>
                <w:lang w:val="es-PE"/>
              </w:rPr>
            </w:pPr>
          </w:p>
        </w:tc>
        <w:tc>
          <w:tcPr>
            <w:tcW w:w="283" w:type="dxa"/>
          </w:tcPr>
          <w:p w:rsidR="00635B1E" w:rsidRPr="00EE003F" w:rsidRDefault="00FA059B" w:rsidP="00F441B8">
            <w:pPr>
              <w:pStyle w:val="BasicParagraph"/>
              <w:suppressAutoHyphens/>
              <w:ind w:hanging="108"/>
              <w:jc w:val="center"/>
              <w:rPr>
                <w:rStyle w:val="cuerpodetextotablas"/>
                <w:rFonts w:ascii="Arial Narrow" w:hAnsi="Arial Narrow"/>
                <w:color w:val="auto"/>
                <w:sz w:val="14"/>
              </w:rPr>
            </w:pPr>
            <w:r w:rsidRPr="00EE003F">
              <w:rPr>
                <w:rStyle w:val="cuerpodetextotablas"/>
                <w:rFonts w:ascii="Arial Narrow" w:hAnsi="Arial Narrow"/>
                <w:color w:val="auto"/>
                <w:sz w:val="14"/>
              </w:rPr>
              <w:t>3</w:t>
            </w:r>
          </w:p>
        </w:tc>
        <w:tc>
          <w:tcPr>
            <w:tcW w:w="1923" w:type="dxa"/>
          </w:tcPr>
          <w:p w:rsidR="00635B1E" w:rsidRPr="00EE003F" w:rsidRDefault="00635B1E" w:rsidP="00635B1E">
            <w:pPr>
              <w:pStyle w:val="BasicParagraph"/>
              <w:suppressAutoHyphens/>
              <w:ind w:right="57"/>
              <w:rPr>
                <w:rStyle w:val="cuerpodetextotablas"/>
                <w:rFonts w:ascii="Arial Narrow" w:hAnsi="Arial Narrow"/>
                <w:color w:val="auto"/>
              </w:rPr>
            </w:pPr>
            <w:r w:rsidRPr="00EE003F">
              <w:rPr>
                <w:rStyle w:val="cuerpodetextotablas"/>
                <w:rFonts w:ascii="Arial Narrow" w:hAnsi="Arial Narrow"/>
                <w:color w:val="auto"/>
              </w:rPr>
              <w:t>Porcentaje de estudiantes en el nivel satisfactorio en matemática</w:t>
            </w:r>
            <w:r w:rsidR="005B309F" w:rsidRPr="00EE003F">
              <w:rPr>
                <w:rStyle w:val="cuerpodetextotablas"/>
                <w:rFonts w:ascii="Arial Narrow" w:hAnsi="Arial Narrow"/>
                <w:color w:val="auto"/>
              </w:rPr>
              <w:t xml:space="preserve"> (ECE)</w:t>
            </w:r>
          </w:p>
        </w:tc>
        <w:tc>
          <w:tcPr>
            <w:tcW w:w="860" w:type="dxa"/>
          </w:tcPr>
          <w:p w:rsidR="00635B1E" w:rsidRPr="00EE003F" w:rsidRDefault="00635B1E"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ESCALE- MINEDU</w:t>
            </w:r>
          </w:p>
        </w:tc>
        <w:tc>
          <w:tcPr>
            <w:tcW w:w="1136" w:type="dxa"/>
          </w:tcPr>
          <w:p w:rsidR="00635B1E" w:rsidRPr="00EE003F" w:rsidRDefault="00CD1FC6" w:rsidP="00C810AE">
            <w:pPr>
              <w:pStyle w:val="BasicParagraph"/>
              <w:suppressAutoHyphens/>
              <w:jc w:val="center"/>
              <w:rPr>
                <w:rFonts w:ascii="Arial Narrow" w:eastAsia="Times New Roman" w:hAnsi="Arial Narrow" w:cs="Arial"/>
                <w:color w:val="auto"/>
                <w:sz w:val="16"/>
                <w:szCs w:val="16"/>
                <w:lang w:eastAsia="es-PE"/>
              </w:rPr>
            </w:pPr>
            <w:r w:rsidRPr="00EE003F">
              <w:rPr>
                <w:rFonts w:ascii="Arial Narrow" w:eastAsia="Times New Roman" w:hAnsi="Arial Narrow" w:cs="Arial"/>
                <w:color w:val="auto"/>
                <w:sz w:val="16"/>
                <w:szCs w:val="16"/>
                <w:lang w:eastAsia="es-PE"/>
              </w:rPr>
              <w:t>27</w:t>
            </w:r>
          </w:p>
          <w:p w:rsidR="005B309F" w:rsidRPr="00EE003F" w:rsidRDefault="005B309F" w:rsidP="00C810AE">
            <w:pPr>
              <w:pStyle w:val="BasicParagraph"/>
              <w:suppressAutoHyphens/>
              <w:jc w:val="center"/>
              <w:rPr>
                <w:rStyle w:val="cuerpodetextotablas"/>
                <w:rFonts w:ascii="Arial Narrow" w:hAnsi="Arial Narrow"/>
                <w:color w:val="auto"/>
              </w:rPr>
            </w:pPr>
            <w:r w:rsidRPr="00EE003F">
              <w:rPr>
                <w:rFonts w:ascii="Arial Narrow" w:eastAsia="Times New Roman" w:hAnsi="Arial Narrow" w:cs="Arial"/>
                <w:color w:val="auto"/>
                <w:sz w:val="16"/>
                <w:szCs w:val="16"/>
                <w:lang w:eastAsia="es-PE"/>
              </w:rPr>
              <w:t>(2015)</w:t>
            </w:r>
          </w:p>
        </w:tc>
        <w:tc>
          <w:tcPr>
            <w:tcW w:w="862" w:type="dxa"/>
          </w:tcPr>
          <w:p w:rsidR="00635B1E" w:rsidRPr="00EE003F" w:rsidRDefault="00CD1FC6" w:rsidP="00C810AE">
            <w:pPr>
              <w:pStyle w:val="BasicParagraph"/>
              <w:suppressAutoHyphens/>
              <w:jc w:val="center"/>
              <w:rPr>
                <w:rStyle w:val="cuerpodetextotablas"/>
                <w:rFonts w:ascii="Arial Narrow" w:hAnsi="Arial Narrow"/>
                <w:color w:val="auto"/>
              </w:rPr>
            </w:pPr>
            <w:r w:rsidRPr="00EE003F">
              <w:rPr>
                <w:rFonts w:ascii="Arial Narrow" w:eastAsia="Times New Roman" w:hAnsi="Arial Narrow" w:cs="Arial"/>
                <w:color w:val="auto"/>
                <w:sz w:val="16"/>
                <w:szCs w:val="16"/>
                <w:lang w:eastAsia="es-PE"/>
              </w:rPr>
              <w:t>30</w:t>
            </w:r>
          </w:p>
        </w:tc>
        <w:tc>
          <w:tcPr>
            <w:tcW w:w="893" w:type="dxa"/>
          </w:tcPr>
          <w:p w:rsidR="00635B1E" w:rsidRPr="00EE003F" w:rsidRDefault="005B309F" w:rsidP="00567C33">
            <w:pPr>
              <w:pStyle w:val="BasicParagraph"/>
              <w:suppressAutoHyphens/>
              <w:jc w:val="center"/>
              <w:rPr>
                <w:rStyle w:val="cuerpodetextotablas"/>
                <w:rFonts w:ascii="Arial Narrow" w:hAnsi="Arial Narrow"/>
                <w:color w:val="auto"/>
              </w:rPr>
            </w:pPr>
            <w:r w:rsidRPr="00EE003F">
              <w:rPr>
                <w:rFonts w:ascii="Arial Narrow" w:eastAsia="Times New Roman" w:hAnsi="Arial Narrow" w:cs="Arial"/>
                <w:color w:val="auto"/>
                <w:sz w:val="16"/>
                <w:szCs w:val="16"/>
                <w:lang w:eastAsia="es-PE"/>
              </w:rPr>
              <w:t>43.</w:t>
            </w:r>
          </w:p>
        </w:tc>
      </w:tr>
      <w:tr w:rsidR="006E3336" w:rsidRPr="00EE003F" w:rsidTr="00F441B8">
        <w:trPr>
          <w:trHeight w:val="60"/>
        </w:trPr>
        <w:tc>
          <w:tcPr>
            <w:tcW w:w="444" w:type="dxa"/>
            <w:vMerge/>
          </w:tcPr>
          <w:p w:rsidR="00010C30" w:rsidRPr="00EE003F" w:rsidRDefault="00010C30" w:rsidP="00C810AE">
            <w:pPr>
              <w:pStyle w:val="NoParagraphStyle"/>
              <w:spacing w:line="240" w:lineRule="auto"/>
              <w:textAlignment w:val="auto"/>
              <w:rPr>
                <w:rFonts w:ascii="Arial Narrow" w:hAnsi="Arial Narrow"/>
                <w:color w:val="auto"/>
                <w:lang w:val="es-PE"/>
              </w:rPr>
            </w:pPr>
          </w:p>
        </w:tc>
        <w:tc>
          <w:tcPr>
            <w:tcW w:w="1649" w:type="dxa"/>
            <w:vMerge/>
          </w:tcPr>
          <w:p w:rsidR="00010C30" w:rsidRPr="00EE003F" w:rsidRDefault="00010C30" w:rsidP="00C810AE">
            <w:pPr>
              <w:pStyle w:val="NoParagraphStyle"/>
              <w:spacing w:line="240" w:lineRule="auto"/>
              <w:textAlignment w:val="auto"/>
              <w:rPr>
                <w:rFonts w:ascii="Arial Narrow" w:hAnsi="Arial Narrow"/>
                <w:color w:val="auto"/>
                <w:lang w:val="es-PE"/>
              </w:rPr>
            </w:pPr>
          </w:p>
        </w:tc>
        <w:tc>
          <w:tcPr>
            <w:tcW w:w="283" w:type="dxa"/>
          </w:tcPr>
          <w:p w:rsidR="00010C30" w:rsidRPr="00EE003F" w:rsidRDefault="00FA059B" w:rsidP="00F441B8">
            <w:pPr>
              <w:pStyle w:val="BasicParagraph"/>
              <w:suppressAutoHyphens/>
              <w:ind w:hanging="108"/>
              <w:jc w:val="center"/>
              <w:rPr>
                <w:rStyle w:val="cuerpodetextotablas"/>
                <w:rFonts w:ascii="Arial Narrow" w:hAnsi="Arial Narrow"/>
                <w:sz w:val="14"/>
              </w:rPr>
            </w:pPr>
            <w:r w:rsidRPr="00EE003F">
              <w:rPr>
                <w:rStyle w:val="cuerpodetextotablas"/>
                <w:rFonts w:ascii="Arial Narrow" w:hAnsi="Arial Narrow"/>
                <w:color w:val="auto"/>
                <w:sz w:val="14"/>
              </w:rPr>
              <w:t>4</w:t>
            </w:r>
          </w:p>
        </w:tc>
        <w:tc>
          <w:tcPr>
            <w:tcW w:w="1923" w:type="dxa"/>
          </w:tcPr>
          <w:p w:rsidR="00010C30" w:rsidRPr="00EE003F" w:rsidRDefault="00010C30" w:rsidP="00C810AE">
            <w:pPr>
              <w:pStyle w:val="BasicParagraph"/>
              <w:suppressAutoHyphens/>
              <w:ind w:right="57"/>
              <w:rPr>
                <w:rFonts w:ascii="Arial Narrow" w:hAnsi="Arial Narrow"/>
                <w:color w:val="auto"/>
              </w:rPr>
            </w:pPr>
            <w:r w:rsidRPr="00EE003F">
              <w:rPr>
                <w:rStyle w:val="cuerpodetextotablas"/>
                <w:rFonts w:ascii="Arial Narrow" w:hAnsi="Arial Narrow"/>
                <w:color w:val="auto"/>
              </w:rPr>
              <w:t xml:space="preserve">Puntuación media del país en la prueba PISA </w:t>
            </w:r>
          </w:p>
        </w:tc>
        <w:tc>
          <w:tcPr>
            <w:tcW w:w="860" w:type="dxa"/>
          </w:tcPr>
          <w:p w:rsidR="00010C30" w:rsidRPr="00EE003F" w:rsidRDefault="00010C30"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 xml:space="preserve">OCDE/ </w:t>
            </w:r>
            <w:proofErr w:type="spellStart"/>
            <w:r w:rsidRPr="00EE003F">
              <w:rPr>
                <w:rStyle w:val="cuerpodetextotablas"/>
                <w:rFonts w:ascii="Arial Narrow" w:hAnsi="Arial Narrow"/>
                <w:color w:val="auto"/>
              </w:rPr>
              <w:t>Minedu</w:t>
            </w:r>
            <w:proofErr w:type="spellEnd"/>
          </w:p>
        </w:tc>
        <w:tc>
          <w:tcPr>
            <w:tcW w:w="1136" w:type="dxa"/>
          </w:tcPr>
          <w:p w:rsidR="00010C30" w:rsidRPr="00EE003F" w:rsidRDefault="00010C30"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375,1</w:t>
            </w:r>
          </w:p>
          <w:p w:rsidR="007674D0" w:rsidRPr="00EE003F" w:rsidRDefault="007674D0"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Nivel 1</w:t>
            </w:r>
          </w:p>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 xml:space="preserve">(2012)               </w:t>
            </w:r>
          </w:p>
        </w:tc>
        <w:tc>
          <w:tcPr>
            <w:tcW w:w="862"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Nivel 2</w:t>
            </w:r>
          </w:p>
        </w:tc>
        <w:tc>
          <w:tcPr>
            <w:tcW w:w="893"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Nivel 3</w:t>
            </w:r>
          </w:p>
        </w:tc>
      </w:tr>
      <w:tr w:rsidR="006E3336" w:rsidRPr="00EE003F" w:rsidTr="00F441B8">
        <w:trPr>
          <w:trHeight w:val="510"/>
        </w:trPr>
        <w:tc>
          <w:tcPr>
            <w:tcW w:w="444" w:type="dxa"/>
            <w:vMerge w:val="restart"/>
          </w:tcPr>
          <w:p w:rsidR="00010C30" w:rsidRPr="00EE003F" w:rsidRDefault="00010C30" w:rsidP="00C810AE">
            <w:pPr>
              <w:pStyle w:val="BasicParagraph"/>
              <w:suppressAutoHyphens/>
              <w:rPr>
                <w:rFonts w:ascii="Arial Narrow" w:hAnsi="Arial Narrow"/>
                <w:color w:val="auto"/>
              </w:rPr>
            </w:pPr>
            <w:r w:rsidRPr="00EE003F">
              <w:rPr>
                <w:rStyle w:val="negritatablas"/>
                <w:rFonts w:ascii="Arial Narrow" w:hAnsi="Arial Narrow"/>
                <w:color w:val="auto"/>
              </w:rPr>
              <w:t>2</w:t>
            </w:r>
          </w:p>
        </w:tc>
        <w:tc>
          <w:tcPr>
            <w:tcW w:w="1649" w:type="dxa"/>
            <w:vMerge w:val="restart"/>
          </w:tcPr>
          <w:p w:rsidR="00010C30" w:rsidRPr="00EE003F" w:rsidRDefault="00010C30" w:rsidP="00C810AE">
            <w:pPr>
              <w:pStyle w:val="BasicParagraph"/>
              <w:suppressAutoHyphens/>
              <w:ind w:left="57" w:right="57"/>
              <w:rPr>
                <w:rFonts w:ascii="Arial Narrow" w:hAnsi="Arial Narrow"/>
                <w:color w:val="auto"/>
              </w:rPr>
            </w:pPr>
            <w:r w:rsidRPr="00EE003F">
              <w:rPr>
                <w:rStyle w:val="cuerpodetextotablas"/>
                <w:rFonts w:ascii="Arial Narrow" w:hAnsi="Arial Narrow"/>
                <w:color w:val="auto"/>
              </w:rPr>
              <w:t>Mejorar la provisión y calidad de las prestaciones de carácter preventivo, promocional, recuperativo y de rehabilitación de la salud</w:t>
            </w:r>
          </w:p>
        </w:tc>
        <w:tc>
          <w:tcPr>
            <w:tcW w:w="283" w:type="dxa"/>
          </w:tcPr>
          <w:p w:rsidR="00010C30" w:rsidRPr="00EE003F" w:rsidRDefault="00FA059B" w:rsidP="00F441B8">
            <w:pPr>
              <w:pStyle w:val="BasicParagraph"/>
              <w:suppressAutoHyphens/>
              <w:ind w:hanging="108"/>
              <w:jc w:val="center"/>
              <w:rPr>
                <w:rStyle w:val="cuerpodetextotablas"/>
                <w:rFonts w:ascii="Arial Narrow" w:hAnsi="Arial Narrow"/>
                <w:sz w:val="14"/>
              </w:rPr>
            </w:pPr>
            <w:r w:rsidRPr="00EE003F">
              <w:rPr>
                <w:rStyle w:val="cuerpodetextotablas"/>
                <w:rFonts w:ascii="Arial Narrow" w:hAnsi="Arial Narrow"/>
                <w:color w:val="auto"/>
                <w:sz w:val="14"/>
              </w:rPr>
              <w:t>5</w:t>
            </w:r>
          </w:p>
        </w:tc>
        <w:tc>
          <w:tcPr>
            <w:tcW w:w="1923" w:type="dxa"/>
          </w:tcPr>
          <w:p w:rsidR="00010C30" w:rsidRPr="00EE003F" w:rsidRDefault="00010C30" w:rsidP="00C810AE">
            <w:pPr>
              <w:pStyle w:val="BasicParagraph"/>
              <w:suppressAutoHyphens/>
              <w:ind w:right="57"/>
              <w:rPr>
                <w:rFonts w:ascii="Arial Narrow" w:hAnsi="Arial Narrow"/>
                <w:color w:val="auto"/>
              </w:rPr>
            </w:pPr>
            <w:r w:rsidRPr="00EE003F">
              <w:rPr>
                <w:rStyle w:val="cuerpodetextotablas"/>
                <w:rFonts w:ascii="Arial Narrow" w:hAnsi="Arial Narrow"/>
                <w:color w:val="auto"/>
              </w:rPr>
              <w:t xml:space="preserve">Porcentaje de la población afiliada a algún seguro de salud </w:t>
            </w:r>
          </w:p>
        </w:tc>
        <w:tc>
          <w:tcPr>
            <w:tcW w:w="860" w:type="dxa"/>
          </w:tcPr>
          <w:p w:rsidR="00010C30" w:rsidRPr="00EE003F" w:rsidRDefault="00010C30"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 xml:space="preserve">INEI - </w:t>
            </w:r>
            <w:proofErr w:type="spellStart"/>
            <w:r w:rsidRPr="00EE003F">
              <w:rPr>
                <w:rStyle w:val="cuerpodetextotablas"/>
                <w:rFonts w:ascii="Arial Narrow" w:hAnsi="Arial Narrow"/>
                <w:color w:val="auto"/>
              </w:rPr>
              <w:t>Enaho</w:t>
            </w:r>
            <w:proofErr w:type="spellEnd"/>
          </w:p>
        </w:tc>
        <w:tc>
          <w:tcPr>
            <w:tcW w:w="1136"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69%</w:t>
            </w:r>
          </w:p>
        </w:tc>
        <w:tc>
          <w:tcPr>
            <w:tcW w:w="862"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8</w:t>
            </w:r>
            <w:r w:rsidR="00704D21" w:rsidRPr="00EE003F">
              <w:rPr>
                <w:rStyle w:val="cuerpodetextotablas"/>
                <w:rFonts w:ascii="Arial Narrow" w:hAnsi="Arial Narrow"/>
                <w:color w:val="auto"/>
              </w:rPr>
              <w:t>2</w:t>
            </w:r>
            <w:r w:rsidRPr="00EE003F">
              <w:rPr>
                <w:rStyle w:val="cuerpodetextotablas"/>
                <w:rFonts w:ascii="Arial Narrow" w:hAnsi="Arial Narrow"/>
                <w:color w:val="auto"/>
              </w:rPr>
              <w:t>%</w:t>
            </w:r>
          </w:p>
        </w:tc>
        <w:tc>
          <w:tcPr>
            <w:tcW w:w="893"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95%</w:t>
            </w:r>
          </w:p>
        </w:tc>
      </w:tr>
      <w:tr w:rsidR="006E3336" w:rsidRPr="00EE003F" w:rsidTr="00F441B8">
        <w:trPr>
          <w:trHeight w:val="736"/>
        </w:trPr>
        <w:tc>
          <w:tcPr>
            <w:tcW w:w="444" w:type="dxa"/>
            <w:vMerge/>
          </w:tcPr>
          <w:p w:rsidR="00010C30" w:rsidRPr="00EE003F" w:rsidRDefault="00010C30" w:rsidP="00C810AE">
            <w:pPr>
              <w:pStyle w:val="NoParagraphStyle"/>
              <w:spacing w:line="240" w:lineRule="auto"/>
              <w:textAlignment w:val="auto"/>
              <w:rPr>
                <w:rFonts w:ascii="Arial Narrow" w:hAnsi="Arial Narrow"/>
                <w:color w:val="auto"/>
                <w:lang w:val="es-PE"/>
              </w:rPr>
            </w:pPr>
          </w:p>
        </w:tc>
        <w:tc>
          <w:tcPr>
            <w:tcW w:w="1649" w:type="dxa"/>
            <w:vMerge/>
          </w:tcPr>
          <w:p w:rsidR="00010C30" w:rsidRPr="00EE003F" w:rsidRDefault="00010C30" w:rsidP="00C810AE">
            <w:pPr>
              <w:pStyle w:val="NoParagraphStyle"/>
              <w:spacing w:line="240" w:lineRule="auto"/>
              <w:textAlignment w:val="auto"/>
              <w:rPr>
                <w:rFonts w:ascii="Arial Narrow" w:hAnsi="Arial Narrow"/>
                <w:color w:val="auto"/>
                <w:lang w:val="es-PE"/>
              </w:rPr>
            </w:pPr>
          </w:p>
        </w:tc>
        <w:tc>
          <w:tcPr>
            <w:tcW w:w="283" w:type="dxa"/>
          </w:tcPr>
          <w:p w:rsidR="00010C30" w:rsidRPr="00EE003F" w:rsidRDefault="00FA059B" w:rsidP="00F441B8">
            <w:pPr>
              <w:pStyle w:val="BasicParagraph"/>
              <w:suppressAutoHyphens/>
              <w:ind w:hanging="108"/>
              <w:jc w:val="center"/>
              <w:rPr>
                <w:rStyle w:val="cuerpodetextotablas"/>
                <w:rFonts w:ascii="Arial Narrow" w:hAnsi="Arial Narrow"/>
                <w:sz w:val="14"/>
              </w:rPr>
            </w:pPr>
            <w:r w:rsidRPr="00EE003F">
              <w:rPr>
                <w:rStyle w:val="cuerpodetextotablas"/>
                <w:rFonts w:ascii="Arial Narrow" w:hAnsi="Arial Narrow"/>
                <w:color w:val="auto"/>
                <w:sz w:val="14"/>
              </w:rPr>
              <w:t>6</w:t>
            </w:r>
          </w:p>
        </w:tc>
        <w:tc>
          <w:tcPr>
            <w:tcW w:w="1923" w:type="dxa"/>
          </w:tcPr>
          <w:p w:rsidR="00010C30" w:rsidRPr="00EE003F" w:rsidRDefault="00010C30" w:rsidP="00620DE3">
            <w:pPr>
              <w:pStyle w:val="BasicParagraph"/>
              <w:suppressAutoHyphens/>
              <w:ind w:right="57"/>
              <w:rPr>
                <w:rFonts w:ascii="Arial Narrow" w:hAnsi="Arial Narrow"/>
                <w:color w:val="auto"/>
              </w:rPr>
            </w:pPr>
            <w:r w:rsidRPr="00EE003F">
              <w:rPr>
                <w:rStyle w:val="cuerpodetextotablas"/>
                <w:rFonts w:ascii="Arial Narrow" w:hAnsi="Arial Narrow"/>
                <w:color w:val="auto"/>
              </w:rPr>
              <w:t xml:space="preserve">Incidencia de tuberculosis (por cada 100 mil habitantes). </w:t>
            </w:r>
          </w:p>
        </w:tc>
        <w:tc>
          <w:tcPr>
            <w:tcW w:w="860" w:type="dxa"/>
          </w:tcPr>
          <w:p w:rsidR="00010C30" w:rsidRPr="00EE003F" w:rsidRDefault="00010C30"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OMS - INEI</w:t>
            </w:r>
          </w:p>
        </w:tc>
        <w:tc>
          <w:tcPr>
            <w:tcW w:w="1136" w:type="dxa"/>
          </w:tcPr>
          <w:p w:rsidR="00010C30" w:rsidRPr="00EE003F" w:rsidRDefault="005A58F3"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87.5</w:t>
            </w:r>
          </w:p>
          <w:p w:rsidR="00010C30" w:rsidRPr="00EE003F" w:rsidRDefault="00010C30" w:rsidP="00620DE3">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w:t>
            </w:r>
            <w:r w:rsidR="00620DE3" w:rsidRPr="00EE003F">
              <w:rPr>
                <w:rStyle w:val="cuerpodetextotablas"/>
                <w:rFonts w:ascii="Arial Narrow" w:hAnsi="Arial Narrow"/>
                <w:color w:val="auto"/>
              </w:rPr>
              <w:t>201</w:t>
            </w:r>
            <w:r w:rsidR="005A58F3" w:rsidRPr="00EE003F">
              <w:rPr>
                <w:rStyle w:val="cuerpodetextotablas"/>
                <w:rFonts w:ascii="Arial Narrow" w:hAnsi="Arial Narrow"/>
                <w:color w:val="auto"/>
              </w:rPr>
              <w:t>5</w:t>
            </w:r>
            <w:r w:rsidRPr="00EE003F">
              <w:rPr>
                <w:rStyle w:val="cuerpodetextotablas"/>
                <w:rFonts w:ascii="Arial Narrow" w:hAnsi="Arial Narrow"/>
                <w:color w:val="auto"/>
              </w:rPr>
              <w:t>)</w:t>
            </w:r>
          </w:p>
        </w:tc>
        <w:tc>
          <w:tcPr>
            <w:tcW w:w="862" w:type="dxa"/>
          </w:tcPr>
          <w:p w:rsidR="00010C30" w:rsidRPr="00EE003F" w:rsidRDefault="00704D21"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8</w:t>
            </w:r>
            <w:r w:rsidR="005A58F3" w:rsidRPr="00EE003F">
              <w:rPr>
                <w:rStyle w:val="cuerpodetextotablas"/>
                <w:rFonts w:ascii="Arial Narrow" w:hAnsi="Arial Narrow"/>
                <w:color w:val="auto"/>
              </w:rPr>
              <w:t>4.3</w:t>
            </w:r>
          </w:p>
        </w:tc>
        <w:tc>
          <w:tcPr>
            <w:tcW w:w="893" w:type="dxa"/>
          </w:tcPr>
          <w:p w:rsidR="00010C30" w:rsidRPr="00EE003F" w:rsidRDefault="00010C30" w:rsidP="00E70030">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69</w:t>
            </w:r>
            <w:r w:rsidR="005A58F3" w:rsidRPr="00EE003F">
              <w:rPr>
                <w:rStyle w:val="cuerpodetextotablas"/>
                <w:rFonts w:ascii="Arial Narrow" w:hAnsi="Arial Narrow"/>
                <w:color w:val="auto"/>
              </w:rPr>
              <w:t>.5</w:t>
            </w:r>
          </w:p>
        </w:tc>
      </w:tr>
      <w:tr w:rsidR="006E3336" w:rsidRPr="00EE003F" w:rsidTr="00F441B8">
        <w:trPr>
          <w:trHeight w:val="767"/>
        </w:trPr>
        <w:tc>
          <w:tcPr>
            <w:tcW w:w="444" w:type="dxa"/>
            <w:vMerge w:val="restart"/>
          </w:tcPr>
          <w:p w:rsidR="00010C30" w:rsidRPr="00EE003F" w:rsidRDefault="00010C30" w:rsidP="00C810AE">
            <w:pPr>
              <w:pStyle w:val="BasicParagraph"/>
              <w:suppressAutoHyphens/>
              <w:rPr>
                <w:rFonts w:ascii="Arial Narrow" w:hAnsi="Arial Narrow"/>
                <w:color w:val="auto"/>
              </w:rPr>
            </w:pPr>
            <w:r w:rsidRPr="00EE003F">
              <w:rPr>
                <w:rStyle w:val="negritatablas"/>
                <w:rFonts w:ascii="Arial Narrow" w:hAnsi="Arial Narrow"/>
                <w:color w:val="auto"/>
              </w:rPr>
              <w:t>3</w:t>
            </w:r>
          </w:p>
        </w:tc>
        <w:tc>
          <w:tcPr>
            <w:tcW w:w="1649" w:type="dxa"/>
            <w:vMerge w:val="restart"/>
          </w:tcPr>
          <w:p w:rsidR="00010C30" w:rsidRPr="00EE003F" w:rsidRDefault="00010C30" w:rsidP="00C810AE">
            <w:pPr>
              <w:pStyle w:val="BasicParagraph"/>
              <w:suppressAutoHyphens/>
              <w:ind w:left="57" w:right="57"/>
              <w:rPr>
                <w:rFonts w:ascii="Arial Narrow" w:hAnsi="Arial Narrow"/>
                <w:color w:val="auto"/>
              </w:rPr>
            </w:pPr>
            <w:r w:rsidRPr="00EE003F">
              <w:rPr>
                <w:rStyle w:val="cuerpodetextotablas"/>
                <w:rFonts w:ascii="Arial Narrow" w:hAnsi="Arial Narrow"/>
                <w:color w:val="auto"/>
              </w:rPr>
              <w:t>Ampliar el acceso de los servicios de agua potable y saneamiento, asegurando su calidad, sostenibilidad y viabilidad</w:t>
            </w:r>
          </w:p>
        </w:tc>
        <w:tc>
          <w:tcPr>
            <w:tcW w:w="283" w:type="dxa"/>
          </w:tcPr>
          <w:p w:rsidR="00010C30" w:rsidRPr="00EE003F" w:rsidRDefault="00010C30" w:rsidP="00F441B8">
            <w:pPr>
              <w:pStyle w:val="BasicParagraph"/>
              <w:suppressAutoHyphens/>
              <w:ind w:hanging="108"/>
              <w:jc w:val="center"/>
              <w:rPr>
                <w:rStyle w:val="cuerpodetextotablas"/>
                <w:rFonts w:ascii="Arial Narrow" w:hAnsi="Arial Narrow"/>
                <w:sz w:val="14"/>
              </w:rPr>
            </w:pPr>
            <w:r w:rsidRPr="00EE003F">
              <w:rPr>
                <w:rStyle w:val="cuerpodetextotablas"/>
                <w:rFonts w:ascii="Arial Narrow" w:hAnsi="Arial Narrow"/>
                <w:color w:val="auto"/>
                <w:sz w:val="14"/>
              </w:rPr>
              <w:t>7</w:t>
            </w:r>
          </w:p>
        </w:tc>
        <w:tc>
          <w:tcPr>
            <w:tcW w:w="1923" w:type="dxa"/>
          </w:tcPr>
          <w:p w:rsidR="00010C30" w:rsidRPr="00EE003F" w:rsidRDefault="00DE6275" w:rsidP="00C810AE">
            <w:pPr>
              <w:pStyle w:val="BasicParagraph"/>
              <w:suppressAutoHyphens/>
              <w:ind w:right="57"/>
              <w:rPr>
                <w:rFonts w:ascii="Arial Narrow" w:hAnsi="Arial Narrow"/>
                <w:color w:val="auto"/>
              </w:rPr>
            </w:pPr>
            <w:r w:rsidRPr="00EE003F">
              <w:rPr>
                <w:rStyle w:val="cuerpodetextotablas"/>
                <w:rFonts w:ascii="Arial Narrow" w:hAnsi="Arial Narrow"/>
                <w:color w:val="auto"/>
              </w:rPr>
              <w:t>Cobertura de acceso al servicio de agua por red publica</w:t>
            </w:r>
            <w:r w:rsidR="00010C30" w:rsidRPr="00EE003F">
              <w:rPr>
                <w:rStyle w:val="cuerpodetextotablas"/>
                <w:rFonts w:ascii="Arial Narrow" w:hAnsi="Arial Narrow"/>
                <w:color w:val="auto"/>
              </w:rPr>
              <w:t xml:space="preserve"> </w:t>
            </w:r>
          </w:p>
        </w:tc>
        <w:tc>
          <w:tcPr>
            <w:tcW w:w="860" w:type="dxa"/>
          </w:tcPr>
          <w:p w:rsidR="00010C30" w:rsidRPr="00EE003F" w:rsidRDefault="00010C30" w:rsidP="00DE6275">
            <w:pPr>
              <w:pStyle w:val="BasicParagraph"/>
              <w:suppressAutoHyphens/>
              <w:jc w:val="center"/>
              <w:rPr>
                <w:rFonts w:ascii="Arial Narrow" w:hAnsi="Arial Narrow"/>
                <w:color w:val="auto"/>
              </w:rPr>
            </w:pPr>
            <w:r w:rsidRPr="00EE003F">
              <w:rPr>
                <w:rStyle w:val="cuerpodetextotablas"/>
                <w:rFonts w:ascii="Arial Narrow" w:hAnsi="Arial Narrow"/>
                <w:color w:val="auto"/>
              </w:rPr>
              <w:t xml:space="preserve">INEI - </w:t>
            </w:r>
            <w:proofErr w:type="spellStart"/>
            <w:r w:rsidRPr="00EE003F">
              <w:rPr>
                <w:rStyle w:val="cuerpodetextotablas"/>
                <w:rFonts w:ascii="Arial Narrow" w:hAnsi="Arial Narrow"/>
                <w:color w:val="auto"/>
              </w:rPr>
              <w:t>En</w:t>
            </w:r>
            <w:r w:rsidR="00DE6275" w:rsidRPr="00EE003F">
              <w:rPr>
                <w:rStyle w:val="cuerpodetextotablas"/>
                <w:rFonts w:ascii="Arial Narrow" w:hAnsi="Arial Narrow"/>
                <w:color w:val="auto"/>
              </w:rPr>
              <w:t>apres</w:t>
            </w:r>
            <w:proofErr w:type="spellEnd"/>
          </w:p>
        </w:tc>
        <w:tc>
          <w:tcPr>
            <w:tcW w:w="1136" w:type="dxa"/>
          </w:tcPr>
          <w:p w:rsidR="00010C30" w:rsidRPr="00EE003F" w:rsidRDefault="00010C30"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8</w:t>
            </w:r>
            <w:r w:rsidR="00DE6275" w:rsidRPr="00EE003F">
              <w:rPr>
                <w:rStyle w:val="cuerpodetextotablas"/>
                <w:rFonts w:ascii="Arial Narrow" w:hAnsi="Arial Narrow"/>
                <w:color w:val="auto"/>
              </w:rPr>
              <w:t>8</w:t>
            </w:r>
            <w:r w:rsidRPr="00EE003F">
              <w:rPr>
                <w:rStyle w:val="cuerpodetextotablas"/>
                <w:rFonts w:ascii="Arial Narrow" w:hAnsi="Arial Narrow"/>
                <w:color w:val="auto"/>
              </w:rPr>
              <w:t>,%</w:t>
            </w:r>
          </w:p>
          <w:p w:rsidR="00DE6275" w:rsidRPr="00EE003F" w:rsidRDefault="00DE6275"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(2015)</w:t>
            </w:r>
          </w:p>
        </w:tc>
        <w:tc>
          <w:tcPr>
            <w:tcW w:w="862" w:type="dxa"/>
          </w:tcPr>
          <w:p w:rsidR="00010C30" w:rsidRPr="00EE003F" w:rsidRDefault="00DE6275" w:rsidP="00DE6275">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88</w:t>
            </w:r>
            <w:r w:rsidR="00010C30" w:rsidRPr="00EE003F">
              <w:rPr>
                <w:rStyle w:val="cuerpodetextotablas"/>
                <w:rFonts w:ascii="Arial Narrow" w:hAnsi="Arial Narrow"/>
                <w:color w:val="auto"/>
              </w:rPr>
              <w:t>,9%</w:t>
            </w:r>
          </w:p>
        </w:tc>
        <w:tc>
          <w:tcPr>
            <w:tcW w:w="893" w:type="dxa"/>
          </w:tcPr>
          <w:p w:rsidR="00010C30" w:rsidRPr="00EE003F" w:rsidRDefault="00DE6275"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93,2</w:t>
            </w:r>
            <w:r w:rsidR="00010C30" w:rsidRPr="00EE003F">
              <w:rPr>
                <w:rStyle w:val="cuerpodetextotablas"/>
                <w:rFonts w:ascii="Arial Narrow" w:hAnsi="Arial Narrow"/>
                <w:color w:val="auto"/>
              </w:rPr>
              <w:t>%</w:t>
            </w:r>
          </w:p>
        </w:tc>
      </w:tr>
      <w:tr w:rsidR="006E3336" w:rsidRPr="00EE003F" w:rsidTr="00F441B8">
        <w:trPr>
          <w:trHeight w:val="812"/>
        </w:trPr>
        <w:tc>
          <w:tcPr>
            <w:tcW w:w="444" w:type="dxa"/>
            <w:vMerge/>
          </w:tcPr>
          <w:p w:rsidR="00010C30" w:rsidRPr="00EE003F" w:rsidRDefault="00010C30" w:rsidP="00C810AE">
            <w:pPr>
              <w:pStyle w:val="NoParagraphStyle"/>
              <w:spacing w:line="240" w:lineRule="auto"/>
              <w:textAlignment w:val="auto"/>
              <w:rPr>
                <w:rFonts w:ascii="Arial Narrow" w:hAnsi="Arial Narrow"/>
                <w:color w:val="auto"/>
                <w:lang w:val="es-PE"/>
              </w:rPr>
            </w:pPr>
          </w:p>
        </w:tc>
        <w:tc>
          <w:tcPr>
            <w:tcW w:w="1649" w:type="dxa"/>
            <w:vMerge/>
          </w:tcPr>
          <w:p w:rsidR="00010C30" w:rsidRPr="00EE003F" w:rsidRDefault="00010C30" w:rsidP="00C810AE">
            <w:pPr>
              <w:pStyle w:val="NoParagraphStyle"/>
              <w:spacing w:line="240" w:lineRule="auto"/>
              <w:textAlignment w:val="auto"/>
              <w:rPr>
                <w:rFonts w:ascii="Arial Narrow" w:hAnsi="Arial Narrow"/>
                <w:color w:val="auto"/>
                <w:lang w:val="es-PE"/>
              </w:rPr>
            </w:pPr>
          </w:p>
        </w:tc>
        <w:tc>
          <w:tcPr>
            <w:tcW w:w="283" w:type="dxa"/>
          </w:tcPr>
          <w:p w:rsidR="00010C30" w:rsidRPr="00EE003F" w:rsidRDefault="00010C30" w:rsidP="00F441B8">
            <w:pPr>
              <w:pStyle w:val="BasicParagraph"/>
              <w:suppressAutoHyphens/>
              <w:ind w:hanging="108"/>
              <w:jc w:val="center"/>
              <w:rPr>
                <w:rStyle w:val="cuerpodetextotablas"/>
                <w:rFonts w:ascii="Arial Narrow" w:hAnsi="Arial Narrow"/>
                <w:sz w:val="14"/>
              </w:rPr>
            </w:pPr>
            <w:r w:rsidRPr="00EE003F">
              <w:rPr>
                <w:rStyle w:val="cuerpodetextotablas"/>
                <w:rFonts w:ascii="Arial Narrow" w:hAnsi="Arial Narrow"/>
                <w:color w:val="auto"/>
                <w:sz w:val="14"/>
              </w:rPr>
              <w:t>8</w:t>
            </w:r>
          </w:p>
        </w:tc>
        <w:tc>
          <w:tcPr>
            <w:tcW w:w="1923" w:type="dxa"/>
          </w:tcPr>
          <w:p w:rsidR="00010C30" w:rsidRPr="00EE003F" w:rsidRDefault="00DE6275" w:rsidP="00C810AE">
            <w:pPr>
              <w:pStyle w:val="BasicParagraph"/>
              <w:suppressAutoHyphens/>
              <w:ind w:right="57"/>
              <w:rPr>
                <w:rFonts w:ascii="Arial Narrow" w:hAnsi="Arial Narrow"/>
                <w:color w:val="auto"/>
              </w:rPr>
            </w:pPr>
            <w:r w:rsidRPr="00EE003F">
              <w:rPr>
                <w:rStyle w:val="cuerpodetextotablas"/>
                <w:rFonts w:ascii="Arial Narrow" w:hAnsi="Arial Narrow"/>
                <w:color w:val="auto"/>
              </w:rPr>
              <w:t>Cobertura de acceso al servicio de saneamiento</w:t>
            </w:r>
          </w:p>
        </w:tc>
        <w:tc>
          <w:tcPr>
            <w:tcW w:w="860" w:type="dxa"/>
          </w:tcPr>
          <w:p w:rsidR="00010C30" w:rsidRPr="00EE003F" w:rsidRDefault="00010C30" w:rsidP="00DE6275">
            <w:pPr>
              <w:pStyle w:val="BasicParagraph"/>
              <w:suppressAutoHyphens/>
              <w:jc w:val="center"/>
              <w:rPr>
                <w:rFonts w:ascii="Arial Narrow" w:hAnsi="Arial Narrow"/>
                <w:color w:val="auto"/>
              </w:rPr>
            </w:pPr>
            <w:r w:rsidRPr="00EE003F">
              <w:rPr>
                <w:rStyle w:val="cuerpodetextotablas"/>
                <w:rFonts w:ascii="Arial Narrow" w:hAnsi="Arial Narrow"/>
                <w:color w:val="auto"/>
              </w:rPr>
              <w:t xml:space="preserve">INEI - </w:t>
            </w:r>
            <w:proofErr w:type="spellStart"/>
            <w:r w:rsidR="00DE6275" w:rsidRPr="00EE003F">
              <w:rPr>
                <w:rStyle w:val="cuerpodetextotablas"/>
                <w:rFonts w:ascii="Arial Narrow" w:hAnsi="Arial Narrow"/>
                <w:color w:val="auto"/>
              </w:rPr>
              <w:t>Enapres</w:t>
            </w:r>
            <w:proofErr w:type="spellEnd"/>
          </w:p>
        </w:tc>
        <w:tc>
          <w:tcPr>
            <w:tcW w:w="1136" w:type="dxa"/>
          </w:tcPr>
          <w:p w:rsidR="00DE6275" w:rsidRPr="00EE003F" w:rsidRDefault="00DE6275"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72</w:t>
            </w:r>
            <w:r w:rsidR="00010C30" w:rsidRPr="00EE003F">
              <w:rPr>
                <w:rStyle w:val="cuerpodetextotablas"/>
                <w:rFonts w:ascii="Arial Narrow" w:hAnsi="Arial Narrow"/>
                <w:color w:val="auto"/>
              </w:rPr>
              <w:t>,</w:t>
            </w:r>
            <w:r w:rsidRPr="00EE003F">
              <w:rPr>
                <w:rStyle w:val="cuerpodetextotablas"/>
                <w:rFonts w:ascii="Arial Narrow" w:hAnsi="Arial Narrow"/>
                <w:color w:val="auto"/>
              </w:rPr>
              <w:t>4</w:t>
            </w:r>
            <w:r w:rsidR="00010C30" w:rsidRPr="00EE003F">
              <w:rPr>
                <w:rStyle w:val="cuerpodetextotablas"/>
                <w:rFonts w:ascii="Arial Narrow" w:hAnsi="Arial Narrow"/>
                <w:color w:val="auto"/>
              </w:rPr>
              <w:t>%</w:t>
            </w:r>
          </w:p>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 xml:space="preserve">  </w:t>
            </w:r>
            <w:r w:rsidR="00DE6275" w:rsidRPr="00EE003F">
              <w:rPr>
                <w:rStyle w:val="cuerpodetextotablas"/>
                <w:rFonts w:ascii="Arial Narrow" w:hAnsi="Arial Narrow"/>
                <w:color w:val="auto"/>
              </w:rPr>
              <w:t>(2015)</w:t>
            </w:r>
          </w:p>
        </w:tc>
        <w:tc>
          <w:tcPr>
            <w:tcW w:w="862" w:type="dxa"/>
          </w:tcPr>
          <w:p w:rsidR="00010C30" w:rsidRPr="00EE003F" w:rsidRDefault="00DE6275"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74,4</w:t>
            </w:r>
            <w:r w:rsidR="00010C30" w:rsidRPr="00EE003F">
              <w:rPr>
                <w:rStyle w:val="cuerpodetextotablas"/>
                <w:rFonts w:ascii="Arial Narrow" w:hAnsi="Arial Narrow"/>
                <w:color w:val="auto"/>
              </w:rPr>
              <w:t>%</w:t>
            </w:r>
          </w:p>
        </w:tc>
        <w:tc>
          <w:tcPr>
            <w:tcW w:w="893" w:type="dxa"/>
          </w:tcPr>
          <w:p w:rsidR="00010C30" w:rsidRPr="00EE003F" w:rsidRDefault="00DE6275"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84,3</w:t>
            </w:r>
            <w:r w:rsidR="00010C30" w:rsidRPr="00EE003F">
              <w:rPr>
                <w:rStyle w:val="cuerpodetextotablas"/>
                <w:rFonts w:ascii="Arial Narrow" w:hAnsi="Arial Narrow"/>
                <w:color w:val="auto"/>
              </w:rPr>
              <w:t>%</w:t>
            </w:r>
          </w:p>
        </w:tc>
      </w:tr>
      <w:tr w:rsidR="006E3336" w:rsidRPr="00EE003F" w:rsidTr="00F441B8">
        <w:trPr>
          <w:trHeight w:val="716"/>
        </w:trPr>
        <w:tc>
          <w:tcPr>
            <w:tcW w:w="444" w:type="dxa"/>
            <w:vMerge w:val="restart"/>
          </w:tcPr>
          <w:p w:rsidR="00010C30" w:rsidRPr="00EE003F" w:rsidRDefault="00010C30" w:rsidP="00C810AE">
            <w:pPr>
              <w:pStyle w:val="BasicParagraph"/>
              <w:suppressAutoHyphens/>
              <w:rPr>
                <w:rFonts w:ascii="Arial Narrow" w:hAnsi="Arial Narrow"/>
                <w:color w:val="auto"/>
              </w:rPr>
            </w:pPr>
            <w:r w:rsidRPr="00EE003F">
              <w:rPr>
                <w:rStyle w:val="negritatablas"/>
                <w:rFonts w:ascii="Arial Narrow" w:hAnsi="Arial Narrow"/>
                <w:color w:val="auto"/>
              </w:rPr>
              <w:t>4</w:t>
            </w:r>
          </w:p>
        </w:tc>
        <w:tc>
          <w:tcPr>
            <w:tcW w:w="1649" w:type="dxa"/>
            <w:vMerge w:val="restart"/>
          </w:tcPr>
          <w:p w:rsidR="00010C30" w:rsidRPr="00EE003F" w:rsidRDefault="00010C30" w:rsidP="00C810AE">
            <w:pPr>
              <w:pStyle w:val="BasicParagraph"/>
              <w:suppressAutoHyphens/>
              <w:ind w:left="57" w:right="57"/>
              <w:rPr>
                <w:rFonts w:ascii="Arial Narrow" w:hAnsi="Arial Narrow"/>
                <w:color w:val="auto"/>
              </w:rPr>
            </w:pPr>
            <w:r w:rsidRPr="00EE003F">
              <w:rPr>
                <w:rStyle w:val="cuerpodetextotablas"/>
                <w:rFonts w:ascii="Arial Narrow" w:hAnsi="Arial Narrow"/>
                <w:color w:val="auto"/>
              </w:rPr>
              <w:t>Disponer de un nivel suficiente de uso masificado de gas natural, de acceso y uso adecuado del servicio eléctrico</w:t>
            </w:r>
          </w:p>
        </w:tc>
        <w:tc>
          <w:tcPr>
            <w:tcW w:w="283" w:type="dxa"/>
          </w:tcPr>
          <w:p w:rsidR="00010C30" w:rsidRPr="00EE003F" w:rsidRDefault="00010C30" w:rsidP="00F441B8">
            <w:pPr>
              <w:pStyle w:val="BasicParagraph"/>
              <w:suppressAutoHyphens/>
              <w:ind w:hanging="108"/>
              <w:jc w:val="center"/>
              <w:rPr>
                <w:rStyle w:val="cuerpodetextotablas"/>
                <w:rFonts w:ascii="Arial Narrow" w:hAnsi="Arial Narrow"/>
                <w:sz w:val="14"/>
              </w:rPr>
            </w:pPr>
            <w:r w:rsidRPr="00EE003F">
              <w:rPr>
                <w:rStyle w:val="cuerpodetextotablas"/>
                <w:rFonts w:ascii="Arial Narrow" w:hAnsi="Arial Narrow"/>
                <w:color w:val="auto"/>
                <w:sz w:val="14"/>
              </w:rPr>
              <w:t>9</w:t>
            </w:r>
          </w:p>
        </w:tc>
        <w:tc>
          <w:tcPr>
            <w:tcW w:w="1923" w:type="dxa"/>
          </w:tcPr>
          <w:p w:rsidR="00010C30" w:rsidRPr="00EE003F" w:rsidRDefault="00010C30" w:rsidP="00C810AE">
            <w:pPr>
              <w:pStyle w:val="BasicParagraph"/>
              <w:suppressAutoHyphens/>
              <w:ind w:right="57"/>
              <w:rPr>
                <w:rFonts w:ascii="Arial Narrow" w:hAnsi="Arial Narrow"/>
                <w:color w:val="auto"/>
              </w:rPr>
            </w:pPr>
            <w:r w:rsidRPr="00EE003F">
              <w:rPr>
                <w:rStyle w:val="cuerpodetextotablas"/>
                <w:rFonts w:ascii="Arial Narrow" w:hAnsi="Arial Narrow"/>
                <w:color w:val="auto"/>
              </w:rPr>
              <w:t>Porcentaje de hogares en viviendas particulares que dispones de alumbrado eléctrico por red pública</w:t>
            </w:r>
          </w:p>
        </w:tc>
        <w:tc>
          <w:tcPr>
            <w:tcW w:w="860" w:type="dxa"/>
          </w:tcPr>
          <w:p w:rsidR="00010C30" w:rsidRPr="00EE003F" w:rsidRDefault="00010C30"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 xml:space="preserve">INEI - </w:t>
            </w:r>
            <w:proofErr w:type="spellStart"/>
            <w:r w:rsidRPr="00EE003F">
              <w:rPr>
                <w:rStyle w:val="cuerpodetextotablas"/>
                <w:rFonts w:ascii="Arial Narrow" w:hAnsi="Arial Narrow"/>
                <w:color w:val="auto"/>
              </w:rPr>
              <w:t>Enaho</w:t>
            </w:r>
            <w:proofErr w:type="spellEnd"/>
          </w:p>
        </w:tc>
        <w:tc>
          <w:tcPr>
            <w:tcW w:w="1136"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92,9%</w:t>
            </w:r>
            <w:r w:rsidRPr="00EE003F">
              <w:rPr>
                <w:rStyle w:val="cuerpodetextotablas"/>
                <w:rFonts w:ascii="Arial Narrow" w:hAnsi="Arial Narrow"/>
                <w:color w:val="auto"/>
              </w:rPr>
              <w:br/>
              <w:t xml:space="preserve">       </w:t>
            </w:r>
          </w:p>
        </w:tc>
        <w:tc>
          <w:tcPr>
            <w:tcW w:w="862"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93,3%</w:t>
            </w:r>
          </w:p>
        </w:tc>
        <w:tc>
          <w:tcPr>
            <w:tcW w:w="893"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98,1%</w:t>
            </w:r>
          </w:p>
        </w:tc>
      </w:tr>
      <w:tr w:rsidR="00743945" w:rsidRPr="00EE003F" w:rsidTr="00631573">
        <w:trPr>
          <w:trHeight w:val="977"/>
        </w:trPr>
        <w:tc>
          <w:tcPr>
            <w:tcW w:w="444" w:type="dxa"/>
            <w:vMerge/>
          </w:tcPr>
          <w:p w:rsidR="00743945" w:rsidRPr="00EE003F" w:rsidRDefault="00743945" w:rsidP="00C810AE">
            <w:pPr>
              <w:pStyle w:val="BasicParagraph"/>
              <w:suppressAutoHyphens/>
              <w:rPr>
                <w:rStyle w:val="negritatablas"/>
                <w:rFonts w:ascii="Arial Narrow" w:hAnsi="Arial Narrow"/>
                <w:color w:val="auto"/>
              </w:rPr>
            </w:pPr>
          </w:p>
        </w:tc>
        <w:tc>
          <w:tcPr>
            <w:tcW w:w="1649" w:type="dxa"/>
            <w:vMerge/>
          </w:tcPr>
          <w:p w:rsidR="00743945" w:rsidRPr="00EE003F" w:rsidRDefault="00743945" w:rsidP="00C810AE">
            <w:pPr>
              <w:pStyle w:val="BasicParagraph"/>
              <w:suppressAutoHyphens/>
              <w:ind w:left="57" w:right="57"/>
              <w:rPr>
                <w:rStyle w:val="cuerpodetextotablas"/>
                <w:rFonts w:ascii="Arial Narrow" w:hAnsi="Arial Narrow"/>
                <w:color w:val="auto"/>
              </w:rPr>
            </w:pPr>
          </w:p>
        </w:tc>
        <w:tc>
          <w:tcPr>
            <w:tcW w:w="283" w:type="dxa"/>
            <w:shd w:val="clear" w:color="auto" w:fill="FFFFFF" w:themeFill="background1"/>
          </w:tcPr>
          <w:p w:rsidR="00743945" w:rsidRPr="00EE003F" w:rsidRDefault="00743945" w:rsidP="00F441B8">
            <w:pPr>
              <w:pStyle w:val="BasicParagraph"/>
              <w:suppressAutoHyphens/>
              <w:ind w:hanging="108"/>
              <w:jc w:val="center"/>
              <w:rPr>
                <w:rStyle w:val="cuerpodetextotablas"/>
                <w:rFonts w:ascii="Arial Narrow" w:hAnsi="Arial Narrow"/>
                <w:color w:val="auto"/>
                <w:sz w:val="14"/>
              </w:rPr>
            </w:pPr>
            <w:r w:rsidRPr="00EE003F">
              <w:rPr>
                <w:rStyle w:val="cuerpodetextotablas"/>
                <w:rFonts w:ascii="Arial Narrow" w:hAnsi="Arial Narrow"/>
                <w:color w:val="auto"/>
                <w:sz w:val="14"/>
              </w:rPr>
              <w:t>10</w:t>
            </w:r>
          </w:p>
        </w:tc>
        <w:tc>
          <w:tcPr>
            <w:tcW w:w="1923" w:type="dxa"/>
            <w:shd w:val="clear" w:color="auto" w:fill="FFFFFF" w:themeFill="background1"/>
          </w:tcPr>
          <w:p w:rsidR="00743945" w:rsidRPr="00EE003F" w:rsidRDefault="00743945" w:rsidP="00C810AE">
            <w:pPr>
              <w:pStyle w:val="BasicParagraph"/>
              <w:suppressAutoHyphens/>
              <w:ind w:right="57"/>
              <w:rPr>
                <w:rStyle w:val="cuerpodetextotablas"/>
                <w:rFonts w:ascii="Arial Narrow" w:hAnsi="Arial Narrow"/>
                <w:color w:val="auto"/>
              </w:rPr>
            </w:pPr>
            <w:r w:rsidRPr="00EE003F">
              <w:rPr>
                <w:rStyle w:val="cuerpodetextotablas"/>
                <w:rFonts w:ascii="Arial Narrow" w:hAnsi="Arial Narrow"/>
                <w:color w:val="auto"/>
                <w:spacing w:val="-2"/>
              </w:rPr>
              <w:t>Porcentaje de hogares que usan combustibles alternativos como insumo para cocinar electricidad y gas)</w:t>
            </w:r>
          </w:p>
        </w:tc>
        <w:tc>
          <w:tcPr>
            <w:tcW w:w="860" w:type="dxa"/>
            <w:shd w:val="clear" w:color="auto" w:fill="FFFFFF" w:themeFill="background1"/>
          </w:tcPr>
          <w:p w:rsidR="00743945" w:rsidRPr="00EE003F" w:rsidRDefault="00743945"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 xml:space="preserve">INEI - </w:t>
            </w:r>
            <w:proofErr w:type="spellStart"/>
            <w:r w:rsidRPr="00EE003F">
              <w:rPr>
                <w:rStyle w:val="cuerpodetextotablas"/>
                <w:rFonts w:ascii="Arial Narrow" w:hAnsi="Arial Narrow"/>
                <w:color w:val="auto"/>
              </w:rPr>
              <w:t>Enaho</w:t>
            </w:r>
            <w:proofErr w:type="spellEnd"/>
          </w:p>
        </w:tc>
        <w:tc>
          <w:tcPr>
            <w:tcW w:w="1136" w:type="dxa"/>
            <w:shd w:val="clear" w:color="auto" w:fill="FFFFFF" w:themeFill="background1"/>
          </w:tcPr>
          <w:p w:rsidR="00743945" w:rsidRPr="00EE003F" w:rsidRDefault="00743945"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34,74%</w:t>
            </w:r>
          </w:p>
        </w:tc>
        <w:tc>
          <w:tcPr>
            <w:tcW w:w="862" w:type="dxa"/>
            <w:shd w:val="clear" w:color="auto" w:fill="FFFFFF" w:themeFill="background1"/>
          </w:tcPr>
          <w:p w:rsidR="00743945" w:rsidRPr="00EE003F" w:rsidRDefault="00743945"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28,19%</w:t>
            </w:r>
          </w:p>
        </w:tc>
        <w:tc>
          <w:tcPr>
            <w:tcW w:w="893" w:type="dxa"/>
            <w:shd w:val="clear" w:color="auto" w:fill="FFFFFF" w:themeFill="background1"/>
          </w:tcPr>
          <w:p w:rsidR="00743945" w:rsidRPr="00EE003F" w:rsidRDefault="00743945"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16,19%</w:t>
            </w:r>
          </w:p>
        </w:tc>
      </w:tr>
      <w:tr w:rsidR="006E3336" w:rsidRPr="00EE003F" w:rsidTr="00F441B8">
        <w:trPr>
          <w:trHeight w:val="716"/>
        </w:trPr>
        <w:tc>
          <w:tcPr>
            <w:tcW w:w="444" w:type="dxa"/>
            <w:vMerge/>
          </w:tcPr>
          <w:p w:rsidR="00010C30" w:rsidRPr="00EE003F" w:rsidRDefault="00010C30" w:rsidP="00C810AE">
            <w:pPr>
              <w:pStyle w:val="NoParagraphStyle"/>
              <w:spacing w:line="240" w:lineRule="auto"/>
              <w:textAlignment w:val="auto"/>
              <w:rPr>
                <w:rFonts w:ascii="Arial Narrow" w:hAnsi="Arial Narrow"/>
                <w:color w:val="auto"/>
                <w:lang w:val="es-PE"/>
              </w:rPr>
            </w:pPr>
          </w:p>
        </w:tc>
        <w:tc>
          <w:tcPr>
            <w:tcW w:w="1649" w:type="dxa"/>
            <w:vMerge/>
          </w:tcPr>
          <w:p w:rsidR="00010C30" w:rsidRPr="00EE003F" w:rsidRDefault="00010C30" w:rsidP="00C810AE">
            <w:pPr>
              <w:pStyle w:val="NoParagraphStyle"/>
              <w:spacing w:line="240" w:lineRule="auto"/>
              <w:textAlignment w:val="auto"/>
              <w:rPr>
                <w:rFonts w:ascii="Arial Narrow" w:hAnsi="Arial Narrow"/>
                <w:color w:val="auto"/>
                <w:lang w:val="es-PE"/>
              </w:rPr>
            </w:pPr>
          </w:p>
        </w:tc>
        <w:tc>
          <w:tcPr>
            <w:tcW w:w="283" w:type="dxa"/>
          </w:tcPr>
          <w:p w:rsidR="00010C30" w:rsidRPr="00EE003F" w:rsidRDefault="00743945" w:rsidP="00F441B8">
            <w:pPr>
              <w:pStyle w:val="BasicParagraph"/>
              <w:suppressAutoHyphens/>
              <w:ind w:hanging="108"/>
              <w:jc w:val="center"/>
              <w:rPr>
                <w:rStyle w:val="cuerpodetextotablas"/>
                <w:rFonts w:ascii="Arial Narrow" w:hAnsi="Arial Narrow"/>
                <w:sz w:val="14"/>
              </w:rPr>
            </w:pPr>
            <w:r w:rsidRPr="00EE003F">
              <w:rPr>
                <w:rStyle w:val="cuerpodetextotablas"/>
                <w:rFonts w:ascii="Arial Narrow" w:hAnsi="Arial Narrow"/>
                <w:color w:val="auto"/>
                <w:sz w:val="14"/>
              </w:rPr>
              <w:t>11</w:t>
            </w:r>
          </w:p>
        </w:tc>
        <w:tc>
          <w:tcPr>
            <w:tcW w:w="1923" w:type="dxa"/>
          </w:tcPr>
          <w:p w:rsidR="00010C30" w:rsidRPr="00EE003F" w:rsidRDefault="00743945" w:rsidP="000B2B7F">
            <w:pPr>
              <w:pStyle w:val="BasicParagraph"/>
              <w:suppressAutoHyphens/>
              <w:ind w:right="57"/>
              <w:rPr>
                <w:rFonts w:ascii="Arial Narrow" w:hAnsi="Arial Narrow"/>
                <w:color w:val="auto"/>
              </w:rPr>
            </w:pPr>
            <w:r w:rsidRPr="00EE003F">
              <w:rPr>
                <w:rStyle w:val="cuerpodetextotablas"/>
                <w:rFonts w:ascii="Arial Narrow" w:hAnsi="Arial Narrow"/>
                <w:color w:val="auto"/>
                <w:spacing w:val="-2"/>
              </w:rPr>
              <w:t>Porcentaje de hogares que están conectados a la red de gas natural*</w:t>
            </w:r>
          </w:p>
        </w:tc>
        <w:tc>
          <w:tcPr>
            <w:tcW w:w="860" w:type="dxa"/>
          </w:tcPr>
          <w:p w:rsidR="00743945" w:rsidRPr="00EE003F" w:rsidRDefault="00743945" w:rsidP="00743945">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DGH (MEM)</w:t>
            </w:r>
          </w:p>
          <w:p w:rsidR="00010C30" w:rsidRPr="00EE003F" w:rsidRDefault="00743945" w:rsidP="00743945">
            <w:pPr>
              <w:pStyle w:val="BasicParagraph"/>
              <w:suppressAutoHyphens/>
              <w:jc w:val="center"/>
              <w:rPr>
                <w:rFonts w:ascii="Arial Narrow" w:hAnsi="Arial Narrow"/>
                <w:color w:val="auto"/>
              </w:rPr>
            </w:pPr>
            <w:r w:rsidRPr="00EE003F">
              <w:rPr>
                <w:rStyle w:val="cuerpodetextotablas"/>
                <w:rFonts w:ascii="Arial Narrow" w:hAnsi="Arial Narrow"/>
                <w:color w:val="auto"/>
              </w:rPr>
              <w:t>-INEI</w:t>
            </w:r>
          </w:p>
        </w:tc>
        <w:tc>
          <w:tcPr>
            <w:tcW w:w="1136" w:type="dxa"/>
          </w:tcPr>
          <w:p w:rsidR="00010C30" w:rsidRPr="00EE003F" w:rsidRDefault="009E4A0B" w:rsidP="00C810AE">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4,51</w:t>
            </w:r>
            <w:r w:rsidR="00641F1F" w:rsidRPr="00EE003F">
              <w:rPr>
                <w:rStyle w:val="cuerpodetextotablas"/>
                <w:rFonts w:ascii="Arial Narrow" w:hAnsi="Arial Narrow"/>
                <w:color w:val="auto"/>
              </w:rPr>
              <w:t>%</w:t>
            </w:r>
          </w:p>
          <w:p w:rsidR="0051014D" w:rsidRPr="00EE003F" w:rsidRDefault="0051014D"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(2015)</w:t>
            </w:r>
          </w:p>
        </w:tc>
        <w:tc>
          <w:tcPr>
            <w:tcW w:w="862" w:type="dxa"/>
          </w:tcPr>
          <w:p w:rsidR="00010C30" w:rsidRPr="00EE003F" w:rsidRDefault="00743945"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5</w:t>
            </w:r>
            <w:r w:rsidR="009E4A0B" w:rsidRPr="00EE003F">
              <w:rPr>
                <w:rStyle w:val="cuerpodetextotablas"/>
                <w:rFonts w:ascii="Arial Narrow" w:hAnsi="Arial Narrow"/>
                <w:color w:val="auto"/>
              </w:rPr>
              <w:t>,4</w:t>
            </w:r>
            <w:r w:rsidRPr="00EE003F">
              <w:rPr>
                <w:rStyle w:val="cuerpodetextotablas"/>
                <w:rFonts w:ascii="Arial Narrow" w:hAnsi="Arial Narrow"/>
                <w:color w:val="auto"/>
              </w:rPr>
              <w:t>%</w:t>
            </w:r>
          </w:p>
        </w:tc>
        <w:tc>
          <w:tcPr>
            <w:tcW w:w="893" w:type="dxa"/>
          </w:tcPr>
          <w:p w:rsidR="00010C30" w:rsidRPr="00EE003F" w:rsidRDefault="00743945"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1</w:t>
            </w:r>
            <w:r w:rsidR="009E4A0B" w:rsidRPr="00EE003F">
              <w:rPr>
                <w:rStyle w:val="cuerpodetextotablas"/>
                <w:rFonts w:ascii="Arial Narrow" w:hAnsi="Arial Narrow"/>
                <w:color w:val="auto"/>
              </w:rPr>
              <w:t>1,51</w:t>
            </w:r>
            <w:r w:rsidRPr="00EE003F">
              <w:rPr>
                <w:rStyle w:val="cuerpodetextotablas"/>
                <w:rFonts w:ascii="Arial Narrow" w:hAnsi="Arial Narrow"/>
                <w:color w:val="auto"/>
              </w:rPr>
              <w:t>%</w:t>
            </w:r>
          </w:p>
        </w:tc>
      </w:tr>
      <w:tr w:rsidR="006E3336" w:rsidRPr="00EE003F" w:rsidTr="00F441B8">
        <w:trPr>
          <w:trHeight w:val="716"/>
        </w:trPr>
        <w:tc>
          <w:tcPr>
            <w:tcW w:w="444" w:type="dxa"/>
          </w:tcPr>
          <w:p w:rsidR="00010C30" w:rsidRPr="00EE003F" w:rsidRDefault="00010C30" w:rsidP="00C810AE">
            <w:pPr>
              <w:pStyle w:val="BasicParagraph"/>
              <w:suppressAutoHyphens/>
              <w:rPr>
                <w:rFonts w:ascii="Arial Narrow" w:hAnsi="Arial Narrow"/>
                <w:color w:val="auto"/>
              </w:rPr>
            </w:pPr>
            <w:r w:rsidRPr="00EE003F">
              <w:rPr>
                <w:rStyle w:val="negritatablas"/>
                <w:rFonts w:ascii="Arial Narrow" w:hAnsi="Arial Narrow"/>
                <w:color w:val="auto"/>
              </w:rPr>
              <w:t>5</w:t>
            </w:r>
          </w:p>
        </w:tc>
        <w:tc>
          <w:tcPr>
            <w:tcW w:w="1649" w:type="dxa"/>
          </w:tcPr>
          <w:p w:rsidR="00010C30" w:rsidRPr="00EE003F" w:rsidRDefault="00010C30" w:rsidP="00C810AE">
            <w:pPr>
              <w:pStyle w:val="BasicParagraph"/>
              <w:suppressAutoHyphens/>
              <w:ind w:left="57" w:right="57"/>
              <w:rPr>
                <w:rFonts w:ascii="Arial Narrow" w:hAnsi="Arial Narrow"/>
                <w:color w:val="auto"/>
              </w:rPr>
            </w:pPr>
            <w:r w:rsidRPr="00EE003F">
              <w:rPr>
                <w:rStyle w:val="cuerpodetextotablas"/>
                <w:rFonts w:ascii="Arial Narrow" w:hAnsi="Arial Narrow"/>
                <w:color w:val="auto"/>
              </w:rPr>
              <w:t>Mejorar las condiciones de habitabilidad y el acceso a viviendas adecuadas</w:t>
            </w:r>
          </w:p>
        </w:tc>
        <w:tc>
          <w:tcPr>
            <w:tcW w:w="283" w:type="dxa"/>
          </w:tcPr>
          <w:p w:rsidR="00010C30" w:rsidRPr="00EE003F" w:rsidRDefault="00743945" w:rsidP="00F441B8">
            <w:pPr>
              <w:pStyle w:val="BasicParagraph"/>
              <w:suppressAutoHyphens/>
              <w:ind w:hanging="108"/>
              <w:jc w:val="center"/>
              <w:rPr>
                <w:rFonts w:ascii="Arial Narrow" w:hAnsi="Arial Narrow"/>
                <w:color w:val="auto"/>
                <w:sz w:val="14"/>
              </w:rPr>
            </w:pPr>
            <w:r w:rsidRPr="00EE003F">
              <w:rPr>
                <w:rStyle w:val="cuerpodetextotablas"/>
                <w:rFonts w:ascii="Arial Narrow" w:hAnsi="Arial Narrow"/>
                <w:color w:val="auto"/>
                <w:sz w:val="14"/>
              </w:rPr>
              <w:t>12</w:t>
            </w:r>
          </w:p>
        </w:tc>
        <w:tc>
          <w:tcPr>
            <w:tcW w:w="1923" w:type="dxa"/>
          </w:tcPr>
          <w:p w:rsidR="00010C30" w:rsidRPr="00EE003F" w:rsidRDefault="00010C30" w:rsidP="003130EB">
            <w:pPr>
              <w:pStyle w:val="BasicParagraph"/>
              <w:suppressAutoHyphens/>
              <w:ind w:right="57"/>
              <w:rPr>
                <w:rFonts w:ascii="Arial Narrow" w:hAnsi="Arial Narrow"/>
                <w:color w:val="auto"/>
              </w:rPr>
            </w:pPr>
            <w:r w:rsidRPr="00EE003F">
              <w:rPr>
                <w:rStyle w:val="cuerpodetextotablas"/>
                <w:rFonts w:ascii="Arial Narrow" w:hAnsi="Arial Narrow"/>
                <w:color w:val="auto"/>
              </w:rPr>
              <w:t>Porcentaje de viviendas fun</w:t>
            </w:r>
            <w:r w:rsidR="003130EB" w:rsidRPr="00EE003F">
              <w:rPr>
                <w:rStyle w:val="cuerpodetextotablas"/>
                <w:rFonts w:ascii="Arial Narrow" w:hAnsi="Arial Narrow"/>
                <w:color w:val="auto"/>
              </w:rPr>
              <w:t>cionales, seguras y saludables</w:t>
            </w:r>
            <w:r w:rsidRPr="00EE003F">
              <w:rPr>
                <w:rStyle w:val="cuerpodetextotablas"/>
                <w:rFonts w:ascii="Arial Narrow" w:hAnsi="Arial Narrow"/>
                <w:color w:val="auto"/>
              </w:rPr>
              <w:t>*</w:t>
            </w:r>
          </w:p>
        </w:tc>
        <w:tc>
          <w:tcPr>
            <w:tcW w:w="860" w:type="dxa"/>
          </w:tcPr>
          <w:p w:rsidR="00010C30" w:rsidRPr="00EE003F" w:rsidRDefault="00010C30" w:rsidP="00C810AE">
            <w:pPr>
              <w:pStyle w:val="BasicParagraph"/>
              <w:suppressAutoHyphens/>
              <w:jc w:val="center"/>
              <w:rPr>
                <w:rFonts w:ascii="Arial Narrow" w:hAnsi="Arial Narrow"/>
                <w:color w:val="auto"/>
              </w:rPr>
            </w:pPr>
            <w:r w:rsidRPr="00EE003F">
              <w:rPr>
                <w:rStyle w:val="cuerpodetextotablas"/>
                <w:rFonts w:ascii="Arial Narrow" w:hAnsi="Arial Narrow"/>
                <w:color w:val="auto"/>
              </w:rPr>
              <w:t>MVCS</w:t>
            </w:r>
          </w:p>
        </w:tc>
        <w:tc>
          <w:tcPr>
            <w:tcW w:w="1136"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 xml:space="preserve">46,5% </w:t>
            </w:r>
            <w:r w:rsidRPr="00EE003F">
              <w:rPr>
                <w:rStyle w:val="cuerpodetextotablas"/>
                <w:rFonts w:ascii="Arial Narrow" w:hAnsi="Arial Narrow"/>
                <w:color w:val="auto"/>
              </w:rPr>
              <w:br/>
              <w:t xml:space="preserve">(2012)                 </w:t>
            </w:r>
          </w:p>
        </w:tc>
        <w:tc>
          <w:tcPr>
            <w:tcW w:w="862"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50%</w:t>
            </w:r>
          </w:p>
        </w:tc>
        <w:tc>
          <w:tcPr>
            <w:tcW w:w="893" w:type="dxa"/>
          </w:tcPr>
          <w:p w:rsidR="00010C30" w:rsidRPr="00EE003F" w:rsidRDefault="00010C30" w:rsidP="00C810AE">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65%</w:t>
            </w:r>
          </w:p>
        </w:tc>
      </w:tr>
    </w:tbl>
    <w:p w:rsidR="00F441B8" w:rsidRPr="00EE003F" w:rsidRDefault="00DF1C5D" w:rsidP="00962397">
      <w:pPr>
        <w:autoSpaceDE w:val="0"/>
        <w:autoSpaceDN w:val="0"/>
        <w:adjustRightInd w:val="0"/>
        <w:spacing w:before="113" w:after="0" w:line="288" w:lineRule="auto"/>
        <w:textAlignment w:val="center"/>
        <w:rPr>
          <w:rFonts w:ascii="Arial Narrow" w:hAnsi="Arial Narrow" w:cs="Frutiger LT Std 45 Light"/>
          <w:sz w:val="14"/>
          <w:szCs w:val="14"/>
          <w:lang w:val="es-ES_tradnl"/>
        </w:rPr>
      </w:pPr>
      <w:r w:rsidRPr="00EE003F">
        <w:rPr>
          <w:rFonts w:ascii="Arial Narrow" w:hAnsi="Arial Narrow" w:cs="Frutiger LT Std 45 Light"/>
          <w:sz w:val="14"/>
          <w:szCs w:val="14"/>
          <w:lang w:val="es-ES_tradnl"/>
        </w:rPr>
        <w:t>Nota: * Viviendas que cuentan con ambientes que faciliten el cumplimiento de las funciones típicas de una vivienda, tales como, dormir, estar, comer e higienizarse; resistentes y estables, nulas o mininas posibilidades de ocurrencia de accidentes; habitantes protegidos contra las inclemencias del tiempo (frío, heladas, lluvias,</w:t>
      </w:r>
      <w:r w:rsidR="00F441B8" w:rsidRPr="00EE003F">
        <w:rPr>
          <w:rFonts w:ascii="Arial Narrow" w:hAnsi="Arial Narrow" w:cs="Frutiger LT Std 45 Light"/>
          <w:sz w:val="14"/>
          <w:szCs w:val="14"/>
          <w:lang w:val="es-ES_tradnl"/>
        </w:rPr>
        <w:t>)</w:t>
      </w: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E8415B" w:rsidRPr="00EE003F" w:rsidRDefault="00E8415B" w:rsidP="00337D1C">
      <w:pPr>
        <w:autoSpaceDE w:val="0"/>
        <w:autoSpaceDN w:val="0"/>
        <w:adjustRightInd w:val="0"/>
        <w:spacing w:after="0" w:line="240" w:lineRule="auto"/>
        <w:jc w:val="both"/>
        <w:rPr>
          <w:rFonts w:ascii="Arial Narrow" w:hAnsi="Arial Narrow" w:cs="FrutigerLTStd-BoldCn"/>
          <w:b/>
          <w:bCs/>
          <w:sz w:val="24"/>
          <w:szCs w:val="24"/>
        </w:rPr>
      </w:pPr>
    </w:p>
    <w:p w:rsidR="009D5CA2" w:rsidRPr="00EE003F" w:rsidRDefault="009D5CA2"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617A8F"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object w:dxaOrig="7980" w:dyaOrig="4995" w14:anchorId="695B3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05pt;height:251.7pt" o:ole="">
            <v:imagedata r:id="rId87" o:title=""/>
          </v:shape>
          <o:OLEObject Type="Embed" ProgID="PBrush" ShapeID="_x0000_i1025" DrawAspect="Content" ObjectID="_1526746494" r:id="rId88"/>
        </w:object>
      </w:r>
    </w:p>
    <w:p w:rsidR="00617A8F" w:rsidRPr="00EE003F" w:rsidRDefault="00617A8F" w:rsidP="00337D1C">
      <w:pPr>
        <w:autoSpaceDE w:val="0"/>
        <w:autoSpaceDN w:val="0"/>
        <w:adjustRightInd w:val="0"/>
        <w:spacing w:after="0" w:line="240" w:lineRule="auto"/>
        <w:jc w:val="both"/>
        <w:rPr>
          <w:rFonts w:ascii="Arial Narrow" w:hAnsi="Arial Narrow" w:cs="FrutigerLTStd-Bold"/>
          <w:b/>
          <w:bCs/>
          <w:sz w:val="24"/>
          <w:szCs w:val="24"/>
        </w:rPr>
      </w:pPr>
    </w:p>
    <w:p w:rsidR="00617A8F" w:rsidRPr="00EE003F" w:rsidRDefault="00617A8F"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noProof/>
          <w:lang w:eastAsia="es-PE"/>
        </w:rPr>
        <w:drawing>
          <wp:inline distT="0" distB="0" distL="0" distR="0" wp14:anchorId="6AD51D0E" wp14:editId="0CC89FD2">
            <wp:extent cx="5400675" cy="3018790"/>
            <wp:effectExtent l="0" t="0" r="0" b="0"/>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17A8F" w:rsidRPr="00EE003F" w:rsidRDefault="00617A8F" w:rsidP="00337D1C">
      <w:pPr>
        <w:autoSpaceDE w:val="0"/>
        <w:autoSpaceDN w:val="0"/>
        <w:adjustRightInd w:val="0"/>
        <w:spacing w:after="0" w:line="240" w:lineRule="auto"/>
        <w:jc w:val="both"/>
        <w:rPr>
          <w:rFonts w:ascii="Arial Narrow" w:hAnsi="Arial Narrow" w:cs="FrutigerLTStd-Bold"/>
          <w:bCs/>
          <w:sz w:val="18"/>
          <w:szCs w:val="24"/>
        </w:rPr>
      </w:pPr>
      <w:r w:rsidRPr="00EE003F">
        <w:rPr>
          <w:rFonts w:ascii="Arial Narrow" w:hAnsi="Arial Narrow" w:cs="FrutigerLTStd-Bold"/>
          <w:bCs/>
          <w:sz w:val="18"/>
          <w:szCs w:val="24"/>
        </w:rPr>
        <w:t>Fuente: OECD</w:t>
      </w:r>
    </w:p>
    <w:p w:rsidR="00617A8F" w:rsidRPr="00EE003F" w:rsidRDefault="00617A8F" w:rsidP="00337D1C">
      <w:pPr>
        <w:autoSpaceDE w:val="0"/>
        <w:autoSpaceDN w:val="0"/>
        <w:adjustRightInd w:val="0"/>
        <w:spacing w:after="0" w:line="240" w:lineRule="auto"/>
        <w:jc w:val="both"/>
        <w:rPr>
          <w:rFonts w:ascii="Arial Narrow" w:hAnsi="Arial Narrow" w:cs="FrutigerLTStd-Bold"/>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D53FEF"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La </w:t>
      </w:r>
      <w:r w:rsidR="00337D1C" w:rsidRPr="00EE003F">
        <w:rPr>
          <w:rFonts w:ascii="Arial Narrow" w:eastAsia="FrutigerLTStd-Light" w:hAnsi="Arial Narrow" w:cs="FrutigerLTStd-Light"/>
          <w:sz w:val="24"/>
          <w:szCs w:val="24"/>
        </w:rPr>
        <w:t xml:space="preserve">prueba PISA evalúa el rendimiento académico de los escolares y reflejan el desarrollo del sistema educativo nacional. Por lo tanto, el indicador es una referencia sobre el nivel de la calidad del sistema educativo a través del logro de aprendizaje. En el Perú, para alcanzar las metas trazadas </w:t>
      </w:r>
      <w:r w:rsidR="00D45947" w:rsidRPr="00EE003F">
        <w:rPr>
          <w:rFonts w:ascii="Arial Narrow" w:eastAsia="FrutigerLTStd-Light" w:hAnsi="Arial Narrow" w:cs="FrutigerLTStd-Light"/>
          <w:sz w:val="24"/>
          <w:szCs w:val="24"/>
        </w:rPr>
        <w:t xml:space="preserve">se debe continuar en la </w:t>
      </w:r>
      <w:r w:rsidR="00337D1C" w:rsidRPr="00EE003F">
        <w:rPr>
          <w:rFonts w:ascii="Arial Narrow" w:eastAsia="FrutigerLTStd-Light" w:hAnsi="Arial Narrow" w:cs="FrutigerLTStd-Light"/>
          <w:sz w:val="24"/>
          <w:szCs w:val="24"/>
        </w:rPr>
        <w:t>recupera</w:t>
      </w:r>
      <w:r w:rsidR="00D45947" w:rsidRPr="00EE003F">
        <w:rPr>
          <w:rFonts w:ascii="Arial Narrow" w:eastAsia="FrutigerLTStd-Light" w:hAnsi="Arial Narrow" w:cs="FrutigerLTStd-Light"/>
          <w:sz w:val="24"/>
          <w:szCs w:val="24"/>
        </w:rPr>
        <w:t>ción</w:t>
      </w:r>
      <w:r w:rsidR="00337D1C" w:rsidRPr="00EE003F">
        <w:rPr>
          <w:rFonts w:ascii="Arial Narrow" w:eastAsia="FrutigerLTStd-Light" w:hAnsi="Arial Narrow" w:cs="FrutigerLTStd-Light"/>
          <w:sz w:val="24"/>
          <w:szCs w:val="24"/>
        </w:rPr>
        <w:t xml:space="preserve"> y </w:t>
      </w:r>
      <w:r w:rsidR="00D45947" w:rsidRPr="00EE003F">
        <w:rPr>
          <w:rFonts w:ascii="Arial Narrow" w:eastAsia="FrutigerLTStd-Light" w:hAnsi="Arial Narrow" w:cs="FrutigerLTStd-Light"/>
          <w:sz w:val="24"/>
          <w:szCs w:val="24"/>
        </w:rPr>
        <w:t xml:space="preserve">renovación de </w:t>
      </w:r>
      <w:r w:rsidR="00337D1C" w:rsidRPr="00EE003F">
        <w:rPr>
          <w:rFonts w:ascii="Arial Narrow" w:eastAsia="FrutigerLTStd-Light" w:hAnsi="Arial Narrow" w:cs="FrutigerLTStd-Light"/>
          <w:sz w:val="24"/>
          <w:szCs w:val="24"/>
        </w:rPr>
        <w:t xml:space="preserve">la infraestructura escolar, </w:t>
      </w:r>
      <w:r w:rsidR="00D45947" w:rsidRPr="00EE003F">
        <w:rPr>
          <w:rFonts w:ascii="Arial Narrow" w:eastAsia="FrutigerLTStd-Light" w:hAnsi="Arial Narrow" w:cs="FrutigerLTStd-Light"/>
          <w:sz w:val="24"/>
          <w:szCs w:val="24"/>
        </w:rPr>
        <w:t xml:space="preserve">la </w:t>
      </w:r>
      <w:r w:rsidR="00337D1C" w:rsidRPr="00EE003F">
        <w:rPr>
          <w:rFonts w:ascii="Arial Narrow" w:eastAsia="FrutigerLTStd-Light" w:hAnsi="Arial Narrow" w:cs="FrutigerLTStd-Light"/>
          <w:sz w:val="24"/>
          <w:szCs w:val="24"/>
        </w:rPr>
        <w:t>moderniza</w:t>
      </w:r>
      <w:r w:rsidR="00D45947" w:rsidRPr="00EE003F">
        <w:rPr>
          <w:rFonts w:ascii="Arial Narrow" w:eastAsia="FrutigerLTStd-Light" w:hAnsi="Arial Narrow" w:cs="FrutigerLTStd-Light"/>
          <w:sz w:val="24"/>
          <w:szCs w:val="24"/>
        </w:rPr>
        <w:t>ción de</w:t>
      </w:r>
      <w:r w:rsidR="00337D1C" w:rsidRPr="00EE003F">
        <w:rPr>
          <w:rFonts w:ascii="Arial Narrow" w:eastAsia="FrutigerLTStd-Light" w:hAnsi="Arial Narrow" w:cs="FrutigerLTStd-Light"/>
          <w:sz w:val="24"/>
          <w:szCs w:val="24"/>
        </w:rPr>
        <w:t xml:space="preserve"> la gestión educativa</w:t>
      </w:r>
      <w:r w:rsidR="00D45947" w:rsidRPr="00EE003F">
        <w:rPr>
          <w:rFonts w:ascii="Arial Narrow" w:eastAsia="FrutigerLTStd-Light" w:hAnsi="Arial Narrow" w:cs="FrutigerLTStd-Light"/>
          <w:sz w:val="24"/>
          <w:szCs w:val="24"/>
        </w:rPr>
        <w:t xml:space="preserve"> a fin de favorecer</w:t>
      </w:r>
      <w:r w:rsidR="00337D1C" w:rsidRPr="00EE003F">
        <w:rPr>
          <w:rFonts w:ascii="Arial Narrow" w:eastAsia="FrutigerLTStd-Light" w:hAnsi="Arial Narrow" w:cs="FrutigerLTStd-Light"/>
          <w:sz w:val="24"/>
          <w:szCs w:val="24"/>
        </w:rPr>
        <w:t xml:space="preserve"> el desarrollo docente y </w:t>
      </w:r>
      <w:r w:rsidR="00D45947" w:rsidRPr="00EE003F">
        <w:rPr>
          <w:rFonts w:ascii="Arial Narrow" w:eastAsia="FrutigerLTStd-Light" w:hAnsi="Arial Narrow" w:cs="FrutigerLTStd-Light"/>
          <w:sz w:val="24"/>
          <w:szCs w:val="24"/>
        </w:rPr>
        <w:t>la mejora</w:t>
      </w:r>
      <w:r w:rsidR="00337D1C" w:rsidRPr="00EE003F">
        <w:rPr>
          <w:rFonts w:ascii="Arial Narrow" w:eastAsia="FrutigerLTStd-Light" w:hAnsi="Arial Narrow" w:cs="FrutigerLTStd-Light"/>
          <w:sz w:val="24"/>
          <w:szCs w:val="24"/>
        </w:rPr>
        <w:t xml:space="preserve"> </w:t>
      </w:r>
      <w:r w:rsidR="00D45947" w:rsidRPr="00EE003F">
        <w:rPr>
          <w:rFonts w:ascii="Arial Narrow" w:eastAsia="FrutigerLTStd-Light" w:hAnsi="Arial Narrow" w:cs="FrutigerLTStd-Light"/>
          <w:sz w:val="24"/>
          <w:szCs w:val="24"/>
        </w:rPr>
        <w:t>d</w:t>
      </w:r>
      <w:r w:rsidR="00337D1C" w:rsidRPr="00EE003F">
        <w:rPr>
          <w:rFonts w:ascii="Arial Narrow" w:eastAsia="FrutigerLTStd-Light" w:hAnsi="Arial Narrow" w:cs="FrutigerLTStd-Light"/>
          <w:sz w:val="24"/>
          <w:szCs w:val="24"/>
        </w:rPr>
        <w:t>el proceso de aprendizaje de los estudiantes.</w:t>
      </w:r>
    </w:p>
    <w:p w:rsidR="00DC3F82" w:rsidRPr="00EE003F" w:rsidRDefault="00DC3F82">
      <w:pPr>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br w:type="page"/>
      </w:r>
    </w:p>
    <w:p w:rsidR="00337D1C" w:rsidRPr="00EE003F" w:rsidRDefault="00704D21" w:rsidP="00337D1C">
      <w:pPr>
        <w:tabs>
          <w:tab w:val="left" w:pos="1358"/>
        </w:tabs>
        <w:autoSpaceDE w:val="0"/>
        <w:autoSpaceDN w:val="0"/>
        <w:adjustRightInd w:val="0"/>
        <w:spacing w:after="0" w:line="240" w:lineRule="auto"/>
        <w:jc w:val="both"/>
        <w:rPr>
          <w:rFonts w:ascii="Arial Narrow" w:hAnsi="Arial Narrow" w:cs="FrutigerLTStd-BoldCn"/>
          <w:b/>
          <w:bCs/>
          <w:sz w:val="24"/>
          <w:szCs w:val="24"/>
        </w:rPr>
      </w:pPr>
      <w:r w:rsidRPr="00EE003F">
        <w:rPr>
          <w:rFonts w:ascii="Arial Narrow" w:hAnsi="Arial Narrow" w:cs="FrutigerLTStd-BoldCn"/>
          <w:b/>
          <w:bCs/>
          <w:noProof/>
          <w:sz w:val="24"/>
          <w:szCs w:val="24"/>
          <w:lang w:eastAsia="es-PE"/>
        </w:rPr>
        <w:drawing>
          <wp:inline distT="0" distB="0" distL="0" distR="0" wp14:anchorId="07A7E6FA" wp14:editId="4F54B453">
            <wp:extent cx="4719254" cy="2565070"/>
            <wp:effectExtent l="0" t="0" r="571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25252" cy="2568330"/>
                    </a:xfrm>
                    <a:prstGeom prst="rect">
                      <a:avLst/>
                    </a:prstGeom>
                    <a:noFill/>
                  </pic:spPr>
                </pic:pic>
              </a:graphicData>
            </a:graphic>
          </wp:inline>
        </w:drawing>
      </w:r>
    </w:p>
    <w:p w:rsidR="00337D1C" w:rsidRPr="00EE003F" w:rsidRDefault="00922E56" w:rsidP="00337D1C">
      <w:pPr>
        <w:tabs>
          <w:tab w:val="left" w:pos="1358"/>
        </w:tabs>
        <w:autoSpaceDE w:val="0"/>
        <w:autoSpaceDN w:val="0"/>
        <w:adjustRightInd w:val="0"/>
        <w:spacing w:after="0" w:line="240" w:lineRule="auto"/>
        <w:jc w:val="both"/>
        <w:rPr>
          <w:rFonts w:ascii="Arial Narrow" w:hAnsi="Arial Narrow" w:cs="FrutigerLTStd-BoldCn"/>
          <w:bCs/>
          <w:sz w:val="16"/>
          <w:szCs w:val="24"/>
        </w:rPr>
      </w:pPr>
      <w:r w:rsidRPr="00EE003F">
        <w:rPr>
          <w:rFonts w:ascii="Arial Narrow" w:hAnsi="Arial Narrow" w:cs="FrutigerLTStd-BoldCn"/>
          <w:bCs/>
          <w:sz w:val="16"/>
          <w:szCs w:val="24"/>
        </w:rPr>
        <w:t>Fuente: INEI – ENAHO</w:t>
      </w:r>
    </w:p>
    <w:p w:rsidR="00922E56" w:rsidRPr="00EE003F" w:rsidRDefault="00922E56" w:rsidP="00337D1C">
      <w:pPr>
        <w:tabs>
          <w:tab w:val="left" w:pos="1358"/>
        </w:tabs>
        <w:autoSpaceDE w:val="0"/>
        <w:autoSpaceDN w:val="0"/>
        <w:adjustRightInd w:val="0"/>
        <w:spacing w:after="0" w:line="240" w:lineRule="auto"/>
        <w:jc w:val="both"/>
        <w:rPr>
          <w:rFonts w:ascii="Arial Narrow" w:hAnsi="Arial Narrow" w:cs="FrutigerLTStd-BoldCn"/>
          <w:bCs/>
          <w:sz w:val="16"/>
          <w:szCs w:val="24"/>
        </w:rPr>
      </w:pPr>
    </w:p>
    <w:p w:rsidR="00922E56" w:rsidRPr="00EE003F" w:rsidRDefault="00922E56" w:rsidP="00337D1C">
      <w:pPr>
        <w:tabs>
          <w:tab w:val="left" w:pos="1358"/>
        </w:tabs>
        <w:autoSpaceDE w:val="0"/>
        <w:autoSpaceDN w:val="0"/>
        <w:adjustRightInd w:val="0"/>
        <w:spacing w:after="0" w:line="240" w:lineRule="auto"/>
        <w:jc w:val="both"/>
        <w:rPr>
          <w:rFonts w:ascii="Arial Narrow" w:hAnsi="Arial Narrow" w:cs="FrutigerLTStd-BoldCn"/>
          <w:bCs/>
          <w:sz w:val="16"/>
          <w:szCs w:val="24"/>
        </w:rPr>
      </w:pPr>
    </w:p>
    <w:p w:rsidR="00F441B8" w:rsidRPr="00EE003F" w:rsidRDefault="00F441B8" w:rsidP="00337D1C">
      <w:pPr>
        <w:autoSpaceDE w:val="0"/>
        <w:autoSpaceDN w:val="0"/>
        <w:adjustRightInd w:val="0"/>
        <w:spacing w:after="0" w:line="240" w:lineRule="auto"/>
        <w:jc w:val="both"/>
        <w:rPr>
          <w:rFonts w:ascii="Arial Narrow" w:hAnsi="Arial Narrow" w:cs="FrutigerLTStd-Bold"/>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Para lograr las metas propuestas al 2016 y 2021, el Estado se ha propuesto ampliar </w:t>
      </w:r>
      <w:r w:rsidR="00C3350C" w:rsidRPr="00EE003F">
        <w:rPr>
          <w:rFonts w:ascii="Arial Narrow" w:eastAsia="FrutigerLTStd-Light" w:hAnsi="Arial Narrow" w:cs="FrutigerLTStd-Light"/>
          <w:sz w:val="24"/>
          <w:szCs w:val="24"/>
        </w:rPr>
        <w:t>l</w:t>
      </w:r>
      <w:r w:rsidRPr="00EE003F">
        <w:rPr>
          <w:rFonts w:ascii="Arial Narrow" w:eastAsia="FrutigerLTStd-Light" w:hAnsi="Arial Narrow" w:cs="FrutigerLTStd-Light"/>
          <w:sz w:val="24"/>
          <w:szCs w:val="24"/>
        </w:rPr>
        <w:t>a cobertura del Seguro Integral de Salud. Esta ampliación es progresiva: salud materno infantil, niños menores de 5 años, población de zonas vulnerables. Se espera que hacia el 2021 la mayor cantidad de la población del país se encuentre afiliada a este seguro de salud y que en general se logre que toda la población este afiliada a algún sistema de salud.</w:t>
      </w:r>
    </w:p>
    <w:p w:rsidR="00F441B8" w:rsidRPr="00EE003F" w:rsidRDefault="00435F12"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noProof/>
          <w:sz w:val="24"/>
          <w:szCs w:val="24"/>
          <w:lang w:eastAsia="es-PE"/>
        </w:rPr>
        <w:drawing>
          <wp:inline distT="0" distB="0" distL="0" distR="0" wp14:anchorId="7F96B422" wp14:editId="53897057">
            <wp:extent cx="4652467" cy="2662609"/>
            <wp:effectExtent l="0" t="0" r="0" b="444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50089" cy="2661248"/>
                    </a:xfrm>
                    <a:prstGeom prst="rect">
                      <a:avLst/>
                    </a:prstGeom>
                    <a:noFill/>
                  </pic:spPr>
                </pic:pic>
              </a:graphicData>
            </a:graphic>
          </wp:inline>
        </w:drawing>
      </w:r>
    </w:p>
    <w:p w:rsidR="00B745D9" w:rsidRPr="00EE003F" w:rsidRDefault="00B745D9"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p>
    <w:p w:rsidR="00922E56" w:rsidRPr="00EE003F" w:rsidRDefault="00922E56"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AB380D" w:rsidRPr="00EE003F" w:rsidRDefault="00097AC8" w:rsidP="00097AC8">
      <w:pPr>
        <w:autoSpaceDE w:val="0"/>
        <w:autoSpaceDN w:val="0"/>
        <w:adjustRightInd w:val="0"/>
        <w:spacing w:after="0" w:line="240" w:lineRule="auto"/>
        <w:jc w:val="both"/>
        <w:rPr>
          <w:rFonts w:ascii="Arial Narrow" w:hAnsi="Arial Narrow" w:cs="FrutigerLTStd-BoldCn"/>
          <w:b/>
          <w:bCs/>
          <w:sz w:val="24"/>
          <w:szCs w:val="24"/>
        </w:rPr>
      </w:pPr>
      <w:r w:rsidRPr="00EE003F">
        <w:rPr>
          <w:noProof/>
          <w:lang w:eastAsia="es-PE"/>
        </w:rPr>
        <w:drawing>
          <wp:inline distT="0" distB="0" distL="0" distR="0" wp14:anchorId="5AA79A56" wp14:editId="6AD8C230">
            <wp:extent cx="4436821" cy="3070835"/>
            <wp:effectExtent l="0" t="0" r="190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438512" cy="3072006"/>
                    </a:xfrm>
                    <a:prstGeom prst="rect">
                      <a:avLst/>
                    </a:prstGeom>
                  </pic:spPr>
                </pic:pic>
              </a:graphicData>
            </a:graphic>
          </wp:inline>
        </w:drawing>
      </w:r>
    </w:p>
    <w:p w:rsidR="00097AC8" w:rsidRPr="00EE003F" w:rsidRDefault="00097AC8" w:rsidP="00337D1C">
      <w:pPr>
        <w:autoSpaceDE w:val="0"/>
        <w:autoSpaceDN w:val="0"/>
        <w:adjustRightInd w:val="0"/>
        <w:spacing w:after="0" w:line="240" w:lineRule="auto"/>
        <w:jc w:val="both"/>
        <w:rPr>
          <w:rFonts w:ascii="Arial Narrow" w:hAnsi="Arial Narrow" w:cs="FrutigerLTStd-Bold"/>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337D1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La incidencia de tuberculosis </w:t>
      </w:r>
      <w:r w:rsidR="00844BE8" w:rsidRPr="00EE003F">
        <w:rPr>
          <w:rFonts w:ascii="Arial Narrow" w:eastAsia="FrutigerLTStd-Light" w:hAnsi="Arial Narrow" w:cs="FrutigerLTStd-Light"/>
          <w:sz w:val="24"/>
          <w:szCs w:val="24"/>
        </w:rPr>
        <w:t>en el Perú esta</w:t>
      </w:r>
      <w:r w:rsidR="00C3350C" w:rsidRPr="00EE003F">
        <w:rPr>
          <w:rFonts w:ascii="Arial Narrow" w:eastAsia="FrutigerLTStd-Light" w:hAnsi="Arial Narrow" w:cs="FrutigerLTStd-Light"/>
          <w:sz w:val="24"/>
          <w:szCs w:val="24"/>
        </w:rPr>
        <w:t xml:space="preserve"> comúnmente </w:t>
      </w:r>
      <w:r w:rsidRPr="00EE003F">
        <w:rPr>
          <w:rFonts w:ascii="Arial Narrow" w:eastAsia="FrutigerLTStd-Light" w:hAnsi="Arial Narrow" w:cs="FrutigerLTStd-Light"/>
          <w:sz w:val="24"/>
          <w:szCs w:val="24"/>
        </w:rPr>
        <w:t>asociada a la pobreza de la población por afectar aquellos hogares en hacinamiento y con un bajo nivel de nutrición y estándar de vida. Para lograr las metas propuestas se requiere mejorar la atención y darle continuidad al tratamiento que recibe la población afectada y la vulnerable. Es necesario también mejorar la nutrición de la población, en cuanto a los hábitos alimenticios y capacitarla en el cuidado de la salud (estrategia nacional “Incluir para crecer”, Qali Warma); educación para la detección temprana de males; la implementación efectiva de la Política Integral de Salud, y el creciente acceso a los servicios básicos (agua, desagüe y energía).</w:t>
      </w:r>
    </w:p>
    <w:p w:rsidR="00337D1C" w:rsidRPr="00EE003F" w:rsidRDefault="00337D1C" w:rsidP="00337D1C">
      <w:pPr>
        <w:tabs>
          <w:tab w:val="left" w:pos="1358"/>
        </w:tabs>
        <w:autoSpaceDE w:val="0"/>
        <w:autoSpaceDN w:val="0"/>
        <w:adjustRightInd w:val="0"/>
        <w:spacing w:after="0" w:line="240" w:lineRule="auto"/>
        <w:jc w:val="both"/>
        <w:rPr>
          <w:rFonts w:ascii="Arial Narrow" w:eastAsia="FrutigerLTStd-Light" w:hAnsi="Arial Narrow" w:cs="FrutigerLTStd-Light"/>
          <w:sz w:val="24"/>
          <w:szCs w:val="24"/>
        </w:rPr>
      </w:pPr>
    </w:p>
    <w:p w:rsidR="009D7034" w:rsidRPr="00EE003F" w:rsidRDefault="000221B6" w:rsidP="00337D1C">
      <w:pPr>
        <w:tabs>
          <w:tab w:val="left" w:pos="1358"/>
        </w:tabs>
        <w:autoSpaceDE w:val="0"/>
        <w:autoSpaceDN w:val="0"/>
        <w:adjustRightInd w:val="0"/>
        <w:spacing w:after="0" w:line="240" w:lineRule="auto"/>
        <w:jc w:val="both"/>
        <w:rPr>
          <w:rFonts w:ascii="Arial Narrow" w:hAnsi="Arial Narrow" w:cs="FrutigerLTStd-BoldCn"/>
          <w:b/>
          <w:bCs/>
          <w:sz w:val="24"/>
          <w:szCs w:val="24"/>
        </w:rPr>
      </w:pPr>
      <w:r w:rsidRPr="00EE003F">
        <w:rPr>
          <w:rFonts w:ascii="Arial Narrow" w:hAnsi="Arial Narrow" w:cs="FrutigerLTStd-BoldCn"/>
          <w:b/>
          <w:bCs/>
          <w:noProof/>
          <w:sz w:val="24"/>
          <w:szCs w:val="24"/>
          <w:lang w:eastAsia="es-PE"/>
        </w:rPr>
        <w:drawing>
          <wp:inline distT="0" distB="0" distL="0" distR="0" wp14:anchorId="189E8953" wp14:editId="1506FF8F">
            <wp:extent cx="4933507" cy="25592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44333" cy="2564816"/>
                    </a:xfrm>
                    <a:prstGeom prst="rect">
                      <a:avLst/>
                    </a:prstGeom>
                    <a:noFill/>
                  </pic:spPr>
                </pic:pic>
              </a:graphicData>
            </a:graphic>
          </wp:inline>
        </w:drawing>
      </w:r>
    </w:p>
    <w:p w:rsidR="009D7034" w:rsidRPr="00EE003F" w:rsidRDefault="009D7034" w:rsidP="00337D1C">
      <w:pPr>
        <w:tabs>
          <w:tab w:val="left" w:pos="1358"/>
        </w:tabs>
        <w:autoSpaceDE w:val="0"/>
        <w:autoSpaceDN w:val="0"/>
        <w:adjustRightInd w:val="0"/>
        <w:spacing w:after="0" w:line="240" w:lineRule="auto"/>
        <w:jc w:val="both"/>
        <w:rPr>
          <w:rFonts w:ascii="Arial Narrow" w:hAnsi="Arial Narrow" w:cs="FrutigerLTStd-BoldCn"/>
          <w:b/>
          <w:bCs/>
          <w:sz w:val="24"/>
          <w:szCs w:val="24"/>
        </w:rPr>
      </w:pPr>
    </w:p>
    <w:p w:rsidR="009D7034" w:rsidRPr="00EE003F" w:rsidRDefault="009D7034" w:rsidP="00337D1C">
      <w:pPr>
        <w:tabs>
          <w:tab w:val="left" w:pos="1358"/>
        </w:tabs>
        <w:autoSpaceDE w:val="0"/>
        <w:autoSpaceDN w:val="0"/>
        <w:adjustRightInd w:val="0"/>
        <w:spacing w:after="0" w:line="240" w:lineRule="auto"/>
        <w:jc w:val="both"/>
        <w:rPr>
          <w:rFonts w:ascii="Arial Narrow" w:hAnsi="Arial Narrow" w:cs="FrutigerLTStd-BoldCn"/>
          <w:bCs/>
          <w:sz w:val="16"/>
          <w:szCs w:val="24"/>
        </w:rPr>
      </w:pPr>
      <w:r w:rsidRPr="00EE003F">
        <w:rPr>
          <w:rFonts w:ascii="Arial Narrow" w:hAnsi="Arial Narrow" w:cs="FrutigerLTStd-BoldCn"/>
          <w:bCs/>
          <w:sz w:val="16"/>
          <w:szCs w:val="24"/>
        </w:rPr>
        <w:t>Fuente: INEI- ENA</w:t>
      </w:r>
      <w:r w:rsidR="000221B6" w:rsidRPr="00EE003F">
        <w:rPr>
          <w:rFonts w:ascii="Arial Narrow" w:hAnsi="Arial Narrow" w:cs="FrutigerLTStd-BoldCn"/>
          <w:bCs/>
          <w:sz w:val="16"/>
          <w:szCs w:val="24"/>
        </w:rPr>
        <w:t>PRES</w:t>
      </w:r>
    </w:p>
    <w:p w:rsidR="009D7034" w:rsidRPr="00EE003F" w:rsidRDefault="009D7034" w:rsidP="00337D1C">
      <w:pPr>
        <w:tabs>
          <w:tab w:val="left" w:pos="1358"/>
        </w:tabs>
        <w:autoSpaceDE w:val="0"/>
        <w:autoSpaceDN w:val="0"/>
        <w:adjustRightInd w:val="0"/>
        <w:spacing w:after="0" w:line="240" w:lineRule="auto"/>
        <w:jc w:val="both"/>
        <w:rPr>
          <w:rFonts w:ascii="Arial Narrow" w:hAnsi="Arial Narrow" w:cs="FrutigerLTStd-BoldCn"/>
          <w:b/>
          <w:bCs/>
          <w:sz w:val="24"/>
          <w:szCs w:val="24"/>
        </w:rPr>
      </w:pPr>
    </w:p>
    <w:p w:rsidR="00F441B8" w:rsidRPr="00EE003F" w:rsidRDefault="00097AC8" w:rsidP="00337D1C">
      <w:pPr>
        <w:autoSpaceDE w:val="0"/>
        <w:autoSpaceDN w:val="0"/>
        <w:adjustRightInd w:val="0"/>
        <w:spacing w:after="0" w:line="240" w:lineRule="auto"/>
        <w:jc w:val="both"/>
        <w:rPr>
          <w:rFonts w:ascii="Arial Narrow" w:hAnsi="Arial Narrow" w:cs="FrutigerLTStd-Bold"/>
          <w:b/>
          <w:bCs/>
          <w:sz w:val="24"/>
          <w:szCs w:val="24"/>
        </w:rPr>
      </w:pPr>
      <w:r w:rsidRPr="00EE003F">
        <w:rPr>
          <w:noProof/>
          <w:lang w:eastAsia="es-PE"/>
        </w:rPr>
        <w:drawing>
          <wp:inline distT="0" distB="0" distL="0" distR="0" wp14:anchorId="4886D296" wp14:editId="7749A2D3">
            <wp:extent cx="5400675" cy="3703722"/>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00675" cy="3703722"/>
                    </a:xfrm>
                    <a:prstGeom prst="rect">
                      <a:avLst/>
                    </a:prstGeom>
                  </pic:spPr>
                </pic:pic>
              </a:graphicData>
            </a:graphic>
          </wp:inline>
        </w:drawing>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F441B8" w:rsidRPr="00EE003F" w:rsidRDefault="00F441B8" w:rsidP="00337D1C">
      <w:pPr>
        <w:autoSpaceDE w:val="0"/>
        <w:autoSpaceDN w:val="0"/>
        <w:adjustRightInd w:val="0"/>
        <w:spacing w:after="0" w:line="240" w:lineRule="auto"/>
        <w:jc w:val="both"/>
        <w:rPr>
          <w:rFonts w:ascii="Arial Narrow" w:hAnsi="Arial Narrow" w:cs="FrutigerLTStd-Bold"/>
          <w:b/>
          <w:bCs/>
          <w:sz w:val="24"/>
          <w:szCs w:val="24"/>
        </w:rPr>
      </w:pPr>
    </w:p>
    <w:p w:rsidR="00DF1C5D" w:rsidRPr="00EE003F" w:rsidRDefault="00DF1C5D" w:rsidP="00F441B8">
      <w:pPr>
        <w:suppressAutoHyphens/>
        <w:autoSpaceDE w:val="0"/>
        <w:autoSpaceDN w:val="0"/>
        <w:adjustRightInd w:val="0"/>
        <w:spacing w:before="120" w:after="0" w:line="240" w:lineRule="auto"/>
        <w:jc w:val="both"/>
        <w:textAlignment w:val="center"/>
        <w:rPr>
          <w:rFonts w:ascii="Arial Narrow" w:hAnsi="Arial Narrow" w:cs="Frutiger LT Std 45 Light"/>
          <w:sz w:val="24"/>
          <w:szCs w:val="20"/>
          <w:lang w:val="es-ES_tradnl"/>
        </w:rPr>
      </w:pPr>
      <w:r w:rsidRPr="00EE003F">
        <w:rPr>
          <w:rFonts w:ascii="Arial Narrow" w:hAnsi="Arial Narrow" w:cs="Frutiger LT Std 45 Light"/>
          <w:sz w:val="24"/>
          <w:szCs w:val="20"/>
          <w:lang w:val="es-ES_tradnl"/>
        </w:rPr>
        <w:t xml:space="preserve">El acceso al servicio de agua es esencial para el logro de capacidades de la población, en tanto ayuda a combatir los problemas de salud, alimentación y educación, y mejora la calidad de vida. En los últimos años la mayor inversión ejecutada ha logrado reducir la brecha entre la oferta y la demanda de agua. Para ello, tanto la promoción de fuentes de financiamiento, la implementación de normas necesarias para la integración geográfica en la provisión del servicio como la implementación progresiva de esquemas tarifarios adecuados permitirán alcanzar las metas de cobertura del servicio previstas al 2016 y 2021. </w:t>
      </w:r>
    </w:p>
    <w:p w:rsidR="005729B2" w:rsidRPr="00EE003F" w:rsidRDefault="005729B2">
      <w:pPr>
        <w:autoSpaceDE w:val="0"/>
        <w:autoSpaceDN w:val="0"/>
        <w:adjustRightInd w:val="0"/>
        <w:spacing w:after="0" w:line="240" w:lineRule="auto"/>
        <w:jc w:val="both"/>
        <w:rPr>
          <w:rFonts w:ascii="Arial Narrow" w:hAnsi="Arial Narrow" w:cs="FrutigerLTStd-Bold"/>
          <w:b/>
          <w:bCs/>
          <w:sz w:val="24"/>
          <w:szCs w:val="24"/>
        </w:rPr>
      </w:pPr>
    </w:p>
    <w:p w:rsidR="00642E74" w:rsidRPr="00EE003F" w:rsidRDefault="00642E74">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noProof/>
          <w:sz w:val="24"/>
          <w:szCs w:val="24"/>
          <w:lang w:eastAsia="es-PE"/>
        </w:rPr>
        <w:drawing>
          <wp:inline distT="0" distB="0" distL="0" distR="0" wp14:anchorId="5EF86CCA" wp14:editId="7B727033">
            <wp:extent cx="5337544" cy="288044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1104" cy="2882362"/>
                    </a:xfrm>
                    <a:prstGeom prst="rect">
                      <a:avLst/>
                    </a:prstGeom>
                    <a:noFill/>
                  </pic:spPr>
                </pic:pic>
              </a:graphicData>
            </a:graphic>
          </wp:inline>
        </w:drawing>
      </w:r>
    </w:p>
    <w:p w:rsidR="005729B2" w:rsidRPr="00EE003F" w:rsidRDefault="005729B2" w:rsidP="00337D1C">
      <w:pPr>
        <w:autoSpaceDE w:val="0"/>
        <w:autoSpaceDN w:val="0"/>
        <w:adjustRightInd w:val="0"/>
        <w:spacing w:after="0" w:line="240" w:lineRule="auto"/>
        <w:jc w:val="both"/>
        <w:rPr>
          <w:rFonts w:ascii="Arial Narrow" w:hAnsi="Arial Narrow" w:cs="FrutigerLTStd-Bold"/>
          <w:b/>
          <w:bCs/>
          <w:sz w:val="24"/>
          <w:szCs w:val="24"/>
        </w:rPr>
      </w:pPr>
    </w:p>
    <w:p w:rsidR="00377681" w:rsidRPr="00EE003F" w:rsidRDefault="00377681" w:rsidP="00337D1C">
      <w:pPr>
        <w:autoSpaceDE w:val="0"/>
        <w:autoSpaceDN w:val="0"/>
        <w:adjustRightInd w:val="0"/>
        <w:spacing w:after="0" w:line="240" w:lineRule="auto"/>
        <w:jc w:val="both"/>
        <w:rPr>
          <w:rFonts w:ascii="Arial Narrow" w:hAnsi="Arial Narrow" w:cs="FrutigerLTStd-Bold"/>
          <w:bCs/>
          <w:sz w:val="16"/>
          <w:szCs w:val="24"/>
        </w:rPr>
      </w:pPr>
      <w:r w:rsidRPr="00EE003F">
        <w:rPr>
          <w:rFonts w:ascii="Arial Narrow" w:hAnsi="Arial Narrow" w:cs="FrutigerLTStd-Bold"/>
          <w:bCs/>
          <w:sz w:val="16"/>
          <w:szCs w:val="24"/>
        </w:rPr>
        <w:t>Fuente: INEI- ENA</w:t>
      </w:r>
      <w:r w:rsidR="000221B6" w:rsidRPr="00EE003F">
        <w:rPr>
          <w:rFonts w:ascii="Arial Narrow" w:hAnsi="Arial Narrow" w:cs="FrutigerLTStd-Bold"/>
          <w:bCs/>
          <w:sz w:val="16"/>
          <w:szCs w:val="24"/>
        </w:rPr>
        <w:t>PRES</w:t>
      </w:r>
    </w:p>
    <w:p w:rsidR="00377681" w:rsidRPr="00EE003F" w:rsidRDefault="00377681" w:rsidP="00337D1C">
      <w:pPr>
        <w:autoSpaceDE w:val="0"/>
        <w:autoSpaceDN w:val="0"/>
        <w:adjustRightInd w:val="0"/>
        <w:spacing w:after="0" w:line="240" w:lineRule="auto"/>
        <w:jc w:val="both"/>
        <w:rPr>
          <w:rFonts w:ascii="Arial Narrow" w:hAnsi="Arial Narrow" w:cs="FrutigerLTStd-Bold"/>
          <w:b/>
          <w:bCs/>
          <w:sz w:val="24"/>
          <w:szCs w:val="24"/>
        </w:rPr>
      </w:pPr>
    </w:p>
    <w:p w:rsidR="00377681" w:rsidRPr="00EE003F" w:rsidRDefault="007F610E" w:rsidP="00337D1C">
      <w:pPr>
        <w:autoSpaceDE w:val="0"/>
        <w:autoSpaceDN w:val="0"/>
        <w:adjustRightInd w:val="0"/>
        <w:spacing w:after="0" w:line="240" w:lineRule="auto"/>
        <w:jc w:val="both"/>
        <w:rPr>
          <w:rFonts w:ascii="Arial Narrow" w:hAnsi="Arial Narrow" w:cs="FrutigerLTStd-Bold"/>
          <w:bCs/>
          <w:sz w:val="20"/>
          <w:szCs w:val="24"/>
        </w:rPr>
      </w:pPr>
      <w:r w:rsidRPr="00EE003F">
        <w:rPr>
          <w:noProof/>
          <w:lang w:eastAsia="es-PE"/>
        </w:rPr>
        <w:drawing>
          <wp:inline distT="0" distB="0" distL="0" distR="0" wp14:anchorId="7047472A" wp14:editId="79821329">
            <wp:extent cx="5400675" cy="356561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00675" cy="3565619"/>
                    </a:xfrm>
                    <a:prstGeom prst="rect">
                      <a:avLst/>
                    </a:prstGeom>
                  </pic:spPr>
                </pic:pic>
              </a:graphicData>
            </a:graphic>
          </wp:inline>
        </w:drawing>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5729B2" w:rsidRPr="00EE003F" w:rsidRDefault="00642E74" w:rsidP="00F441B8">
      <w:pPr>
        <w:suppressAutoHyphens/>
        <w:autoSpaceDE w:val="0"/>
        <w:autoSpaceDN w:val="0"/>
        <w:adjustRightInd w:val="0"/>
        <w:spacing w:before="120"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La cobertura de acceso al servicio de saneamiento </w:t>
      </w:r>
      <w:r w:rsidR="009D7034" w:rsidRPr="00EE003F">
        <w:rPr>
          <w:rFonts w:ascii="Arial Narrow" w:hAnsi="Arial Narrow" w:cs="Frutiger LT Std 45 Light"/>
          <w:sz w:val="24"/>
          <w:szCs w:val="24"/>
          <w:lang w:val="es-ES_tradnl"/>
        </w:rPr>
        <w:t xml:space="preserve">mide la </w:t>
      </w:r>
      <w:r w:rsidRPr="00EE003F">
        <w:rPr>
          <w:rFonts w:ascii="Arial Narrow" w:hAnsi="Arial Narrow" w:cs="Frutiger LT Std 45 Light"/>
          <w:sz w:val="24"/>
          <w:szCs w:val="24"/>
          <w:lang w:val="es-ES_tradnl"/>
        </w:rPr>
        <w:t>proporción de hogares que cuenta con acceso a servicios de alcantarillado u otras formas de disposición sanitaria de excretas. Esto</w:t>
      </w:r>
      <w:r w:rsidR="005729B2" w:rsidRPr="00EE003F">
        <w:rPr>
          <w:rFonts w:ascii="Arial Narrow" w:hAnsi="Arial Narrow" w:cs="Frutiger LT Std 45 Light"/>
          <w:sz w:val="24"/>
          <w:szCs w:val="24"/>
          <w:lang w:val="es-ES_tradnl"/>
        </w:rPr>
        <w:t xml:space="preserve"> permite mejorar la calidad de vida y prevenir enfermedades, en especial de la población infantil. En los últimos años, el acceso de los hogares al servicio de saneamiento ha tenido un crecimiento lento. Sin embargo, la promoción de fuentes de financiamiento y el impulso a la integración geográfica de las redes de saneamiento, son herramientas que permitirán generar condiciones de sostenibilidad para las empresas prestadoras de servicios de saneamiento (EPS). De esta forma se alcanzarían las  metas previstas al 2016 y 2021.</w:t>
      </w:r>
    </w:p>
    <w:p w:rsidR="005729B2" w:rsidRPr="00EE003F" w:rsidRDefault="005729B2" w:rsidP="00337D1C">
      <w:pPr>
        <w:autoSpaceDE w:val="0"/>
        <w:autoSpaceDN w:val="0"/>
        <w:adjustRightInd w:val="0"/>
        <w:spacing w:after="0" w:line="240" w:lineRule="auto"/>
        <w:jc w:val="both"/>
        <w:rPr>
          <w:rFonts w:ascii="Arial Narrow" w:hAnsi="Arial Narrow" w:cs="FrutigerLTStd-Bold"/>
          <w:b/>
          <w:bCs/>
          <w:sz w:val="24"/>
          <w:szCs w:val="24"/>
        </w:rPr>
      </w:pPr>
    </w:p>
    <w:p w:rsidR="005729B2" w:rsidRPr="00EE003F" w:rsidRDefault="001033D4"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noProof/>
          <w:sz w:val="24"/>
          <w:szCs w:val="24"/>
          <w:lang w:eastAsia="es-PE"/>
        </w:rPr>
        <w:drawing>
          <wp:inline distT="0" distB="0" distL="0" distR="0" wp14:anchorId="0E26044F" wp14:editId="637FFA47">
            <wp:extent cx="5589582" cy="2873829"/>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90963" cy="2874539"/>
                    </a:xfrm>
                    <a:prstGeom prst="rect">
                      <a:avLst/>
                    </a:prstGeom>
                    <a:noFill/>
                  </pic:spPr>
                </pic:pic>
              </a:graphicData>
            </a:graphic>
          </wp:inline>
        </w:drawing>
      </w:r>
    </w:p>
    <w:p w:rsidR="005729B2" w:rsidRPr="00EE003F" w:rsidRDefault="005729B2" w:rsidP="00337D1C">
      <w:pPr>
        <w:autoSpaceDE w:val="0"/>
        <w:autoSpaceDN w:val="0"/>
        <w:adjustRightInd w:val="0"/>
        <w:spacing w:after="0" w:line="240" w:lineRule="auto"/>
        <w:jc w:val="both"/>
        <w:rPr>
          <w:rFonts w:ascii="Arial Narrow" w:hAnsi="Arial Narrow" w:cs="FrutigerLTStd-Bold"/>
          <w:b/>
          <w:bCs/>
          <w:sz w:val="24"/>
          <w:szCs w:val="24"/>
        </w:rPr>
      </w:pPr>
    </w:p>
    <w:p w:rsidR="001C0091" w:rsidRPr="00EE003F" w:rsidRDefault="001C0091" w:rsidP="00337D1C">
      <w:pPr>
        <w:autoSpaceDE w:val="0"/>
        <w:autoSpaceDN w:val="0"/>
        <w:adjustRightInd w:val="0"/>
        <w:spacing w:after="0" w:line="240" w:lineRule="auto"/>
        <w:jc w:val="both"/>
        <w:rPr>
          <w:rFonts w:ascii="Arial Narrow" w:hAnsi="Arial Narrow" w:cs="FrutigerLTStd-Bold"/>
          <w:b/>
          <w:bCs/>
          <w:sz w:val="24"/>
          <w:szCs w:val="24"/>
        </w:rPr>
      </w:pPr>
    </w:p>
    <w:p w:rsidR="001C0091" w:rsidRPr="00EE003F" w:rsidRDefault="007F610E" w:rsidP="00337D1C">
      <w:pPr>
        <w:autoSpaceDE w:val="0"/>
        <w:autoSpaceDN w:val="0"/>
        <w:adjustRightInd w:val="0"/>
        <w:spacing w:after="0" w:line="240" w:lineRule="auto"/>
        <w:jc w:val="both"/>
        <w:rPr>
          <w:rFonts w:ascii="Arial Narrow" w:hAnsi="Arial Narrow" w:cs="FrutigerLTStd-Bold"/>
          <w:bCs/>
          <w:sz w:val="18"/>
          <w:szCs w:val="24"/>
        </w:rPr>
      </w:pPr>
      <w:r w:rsidRPr="00EE003F">
        <w:rPr>
          <w:noProof/>
          <w:lang w:eastAsia="es-PE"/>
        </w:rPr>
        <w:drawing>
          <wp:inline distT="0" distB="0" distL="0" distR="0" wp14:anchorId="3FB15CBF" wp14:editId="123FD4E5">
            <wp:extent cx="4288221" cy="267104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315719" cy="2688168"/>
                    </a:xfrm>
                    <a:prstGeom prst="rect">
                      <a:avLst/>
                    </a:prstGeom>
                  </pic:spPr>
                </pic:pic>
              </a:graphicData>
            </a:graphic>
          </wp:inline>
        </w:drawing>
      </w:r>
    </w:p>
    <w:p w:rsidR="001C0091" w:rsidRPr="00EE003F" w:rsidRDefault="001C0091" w:rsidP="00337D1C">
      <w:pPr>
        <w:autoSpaceDE w:val="0"/>
        <w:autoSpaceDN w:val="0"/>
        <w:adjustRightInd w:val="0"/>
        <w:spacing w:after="0" w:line="240" w:lineRule="auto"/>
        <w:jc w:val="both"/>
        <w:rPr>
          <w:rFonts w:ascii="Arial Narrow" w:hAnsi="Arial Narrow" w:cs="FrutigerLTStd-Bold"/>
          <w:bCs/>
          <w:sz w:val="18"/>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5729B2" w:rsidRPr="00EE003F" w:rsidRDefault="005729B2" w:rsidP="00F441B8">
      <w:pPr>
        <w:suppressAutoHyphens/>
        <w:autoSpaceDE w:val="0"/>
        <w:autoSpaceDN w:val="0"/>
        <w:adjustRightInd w:val="0"/>
        <w:spacing w:before="120"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La disponibilidad de un servicio eléctrico de calidad promueve el estándar de vida de la población y el uso de recursos tecnológicos. En el caso peruano, las dificultades geográficas y la baja inversión en infraestructura energética han provocado una gran brecha entre la oferta y la demanda de energía, especialmente en el área rural. Para alcanzar las metas propuestas, se requieren mayores fuentes de financiamiento, agilizar procesos de inversión, planificación y gestión de proyectos de electrificación que nos permitan tener una mayor interconexión eléctrica. </w:t>
      </w:r>
    </w:p>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1C0091" w:rsidP="00337D1C">
      <w:pPr>
        <w:tabs>
          <w:tab w:val="left" w:pos="1358"/>
        </w:tabs>
        <w:autoSpaceDE w:val="0"/>
        <w:autoSpaceDN w:val="0"/>
        <w:adjustRightInd w:val="0"/>
        <w:spacing w:after="0" w:line="240" w:lineRule="auto"/>
        <w:jc w:val="both"/>
        <w:rPr>
          <w:rFonts w:ascii="Arial Narrow" w:hAnsi="Arial Narrow" w:cs="FrutigerLTStd-BoldCn"/>
          <w:b/>
          <w:bCs/>
          <w:sz w:val="24"/>
          <w:szCs w:val="24"/>
        </w:rPr>
      </w:pPr>
      <w:r w:rsidRPr="00EE003F">
        <w:rPr>
          <w:rFonts w:ascii="Arial Narrow" w:hAnsi="Arial Narrow"/>
          <w:noProof/>
          <w:lang w:eastAsia="es-PE"/>
        </w:rPr>
        <w:drawing>
          <wp:inline distT="0" distB="0" distL="0" distR="0" wp14:anchorId="35D70FF0" wp14:editId="168B2D40">
            <wp:extent cx="4981904" cy="2700079"/>
            <wp:effectExtent l="0" t="0" r="9525" b="508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90098" cy="2704520"/>
                    </a:xfrm>
                    <a:prstGeom prst="rect">
                      <a:avLst/>
                    </a:prstGeom>
                    <a:noFill/>
                  </pic:spPr>
                </pic:pic>
              </a:graphicData>
            </a:graphic>
          </wp:inline>
        </w:drawing>
      </w:r>
    </w:p>
    <w:p w:rsidR="001C0091" w:rsidRPr="00EE003F" w:rsidRDefault="001C0091" w:rsidP="001C0091">
      <w:pPr>
        <w:rPr>
          <w:rFonts w:ascii="Arial Narrow" w:hAnsi="Arial Narrow"/>
          <w:sz w:val="20"/>
        </w:rPr>
      </w:pPr>
      <w:r w:rsidRPr="00EE003F">
        <w:rPr>
          <w:rFonts w:ascii="Arial Narrow" w:hAnsi="Arial Narrow"/>
          <w:sz w:val="20"/>
        </w:rPr>
        <w:t xml:space="preserve">Fuente: INEI – ENAHO </w:t>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F57416" w:rsidRPr="00EE003F" w:rsidRDefault="00F57416" w:rsidP="00F441B8">
      <w:pPr>
        <w:suppressAutoHyphens/>
        <w:autoSpaceDE w:val="0"/>
        <w:autoSpaceDN w:val="0"/>
        <w:adjustRightInd w:val="0"/>
        <w:spacing w:before="120"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El uso de combustibles alternativos en los hogares refleja no solo la condición de vida de las personas, también el manejo energético. En el Perú, el terreno agreste y la dispersión de la población han sido limitantes para la implementación de un sistema de masificación de energías. Para alcanzar las metas propuestas es necesario</w:t>
      </w:r>
      <w:r w:rsidR="00D45947" w:rsidRPr="00EE003F">
        <w:rPr>
          <w:rFonts w:ascii="Arial Narrow" w:hAnsi="Arial Narrow" w:cs="Frutiger LT Std 45 Light"/>
          <w:sz w:val="24"/>
          <w:szCs w:val="24"/>
          <w:lang w:val="es-ES_tradnl"/>
        </w:rPr>
        <w:t xml:space="preserve"> seguir</w:t>
      </w:r>
      <w:r w:rsidRPr="00EE003F">
        <w:rPr>
          <w:rFonts w:ascii="Arial Narrow" w:hAnsi="Arial Narrow" w:cs="Frutiger LT Std 45 Light"/>
          <w:sz w:val="24"/>
          <w:szCs w:val="24"/>
          <w:lang w:val="es-ES_tradnl"/>
        </w:rPr>
        <w:t xml:space="preserve"> aprovech</w:t>
      </w:r>
      <w:r w:rsidR="00D45947" w:rsidRPr="00EE003F">
        <w:rPr>
          <w:rFonts w:ascii="Arial Narrow" w:hAnsi="Arial Narrow" w:cs="Frutiger LT Std 45 Light"/>
          <w:sz w:val="24"/>
          <w:szCs w:val="24"/>
          <w:lang w:val="es-ES_tradnl"/>
        </w:rPr>
        <w:t>ando</w:t>
      </w:r>
      <w:r w:rsidRPr="00EE003F">
        <w:rPr>
          <w:rFonts w:ascii="Arial Narrow" w:hAnsi="Arial Narrow" w:cs="Frutiger LT Std 45 Light"/>
          <w:sz w:val="24"/>
          <w:szCs w:val="24"/>
          <w:lang w:val="es-ES_tradnl"/>
        </w:rPr>
        <w:t xml:space="preserve"> las reservas de gas natural disponibles en el territorio nacional y su masificación para el uso residencial; así también sensibilizar a la población en el beneficio y uso eficiente de gas y electricidad.</w:t>
      </w:r>
    </w:p>
    <w:p w:rsidR="005B1B3E" w:rsidRPr="00EE003F" w:rsidRDefault="005B1B3E">
      <w:pP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br w:type="page"/>
      </w:r>
    </w:p>
    <w:p w:rsidR="005B1B3E" w:rsidRPr="00EE003F" w:rsidRDefault="005B1B3E" w:rsidP="00F441B8">
      <w:pPr>
        <w:suppressAutoHyphens/>
        <w:autoSpaceDE w:val="0"/>
        <w:autoSpaceDN w:val="0"/>
        <w:adjustRightInd w:val="0"/>
        <w:spacing w:before="120" w:after="0" w:line="240" w:lineRule="auto"/>
        <w:jc w:val="both"/>
        <w:textAlignment w:val="center"/>
        <w:rPr>
          <w:rFonts w:ascii="Arial Narrow" w:hAnsi="Arial Narrow" w:cs="Frutiger LT Std 45 Light"/>
          <w:sz w:val="24"/>
          <w:szCs w:val="24"/>
          <w:lang w:val="es-ES_tradnl"/>
        </w:rPr>
      </w:pPr>
    </w:p>
    <w:p w:rsidR="009E4A0B" w:rsidRPr="00EE003F" w:rsidRDefault="00FD7F4C" w:rsidP="00F441B8">
      <w:pPr>
        <w:suppressAutoHyphens/>
        <w:autoSpaceDE w:val="0"/>
        <w:autoSpaceDN w:val="0"/>
        <w:adjustRightInd w:val="0"/>
        <w:spacing w:before="120"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noProof/>
          <w:sz w:val="24"/>
          <w:szCs w:val="24"/>
          <w:lang w:eastAsia="es-PE"/>
        </w:rPr>
        <w:drawing>
          <wp:inline distT="0" distB="0" distL="0" distR="0" wp14:anchorId="7453B987" wp14:editId="4B01629C">
            <wp:extent cx="4214398" cy="2690804"/>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27813" cy="2699369"/>
                    </a:xfrm>
                    <a:prstGeom prst="rect">
                      <a:avLst/>
                    </a:prstGeom>
                    <a:noFill/>
                  </pic:spPr>
                </pic:pic>
              </a:graphicData>
            </a:graphic>
          </wp:inline>
        </w:drawing>
      </w:r>
    </w:p>
    <w:p w:rsidR="009E4A0B" w:rsidRPr="00EE003F" w:rsidRDefault="009E4A0B" w:rsidP="00F441B8">
      <w:pPr>
        <w:suppressAutoHyphens/>
        <w:autoSpaceDE w:val="0"/>
        <w:autoSpaceDN w:val="0"/>
        <w:adjustRightInd w:val="0"/>
        <w:spacing w:before="120" w:after="0" w:line="240" w:lineRule="auto"/>
        <w:jc w:val="both"/>
        <w:textAlignment w:val="center"/>
        <w:rPr>
          <w:rFonts w:ascii="Arial Narrow" w:hAnsi="Arial Narrow" w:cs="Frutiger LT Std 45 Light"/>
          <w:sz w:val="24"/>
          <w:szCs w:val="24"/>
          <w:lang w:val="es-ES_tradnl"/>
        </w:rPr>
      </w:pPr>
    </w:p>
    <w:p w:rsidR="009E4A0B" w:rsidRPr="00EE003F" w:rsidRDefault="009E4A0B" w:rsidP="009E4A0B">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9E4A0B" w:rsidP="00337D1C">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El objetivo de la política es la masificación del gas natural hacia el 2021 a través de la ampliación de la distribución, haciendo investigaciones de los recursos gasíferos del Perú y perfeccionando los mecanismos de regulación de las actividades del servicio de transporte y distribución del gas. </w:t>
      </w:r>
    </w:p>
    <w:p w:rsidR="005B1B3E" w:rsidRPr="00EE003F" w:rsidRDefault="005B1B3E"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5B1B3E" w:rsidRPr="00EE003F" w:rsidRDefault="005B1B3E"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DB50B7" w:rsidRPr="00EE003F" w:rsidRDefault="00DB50B7" w:rsidP="00962397">
      <w:pPr>
        <w:tabs>
          <w:tab w:val="left" w:pos="2364"/>
        </w:tabs>
        <w:autoSpaceDE w:val="0"/>
        <w:autoSpaceDN w:val="0"/>
        <w:adjustRightInd w:val="0"/>
        <w:spacing w:after="0" w:line="288" w:lineRule="auto"/>
        <w:textAlignment w:val="center"/>
        <w:rPr>
          <w:rFonts w:ascii="Arial Narrow" w:hAnsi="Arial Narrow" w:cs="Frutiger LT Std 45 Light"/>
          <w:b/>
          <w:bCs/>
          <w:sz w:val="20"/>
          <w:szCs w:val="20"/>
          <w:lang w:val="es-ES_tradnl"/>
        </w:rPr>
      </w:pPr>
      <w:r w:rsidRPr="00EE003F">
        <w:rPr>
          <w:rFonts w:ascii="Arial Narrow" w:hAnsi="Arial Narrow"/>
          <w:noProof/>
          <w:lang w:eastAsia="es-PE"/>
        </w:rPr>
        <w:drawing>
          <wp:inline distT="0" distB="0" distL="0" distR="0" wp14:anchorId="0F30CA2D" wp14:editId="5DC8C91B">
            <wp:extent cx="4378435" cy="2361936"/>
            <wp:effectExtent l="0" t="0" r="3175" b="63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88301" cy="2367258"/>
                    </a:xfrm>
                    <a:prstGeom prst="rect">
                      <a:avLst/>
                    </a:prstGeom>
                  </pic:spPr>
                </pic:pic>
              </a:graphicData>
            </a:graphic>
          </wp:inline>
        </w:drawing>
      </w:r>
    </w:p>
    <w:p w:rsidR="00DB50B7" w:rsidRPr="00EE003F" w:rsidRDefault="00DB50B7" w:rsidP="00962397">
      <w:pPr>
        <w:tabs>
          <w:tab w:val="left" w:pos="2364"/>
        </w:tabs>
        <w:autoSpaceDE w:val="0"/>
        <w:autoSpaceDN w:val="0"/>
        <w:adjustRightInd w:val="0"/>
        <w:spacing w:after="0" w:line="288" w:lineRule="auto"/>
        <w:textAlignment w:val="center"/>
        <w:rPr>
          <w:rFonts w:ascii="Arial Narrow" w:hAnsi="Arial Narrow" w:cs="Frutiger LT Std 45 Light"/>
          <w:bCs/>
          <w:sz w:val="16"/>
          <w:szCs w:val="20"/>
          <w:lang w:val="es-ES_tradnl"/>
        </w:rPr>
      </w:pPr>
      <w:r w:rsidRPr="00EE003F">
        <w:rPr>
          <w:rFonts w:ascii="Arial Narrow" w:hAnsi="Arial Narrow" w:cs="Frutiger LT Std 45 Light"/>
          <w:bCs/>
          <w:sz w:val="16"/>
          <w:szCs w:val="20"/>
          <w:lang w:val="es-ES_tradnl"/>
        </w:rPr>
        <w:t>Fuente: Ministerio de Vivienda y Urbanismo</w:t>
      </w:r>
    </w:p>
    <w:p w:rsidR="00DB50B7" w:rsidRPr="00EE003F" w:rsidRDefault="00DB50B7" w:rsidP="00962397">
      <w:pPr>
        <w:tabs>
          <w:tab w:val="left" w:pos="2364"/>
        </w:tabs>
        <w:autoSpaceDE w:val="0"/>
        <w:autoSpaceDN w:val="0"/>
        <w:adjustRightInd w:val="0"/>
        <w:spacing w:after="0" w:line="288" w:lineRule="auto"/>
        <w:textAlignment w:val="center"/>
        <w:rPr>
          <w:rFonts w:ascii="Arial Narrow" w:hAnsi="Arial Narrow" w:cs="Frutiger LT Std 45 Light"/>
          <w:b/>
          <w:bCs/>
          <w:sz w:val="20"/>
          <w:szCs w:val="20"/>
          <w:lang w:val="es-ES_tradnl"/>
        </w:rPr>
      </w:pPr>
    </w:p>
    <w:p w:rsidR="00DB50B7" w:rsidRPr="00EE003F" w:rsidRDefault="00F57416" w:rsidP="005B1B3E">
      <w:pPr>
        <w:autoSpaceDE w:val="0"/>
        <w:autoSpaceDN w:val="0"/>
        <w:adjustRightInd w:val="0"/>
        <w:spacing w:after="0" w:line="240" w:lineRule="auto"/>
        <w:jc w:val="both"/>
        <w:rPr>
          <w:rFonts w:ascii="Arial Narrow" w:hAnsi="Arial Narrow" w:cs="Frutiger LT Std 45 Light"/>
          <w:sz w:val="20"/>
          <w:szCs w:val="20"/>
          <w:lang w:val="es-ES_tradnl"/>
        </w:rPr>
      </w:pPr>
      <w:r w:rsidRPr="00EE003F">
        <w:rPr>
          <w:rFonts w:ascii="Arial Narrow" w:hAnsi="Arial Narrow" w:cs="FrutigerLTStd-Bold"/>
          <w:b/>
          <w:bCs/>
          <w:sz w:val="24"/>
          <w:szCs w:val="24"/>
        </w:rPr>
        <w:t>Interpretación</w:t>
      </w:r>
    </w:p>
    <w:p w:rsidR="00F57416" w:rsidRPr="00EE003F" w:rsidRDefault="00F57416" w:rsidP="005B1B3E">
      <w:pPr>
        <w:tabs>
          <w:tab w:val="left" w:pos="2364"/>
        </w:tabs>
        <w:autoSpaceDE w:val="0"/>
        <w:autoSpaceDN w:val="0"/>
        <w:adjustRightInd w:val="0"/>
        <w:spacing w:before="120" w:after="0" w:line="240" w:lineRule="auto"/>
        <w:jc w:val="both"/>
        <w:textAlignment w:val="center"/>
        <w:rPr>
          <w:rFonts w:ascii="Arial Narrow" w:eastAsia="FrutigerLTStd-Light" w:hAnsi="Arial Narrow" w:cs="FrutigerLTStd-Light"/>
          <w:sz w:val="24"/>
          <w:szCs w:val="24"/>
        </w:rPr>
      </w:pPr>
      <w:r w:rsidRPr="00EE003F">
        <w:rPr>
          <w:rFonts w:ascii="Arial Narrow" w:hAnsi="Arial Narrow" w:cs="Frutiger LT Std 45 Light"/>
          <w:spacing w:val="2"/>
          <w:sz w:val="24"/>
          <w:szCs w:val="20"/>
          <w:lang w:val="es-ES_tradnl"/>
        </w:rPr>
        <w:t>El proceso de urbanización desordenado, experimentado en las últimas décadas, ha dado como resultado el incremento de viviendas poco funcionales, altamente vulnerables y poco salubres; ello debido a la dificultad para el acceso a los servicios básicos, la autoconstrucción y el uso de materiales precarios. En esta medida, las metas propuestas van de acuerdo a la implementación, de manera descentralizada, de los programas de financiamiento como Mivivienda y Techo Propio, que promueven el acceso a la vivienda; además de programas orientados a la formalización predial, el crecimiento ordenado y la competitividad de las ciudades.</w:t>
      </w:r>
    </w:p>
    <w:p w:rsidR="00DC3F82" w:rsidRPr="00EE003F" w:rsidRDefault="00DC3F82">
      <w:pPr>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br w:type="page"/>
      </w:r>
    </w:p>
    <w:p w:rsidR="00337D1C" w:rsidRPr="00EE003F" w:rsidRDefault="00EF313F" w:rsidP="00EF313F">
      <w:pPr>
        <w:pStyle w:val="Ttulo2"/>
        <w:jc w:val="left"/>
        <w:rPr>
          <w:rFonts w:asciiTheme="minorHAnsi" w:hAnsiTheme="minorHAnsi"/>
          <w:lang w:val="es-ES_tradnl"/>
        </w:rPr>
      </w:pPr>
      <w:bookmarkStart w:id="34" w:name="_Toc453004673"/>
      <w:r w:rsidRPr="00EE003F">
        <w:rPr>
          <w:rFonts w:asciiTheme="minorHAnsi" w:hAnsiTheme="minorHAnsi"/>
          <w:lang w:val="es-ES_tradnl"/>
        </w:rPr>
        <w:t>Eje e</w:t>
      </w:r>
      <w:r w:rsidR="00337D1C" w:rsidRPr="00EE003F">
        <w:rPr>
          <w:rFonts w:asciiTheme="minorHAnsi" w:hAnsiTheme="minorHAnsi"/>
          <w:lang w:val="es-ES_tradnl"/>
        </w:rPr>
        <w:t>stratégico</w:t>
      </w:r>
      <w:r w:rsidR="00A3713F" w:rsidRPr="00EE003F">
        <w:rPr>
          <w:rFonts w:asciiTheme="minorHAnsi" w:hAnsiTheme="minorHAnsi"/>
          <w:lang w:val="es-ES_tradnl"/>
        </w:rPr>
        <w:t xml:space="preserve"> 3</w:t>
      </w:r>
      <w:bookmarkStart w:id="35" w:name="_Toc448398402"/>
      <w:r w:rsidRPr="00EE003F">
        <w:rPr>
          <w:sz w:val="32"/>
          <w:szCs w:val="32"/>
        </w:rPr>
        <w:br/>
      </w:r>
      <w:r w:rsidR="00337D1C" w:rsidRPr="00EE003F">
        <w:rPr>
          <w:rFonts w:asciiTheme="minorHAnsi" w:hAnsiTheme="minorHAnsi"/>
          <w:lang w:val="es-ES_tradnl"/>
        </w:rPr>
        <w:t>Estado y Gobernabilidad</w:t>
      </w:r>
      <w:bookmarkEnd w:id="34"/>
      <w:bookmarkEnd w:id="35"/>
    </w:p>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FrutigerLTStd-BlackCn"/>
          <w:sz w:val="24"/>
          <w:szCs w:val="24"/>
        </w:rPr>
      </w:pPr>
    </w:p>
    <w:p w:rsidR="00337D1C" w:rsidRPr="00EE003F" w:rsidRDefault="00337D1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Por primera vez en la historia reciente del Perú, nos </w:t>
      </w:r>
      <w:r w:rsidR="00004A9C" w:rsidRPr="00EE003F">
        <w:rPr>
          <w:rFonts w:ascii="Arial Narrow" w:eastAsia="FrutigerLTStd-Light" w:hAnsi="Arial Narrow" w:cs="FrutigerLTStd-Light"/>
          <w:sz w:val="24"/>
          <w:szCs w:val="24"/>
        </w:rPr>
        <w:t>encontramos en</w:t>
      </w:r>
      <w:r w:rsidRPr="00EE003F">
        <w:rPr>
          <w:rFonts w:ascii="Arial Narrow" w:eastAsia="FrutigerLTStd-Light" w:hAnsi="Arial Narrow" w:cs="FrutigerLTStd-Light"/>
          <w:sz w:val="24"/>
          <w:szCs w:val="24"/>
        </w:rPr>
        <w:t xml:space="preserve"> nuestra cuarta elección libre y transparente de forma consecutiva, en la que todos los ciudadanos mayores de edad pueden votar.</w:t>
      </w:r>
      <w:r w:rsidR="0041590F" w:rsidRPr="00EE003F">
        <w:rPr>
          <w:rFonts w:ascii="Arial Narrow" w:eastAsia="FrutigerLTStd-Light" w:hAnsi="Arial Narrow" w:cs="FrutigerLTStd-Light"/>
          <w:sz w:val="24"/>
          <w:szCs w:val="24"/>
        </w:rPr>
        <w:t xml:space="preserve"> </w:t>
      </w:r>
      <w:r w:rsidRPr="00EE003F">
        <w:rPr>
          <w:rFonts w:ascii="Arial Narrow" w:eastAsia="FrutigerLTStd-Light" w:hAnsi="Arial Narrow" w:cs="FrutigerLTStd-Light"/>
          <w:sz w:val="24"/>
          <w:szCs w:val="24"/>
        </w:rPr>
        <w:t>La democracia, entendida no solo como el sistema por el cual se elige a los representantes sino como una forma de gobierno, se consolida y su continuidad está asegurada. Sin embargo, a pesar de que el Estado peruano provee una mayor cantidad de bienes y servicios que en el pasado, las demandas de los ciudadanos han sobrepasado. Este desequilibro entre las demandas de los ciudadanos y la respuesta del Estado, que no alcanza a satisfacerlas, demuestra un déficit de gobernabilidad en el país.</w:t>
      </w:r>
    </w:p>
    <w:p w:rsidR="00337D1C" w:rsidRPr="00EE003F" w:rsidRDefault="00337D1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La gobernabilidad se entiende como “la capacidad de gobernar, es decir, hacer valer decisiones socialmente obligatorias para mantener de esa manera la capacidad de acción del sistema político hacia adentro y hacia afuera, en especial frente a la economía y la sociedad y con ello también su legitimidad” (Nohlen 20</w:t>
      </w:r>
      <w:r w:rsidR="00E93634" w:rsidRPr="00EE003F">
        <w:rPr>
          <w:rFonts w:ascii="Arial Narrow" w:eastAsia="FrutigerLTStd-Light" w:hAnsi="Arial Narrow" w:cs="FrutigerLTStd-Light"/>
          <w:sz w:val="24"/>
          <w:szCs w:val="24"/>
        </w:rPr>
        <w:t>0</w:t>
      </w:r>
      <w:r w:rsidRPr="00EE003F">
        <w:rPr>
          <w:rFonts w:ascii="Arial Narrow" w:eastAsia="FrutigerLTStd-Light" w:hAnsi="Arial Narrow" w:cs="FrutigerLTStd-Light"/>
          <w:sz w:val="24"/>
          <w:szCs w:val="24"/>
        </w:rPr>
        <w:t>1: 289). Este concepto nos sirve para conocer y evaluar el rendimiento del sistema político y en capacidad para dirigir la sociedad y sus conflictos.</w:t>
      </w:r>
    </w:p>
    <w:p w:rsidR="00337D1C" w:rsidRPr="00EE003F" w:rsidRDefault="00337D1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El Eje 3 toma como base el modelo de gobernabilidad empleado por el Banco Mundial (Kaufmann, Kraay, </w:t>
      </w:r>
      <w:r w:rsidR="00E863CE" w:rsidRPr="00EE003F">
        <w:rPr>
          <w:rFonts w:ascii="Arial Narrow" w:eastAsia="FrutigerLTStd-Light" w:hAnsi="Arial Narrow" w:cs="FrutigerLTStd-Light"/>
          <w:sz w:val="24"/>
          <w:szCs w:val="24"/>
        </w:rPr>
        <w:t>y</w:t>
      </w:r>
      <w:r w:rsidRPr="00EE003F">
        <w:rPr>
          <w:rFonts w:ascii="Arial Narrow" w:eastAsia="FrutigerLTStd-Light" w:hAnsi="Arial Narrow" w:cs="FrutigerLTStd-Light"/>
          <w:sz w:val="24"/>
          <w:szCs w:val="24"/>
        </w:rPr>
        <w:t xml:space="preserve"> Mastruzzi, 2009). Este modelo considera que los aspectos políticos, económicos e institucionales impactan en la gobernabilidad de los países. De acuerdo al modelo propuesto por el Banco Mundial, se han identificado cinco temas para el análisis de la gobernabilidad en el país: la representatividad política, la gestión pública, el Estado de derecho, la seguridad nacional y la presencia e imagen del Perú en el escenario internacional.</w:t>
      </w:r>
    </w:p>
    <w:p w:rsidR="00337D1C" w:rsidRPr="00EE003F" w:rsidRDefault="00337D1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Se propone como objetivo nacional: “Desarrollar y consolidar la gobernabilidad democrática y una fuerte institucionalidad </w:t>
      </w:r>
      <w:r w:rsidR="00727194" w:rsidRPr="00EE003F">
        <w:rPr>
          <w:rFonts w:ascii="Arial Narrow" w:eastAsia="FrutigerLTStd-Light" w:hAnsi="Arial Narrow" w:cs="FrutigerLTStd-Light"/>
          <w:sz w:val="24"/>
          <w:szCs w:val="24"/>
        </w:rPr>
        <w:t>pública</w:t>
      </w:r>
      <w:r w:rsidRPr="00EE003F">
        <w:rPr>
          <w:rFonts w:ascii="Arial Narrow" w:eastAsia="FrutigerLTStd-Light" w:hAnsi="Arial Narrow" w:cs="FrutigerLTStd-Light"/>
          <w:sz w:val="24"/>
          <w:szCs w:val="24"/>
        </w:rPr>
        <w:t>”. Para su medición, se toma como referencia el Índice de Efectividad Gubernamental elaborado por el Banco Mundial, el cual abarca los diversos temas propuestos para analizar la gobernabilidad en nuestro país. Este índice permite medir el funcionamiento y las acciones del Estado desde el punto de vista del ciudadano, y evaluar tanto la calidad de los servicios públicos como la satisfacción de los ciudadanos con respecto a estos; además analiza la independencia de las acciones del Estado frente a intereses y presiones políticas.</w:t>
      </w:r>
    </w:p>
    <w:p w:rsidR="00337D1C" w:rsidRPr="00EE003F" w:rsidRDefault="00337D1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El reto planteado para el Eje 3 es consolidar la gobernabilidad y desarrollar una fuerte institucionalidad pública. Para lograrlo, se plantea desarrollar mecanismos que permitan consolidar la institucionalidad democrática y la representatividad política, en los tres niveles</w:t>
      </w:r>
      <w:r w:rsidR="00BF4BEC" w:rsidRPr="00EE003F">
        <w:rPr>
          <w:rFonts w:ascii="Arial Narrow" w:eastAsia="FrutigerLTStd-Light" w:hAnsi="Arial Narrow" w:cs="FrutigerLTStd-Light"/>
          <w:sz w:val="24"/>
          <w:szCs w:val="24"/>
        </w:rPr>
        <w:t xml:space="preserve"> </w:t>
      </w:r>
      <w:r w:rsidR="00D44D55" w:rsidRPr="00EE003F">
        <w:rPr>
          <w:rFonts w:ascii="Arial Narrow" w:eastAsia="FrutigerLTStd-Light" w:hAnsi="Arial Narrow" w:cs="FrutigerLTStd-Light"/>
          <w:sz w:val="24"/>
          <w:szCs w:val="24"/>
        </w:rPr>
        <w:t>de gobierno; así como la mejora de los servicios judiciales en la solución de los conflictos. Desarrollar una gestión pública efectiva orientada al ciudadano; garantizar efectivamente el Estado de derecho y la seguridad ciudadana, combatiendo las causas y efectos de los graves problemas de delincuencia y violencia que afectan al país, y contar con un Poder Judicial que pueda resolver los conflictos de manera justa, célere y eficiente. Además, tenemos como reto garantizar la seguridad nacional, la integración y la cooperación fronteriza, subregiona</w:t>
      </w:r>
      <w:r w:rsidR="00BF4BEC" w:rsidRPr="00EE003F">
        <w:rPr>
          <w:rFonts w:ascii="Arial Narrow" w:eastAsia="FrutigerLTStd-Light" w:hAnsi="Arial Narrow" w:cs="FrutigerLTStd-Light"/>
          <w:sz w:val="24"/>
          <w:szCs w:val="24"/>
        </w:rPr>
        <w:t>l, regional y hemisférica.</w:t>
      </w:r>
    </w:p>
    <w:p w:rsidR="00337D1C" w:rsidRPr="00EE003F" w:rsidRDefault="00337D1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Para medir el avance de las múltiples dimensiones del reto plan</w:t>
      </w:r>
      <w:r w:rsidR="00727194" w:rsidRPr="00EE003F">
        <w:rPr>
          <w:rFonts w:ascii="Arial Narrow" w:eastAsia="FrutigerLTStd-Light" w:hAnsi="Arial Narrow" w:cs="FrutigerLTStd-Light"/>
          <w:sz w:val="24"/>
          <w:szCs w:val="24"/>
        </w:rPr>
        <w:t xml:space="preserve">teado se detallan los objetivos </w:t>
      </w:r>
      <w:r w:rsidRPr="00EE003F">
        <w:rPr>
          <w:rFonts w:ascii="Arial Narrow" w:eastAsia="FrutigerLTStd-Light" w:hAnsi="Arial Narrow" w:cs="FrutigerLTStd-Light"/>
          <w:sz w:val="24"/>
          <w:szCs w:val="24"/>
        </w:rPr>
        <w:t>específicos y sus respectivos indicadores de seguimiento:</w:t>
      </w:r>
    </w:p>
    <w:p w:rsidR="00337D1C" w:rsidRPr="00EE003F" w:rsidRDefault="002C10DB" w:rsidP="00F441B8">
      <w:pPr>
        <w:pStyle w:val="Prrafodelista"/>
        <w:numPr>
          <w:ilvl w:val="0"/>
          <w:numId w:val="4"/>
        </w:numPr>
        <w:autoSpaceDE w:val="0"/>
        <w:autoSpaceDN w:val="0"/>
        <w:adjustRightInd w:val="0"/>
        <w:spacing w:before="120" w:after="0" w:line="240" w:lineRule="auto"/>
        <w:jc w:val="both"/>
        <w:rPr>
          <w:rFonts w:ascii="Arial Narrow" w:eastAsia="FrutigerLTStd-Light" w:hAnsi="Arial Narrow" w:cs="FrutigerLTStd-Italic"/>
          <w:i/>
          <w:iCs/>
          <w:sz w:val="24"/>
          <w:szCs w:val="24"/>
        </w:rPr>
      </w:pPr>
      <w:r w:rsidRPr="00EE003F">
        <w:rPr>
          <w:rFonts w:ascii="Arial Narrow" w:eastAsia="FrutigerLTStd-Light" w:hAnsi="Arial Narrow" w:cs="FrutigerLTStd-Italic"/>
          <w:i/>
          <w:iCs/>
          <w:sz w:val="24"/>
          <w:szCs w:val="24"/>
        </w:rPr>
        <w:t>Desarrollar mecanismos que permitan consolidar la institucionalidad democrática, con transparencia, rendición de cuentas y representatividad política, en los tres niveles de gobierno. Se utilizará el Índice de Voz,  y Rendición de cuentas, elaborado por el Banco Mundial, para hacer seguimiento a este objetivo. Este indicador permite medir la participación ciudadana y libertad para tomar decisiones en la elección de sus representantes políticos y el nivel de expresión. De igual forma, muestra la capacidad del Estado para rendir cuentas con transparencia, requisitos básicos para un buen gobierno y el funcionamiento del sistema democrático</w:t>
      </w:r>
      <w:r w:rsidR="00337D1C" w:rsidRPr="00EE003F">
        <w:rPr>
          <w:rFonts w:ascii="Arial Narrow" w:eastAsia="FrutigerLTStd-Light" w:hAnsi="Arial Narrow" w:cs="FrutigerLTStd-Light"/>
          <w:sz w:val="24"/>
          <w:szCs w:val="24"/>
        </w:rPr>
        <w:t>.</w:t>
      </w:r>
    </w:p>
    <w:p w:rsidR="00337D1C" w:rsidRPr="00EE003F" w:rsidRDefault="00337D1C" w:rsidP="00F441B8">
      <w:pPr>
        <w:pStyle w:val="Prrafodelista"/>
        <w:numPr>
          <w:ilvl w:val="0"/>
          <w:numId w:val="4"/>
        </w:num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Italic"/>
          <w:i/>
          <w:iCs/>
          <w:sz w:val="24"/>
          <w:szCs w:val="24"/>
        </w:rPr>
        <w:t xml:space="preserve">Desarrollar una gestión pública efectiva en los tres niveles de gobierno. </w:t>
      </w:r>
      <w:r w:rsidRPr="00EE003F">
        <w:rPr>
          <w:rFonts w:ascii="Arial Narrow" w:eastAsia="FrutigerLTStd-Light" w:hAnsi="Arial Narrow" w:cs="FrutigerLTStd-Light"/>
          <w:sz w:val="24"/>
          <w:szCs w:val="24"/>
        </w:rPr>
        <w:t>Se utilizan dos indicadores para hacer seguimiento a este objetivo, el Índice Calidad Regulatoria y el Índice de desarrollo del gobierno electrónico. El primero, elaborado por el Banco Mundial, mide la capacidad del Gobierno para establecer políticas y reglamentaciones acertadas que permitan y promuevan el desarrollo del sector privado. El segundo, elaborado por las Naciones Unidas, mide la predisposición y la capacidad de las administraciones nacionales para utilizar las tecnologías de la información y las comunicaciones en la prestación de los servicios públicos.</w:t>
      </w:r>
    </w:p>
    <w:p w:rsidR="00BF4BEC" w:rsidRPr="00EE003F" w:rsidRDefault="00BF4BEC" w:rsidP="00F441B8">
      <w:pPr>
        <w:numPr>
          <w:ilvl w:val="0"/>
          <w:numId w:val="4"/>
        </w:numPr>
        <w:autoSpaceDE w:val="0"/>
        <w:autoSpaceDN w:val="0"/>
        <w:adjustRightInd w:val="0"/>
        <w:spacing w:before="120" w:after="0" w:line="240" w:lineRule="auto"/>
        <w:contextualSpacing/>
        <w:jc w:val="both"/>
        <w:rPr>
          <w:rFonts w:ascii="Arial Narrow" w:eastAsia="FrutigerLTStd-Light" w:hAnsi="Arial Narrow" w:cs="FrutigerLTStd-Light"/>
          <w:i/>
          <w:sz w:val="24"/>
          <w:szCs w:val="24"/>
        </w:rPr>
      </w:pPr>
      <w:r w:rsidRPr="00EE003F">
        <w:rPr>
          <w:rFonts w:ascii="Arial Narrow" w:eastAsia="FrutigerLTStd-Light" w:hAnsi="Arial Narrow" w:cs="FrutigerLTStd-Light"/>
          <w:i/>
          <w:sz w:val="24"/>
          <w:szCs w:val="24"/>
        </w:rPr>
        <w:t xml:space="preserve">Desarrollar la mejora de los servicios judiciales en la resolución de conflictos de manera justa, célere y eficiente. En este caso se adopta como referencia el indicador de la Agenda de Competitividad 2014-2018, que consiste en el tiempo de duración de los procesos judiciales, cuya meta es reducir en al menos un 30%dicho tiempo. Para tal fin se propone la realización de actividades de adecuación de tecnologías de la información, a fin de promover la transparencia y la predictibilidad de la actuación jurisdiccional.   </w:t>
      </w:r>
    </w:p>
    <w:p w:rsidR="00337D1C" w:rsidRPr="00EE003F" w:rsidRDefault="00337D1C" w:rsidP="00F441B8">
      <w:pPr>
        <w:pStyle w:val="Prrafodelista"/>
        <w:numPr>
          <w:ilvl w:val="0"/>
          <w:numId w:val="4"/>
        </w:num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hAnsi="Arial Narrow" w:cs="FrutigerLTStd-Italic"/>
          <w:i/>
          <w:iCs/>
          <w:sz w:val="24"/>
          <w:szCs w:val="24"/>
        </w:rPr>
        <w:t xml:space="preserve">Garantizar el Estado de derecho y la seguridad ciudadana. </w:t>
      </w:r>
      <w:r w:rsidRPr="00EE003F">
        <w:rPr>
          <w:rFonts w:ascii="Arial Narrow" w:eastAsia="FrutigerLTStd-Light" w:hAnsi="Arial Narrow" w:cs="FrutigerLTStd-Light"/>
          <w:sz w:val="24"/>
          <w:szCs w:val="24"/>
        </w:rPr>
        <w:t>Se utilizan dos indicadores para medir este objetivo, el índice de Estado de Derecho y el Índice de Control de la Corrupción. El primero, elaborado por el Banco Mundial, mide la confianza y el cumplimiento de las reglas establecidas, tomando en cuenta el accionar de las instituciones y los ciudadanos. Del mismo modo, establece el riesgo de los ciudadanos de ser víctimas del delito. El segundo indicador, elaborado por Transparencia Internacional, refleja la percepción de las empresas y los ciudadanos frente a la corrupción que existe en el sector público.</w:t>
      </w:r>
    </w:p>
    <w:p w:rsidR="00337D1C" w:rsidRPr="00EE003F" w:rsidRDefault="00337D1C" w:rsidP="00F441B8">
      <w:pPr>
        <w:pStyle w:val="Prrafodelista"/>
        <w:numPr>
          <w:ilvl w:val="0"/>
          <w:numId w:val="4"/>
        </w:numPr>
        <w:autoSpaceDE w:val="0"/>
        <w:autoSpaceDN w:val="0"/>
        <w:adjustRightInd w:val="0"/>
        <w:spacing w:before="120" w:after="0" w:line="240" w:lineRule="auto"/>
        <w:jc w:val="both"/>
        <w:rPr>
          <w:rFonts w:ascii="Arial Narrow" w:hAnsi="Arial Narrow" w:cs="FrutigerLTStd-Italic"/>
          <w:i/>
          <w:iCs/>
          <w:sz w:val="24"/>
          <w:szCs w:val="24"/>
        </w:rPr>
      </w:pPr>
      <w:r w:rsidRPr="00EE003F">
        <w:rPr>
          <w:rFonts w:ascii="Arial Narrow" w:hAnsi="Arial Narrow" w:cs="FrutigerLTStd-Italic"/>
          <w:i/>
          <w:iCs/>
          <w:sz w:val="24"/>
          <w:szCs w:val="24"/>
        </w:rPr>
        <w:t xml:space="preserve">Garantizar la seguridad nacional, la integración y cooperación fronteriza, subregional, regional y hemisférica y velar por los miembros de la comunidad peruana en el exterior. </w:t>
      </w:r>
      <w:r w:rsidRPr="00EE003F">
        <w:rPr>
          <w:rFonts w:ascii="Arial Narrow" w:eastAsia="FrutigerLTStd-Light" w:hAnsi="Arial Narrow" w:cs="FrutigerLTStd-Light"/>
          <w:sz w:val="24"/>
          <w:szCs w:val="24"/>
        </w:rPr>
        <w:t>Se utiliza el Índice de Estabilidad Política y Ausencia de Violencia, elaborado por el Banco Mundial, para hacer seguimiento a este objetivo. Este indicador refleja la capacidad del Estado para garantizar el orden interno frente a amenazas, como el terrorismo o el crimen organizado, que busquen poner en peligro su existencia o desestabilizar su normal funcionamiento.</w:t>
      </w:r>
    </w:p>
    <w:p w:rsidR="00E536E2" w:rsidRPr="00EE003F" w:rsidRDefault="00E536E2" w:rsidP="00F441B8">
      <w:pPr>
        <w:pStyle w:val="Prrafodelista"/>
        <w:spacing w:before="120" w:after="0" w:line="240" w:lineRule="auto"/>
        <w:rPr>
          <w:rFonts w:ascii="Arial Narrow" w:hAnsi="Arial Narrow" w:cs="FrutigerLTStd-Italic"/>
          <w:i/>
          <w:iCs/>
          <w:sz w:val="24"/>
          <w:szCs w:val="24"/>
        </w:rPr>
      </w:pPr>
    </w:p>
    <w:p w:rsidR="00E536E2" w:rsidRPr="00EE003F" w:rsidRDefault="00E536E2" w:rsidP="00F441B8">
      <w:pPr>
        <w:pStyle w:val="Prrafodelista"/>
        <w:numPr>
          <w:ilvl w:val="0"/>
          <w:numId w:val="4"/>
        </w:numPr>
        <w:autoSpaceDE w:val="0"/>
        <w:autoSpaceDN w:val="0"/>
        <w:adjustRightInd w:val="0"/>
        <w:spacing w:before="120" w:after="0" w:line="240" w:lineRule="auto"/>
        <w:jc w:val="both"/>
        <w:rPr>
          <w:rFonts w:ascii="Arial Narrow" w:hAnsi="Arial Narrow" w:cs="FrutigerLTStd-Italic"/>
          <w:i/>
          <w:iCs/>
          <w:sz w:val="24"/>
          <w:szCs w:val="24"/>
        </w:rPr>
      </w:pPr>
      <w:r w:rsidRPr="00EE003F">
        <w:rPr>
          <w:rFonts w:ascii="Arial Narrow" w:hAnsi="Arial Narrow" w:cs="FrutigerLTStd-Italic"/>
          <w:iCs/>
          <w:sz w:val="24"/>
          <w:szCs w:val="24"/>
        </w:rPr>
        <w:t xml:space="preserve">Para medir </w:t>
      </w:r>
      <w:r w:rsidR="00D45947" w:rsidRPr="00EE003F">
        <w:rPr>
          <w:rFonts w:ascii="Arial Narrow" w:hAnsi="Arial Narrow" w:cs="FrutigerLTStd-Italic"/>
          <w:iCs/>
          <w:sz w:val="24"/>
          <w:szCs w:val="24"/>
        </w:rPr>
        <w:t xml:space="preserve">la </w:t>
      </w:r>
      <w:r w:rsidRPr="00EE003F">
        <w:rPr>
          <w:rFonts w:ascii="Arial Narrow" w:hAnsi="Arial Narrow" w:cs="FrutigerLTStd-Italic"/>
          <w:iCs/>
          <w:sz w:val="24"/>
          <w:szCs w:val="24"/>
        </w:rPr>
        <w:t>presencia e imagen del Perú como una potencia regional emergente en el escenario internacional y garantizar la plena presencia defensa de los intereses nacionales en el exterior se utiliza el Índice Elcano de Presencia Global (IEPG</w:t>
      </w:r>
      <w:r w:rsidRPr="00EE003F">
        <w:rPr>
          <w:rFonts w:ascii="Arial Narrow" w:hAnsi="Arial Narrow" w:cs="FrutigerLTStd-Italic"/>
          <w:i/>
          <w:iCs/>
          <w:sz w:val="24"/>
          <w:szCs w:val="24"/>
        </w:rPr>
        <w:t>).</w:t>
      </w:r>
    </w:p>
    <w:p w:rsidR="00F441B8" w:rsidRPr="00EE003F" w:rsidRDefault="00F441B8">
      <w:pPr>
        <w:rPr>
          <w:rFonts w:ascii="Arial Narrow" w:hAnsi="Arial Narrow" w:cs="FrutigerLTStd-Italic"/>
          <w:i/>
          <w:iCs/>
          <w:sz w:val="24"/>
          <w:szCs w:val="24"/>
        </w:rPr>
      </w:pPr>
      <w:r w:rsidRPr="00EE003F">
        <w:rPr>
          <w:rFonts w:ascii="Arial Narrow" w:hAnsi="Arial Narrow" w:cs="FrutigerLTStd-Italic"/>
          <w:i/>
          <w:iCs/>
          <w:sz w:val="24"/>
          <w:szCs w:val="24"/>
        </w:rPr>
        <w:br w:type="page"/>
      </w:r>
    </w:p>
    <w:p w:rsidR="00060401" w:rsidRPr="00EE003F" w:rsidRDefault="00060401" w:rsidP="00F441B8">
      <w:pPr>
        <w:autoSpaceDE w:val="0"/>
        <w:autoSpaceDN w:val="0"/>
        <w:adjustRightInd w:val="0"/>
        <w:spacing w:before="120" w:after="0" w:line="240" w:lineRule="auto"/>
        <w:jc w:val="both"/>
        <w:rPr>
          <w:rFonts w:ascii="Arial Narrow" w:hAnsi="Arial Narrow" w:cs="FrutigerLTStd-Italic"/>
          <w:iCs/>
          <w:sz w:val="24"/>
          <w:szCs w:val="24"/>
        </w:rPr>
      </w:pPr>
      <w:r w:rsidRPr="00EE003F">
        <w:rPr>
          <w:rFonts w:ascii="Arial Narrow" w:hAnsi="Arial Narrow" w:cs="FrutigerLTStd-Italic"/>
          <w:iCs/>
          <w:sz w:val="24"/>
          <w:szCs w:val="24"/>
        </w:rPr>
        <w:t>El Índice de efectividad gubernamental se utiliza como indicador líder del eje 3:</w:t>
      </w:r>
    </w:p>
    <w:p w:rsidR="00337D1C" w:rsidRPr="00EE003F" w:rsidRDefault="00F441B8" w:rsidP="00337D1C">
      <w:pPr>
        <w:tabs>
          <w:tab w:val="left" w:pos="1358"/>
        </w:tabs>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hAnsi="Arial Narrow"/>
          <w:noProof/>
          <w:lang w:eastAsia="es-PE"/>
        </w:rPr>
        <w:drawing>
          <wp:anchor distT="0" distB="0" distL="114300" distR="114300" simplePos="0" relativeHeight="251688448" behindDoc="1" locked="0" layoutInCell="1" allowOverlap="1" wp14:anchorId="7AD809D1" wp14:editId="4CFD7E2D">
            <wp:simplePos x="0" y="0"/>
            <wp:positionH relativeFrom="column">
              <wp:posOffset>136525</wp:posOffset>
            </wp:positionH>
            <wp:positionV relativeFrom="paragraph">
              <wp:posOffset>126365</wp:posOffset>
            </wp:positionV>
            <wp:extent cx="4396740" cy="2343150"/>
            <wp:effectExtent l="0" t="0" r="3810" b="0"/>
            <wp:wrapNone/>
            <wp:docPr id="2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íder Efectividad Gubernamental.png"/>
                    <pic:cNvPicPr/>
                  </pic:nvPicPr>
                  <pic:blipFill>
                    <a:blip r:embed="rId102">
                      <a:extLst>
                        <a:ext uri="{28A0092B-C50C-407E-A947-70E740481C1C}">
                          <a14:useLocalDpi xmlns:a14="http://schemas.microsoft.com/office/drawing/2010/main" val="0"/>
                        </a:ext>
                      </a:extLst>
                    </a:blip>
                    <a:stretch>
                      <a:fillRect/>
                    </a:stretch>
                  </pic:blipFill>
                  <pic:spPr>
                    <a:xfrm>
                      <a:off x="0" y="0"/>
                      <a:ext cx="4396740" cy="2343150"/>
                    </a:xfrm>
                    <a:prstGeom prst="rect">
                      <a:avLst/>
                    </a:prstGeom>
                  </pic:spPr>
                </pic:pic>
              </a:graphicData>
            </a:graphic>
            <wp14:sizeRelH relativeFrom="page">
              <wp14:pctWidth>0</wp14:pctWidth>
            </wp14:sizeRelH>
            <wp14:sizeRelV relativeFrom="page">
              <wp14:pctHeight>0</wp14:pctHeight>
            </wp14:sizeRelV>
          </wp:anchor>
        </w:drawing>
      </w:r>
    </w:p>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C85E55" w:rsidRPr="00EE003F" w:rsidRDefault="00C85E55"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p>
    <w:p w:rsidR="00BB2767" w:rsidRPr="00EE003F" w:rsidRDefault="007F610E" w:rsidP="00337D1C">
      <w:pPr>
        <w:autoSpaceDE w:val="0"/>
        <w:autoSpaceDN w:val="0"/>
        <w:adjustRightInd w:val="0"/>
        <w:spacing w:after="0" w:line="240" w:lineRule="auto"/>
        <w:jc w:val="both"/>
        <w:rPr>
          <w:rFonts w:ascii="Arial Narrow" w:hAnsi="Arial Narrow" w:cs="FrutigerLTStd-Bold"/>
          <w:b/>
          <w:bCs/>
          <w:sz w:val="24"/>
          <w:szCs w:val="24"/>
        </w:rPr>
      </w:pPr>
      <w:r w:rsidRPr="00EE003F">
        <w:rPr>
          <w:noProof/>
          <w:lang w:eastAsia="es-PE"/>
        </w:rPr>
        <w:drawing>
          <wp:inline distT="0" distB="0" distL="0" distR="0" wp14:anchorId="33DE69E0" wp14:editId="769094EE">
            <wp:extent cx="5400675" cy="3568674"/>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00675" cy="3568674"/>
                    </a:xfrm>
                    <a:prstGeom prst="rect">
                      <a:avLst/>
                    </a:prstGeom>
                  </pic:spPr>
                </pic:pic>
              </a:graphicData>
            </a:graphic>
          </wp:inline>
        </w:drawing>
      </w:r>
    </w:p>
    <w:p w:rsidR="00BB2767" w:rsidRPr="00EE003F" w:rsidRDefault="00BB2767" w:rsidP="00337D1C">
      <w:pPr>
        <w:autoSpaceDE w:val="0"/>
        <w:autoSpaceDN w:val="0"/>
        <w:adjustRightInd w:val="0"/>
        <w:spacing w:after="0" w:line="240" w:lineRule="auto"/>
        <w:jc w:val="both"/>
        <w:rPr>
          <w:rFonts w:ascii="Arial Narrow" w:hAnsi="Arial Narrow" w:cs="FrutigerLTStd-Bold"/>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337D1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E</w:t>
      </w:r>
      <w:r w:rsidR="0041590F" w:rsidRPr="00EE003F">
        <w:rPr>
          <w:rFonts w:ascii="Arial Narrow" w:eastAsia="FrutigerLTStd-Light" w:hAnsi="Arial Narrow" w:cs="FrutigerLTStd-Light"/>
          <w:sz w:val="24"/>
          <w:szCs w:val="24"/>
        </w:rPr>
        <w:t>l</w:t>
      </w:r>
      <w:r w:rsidRPr="00EE003F">
        <w:rPr>
          <w:rFonts w:ascii="Arial Narrow" w:eastAsia="FrutigerLTStd-Light" w:hAnsi="Arial Narrow" w:cs="FrutigerLTStd-Light"/>
          <w:sz w:val="24"/>
          <w:szCs w:val="24"/>
        </w:rPr>
        <w:t xml:space="preserve"> progreso </w:t>
      </w:r>
      <w:r w:rsidR="00BB2767" w:rsidRPr="00EE003F">
        <w:rPr>
          <w:rFonts w:ascii="Arial Narrow" w:eastAsia="FrutigerLTStd-Light" w:hAnsi="Arial Narrow" w:cs="FrutigerLTStd-Light"/>
          <w:sz w:val="24"/>
          <w:szCs w:val="24"/>
        </w:rPr>
        <w:t xml:space="preserve">alcanzado fue </w:t>
      </w:r>
      <w:r w:rsidRPr="00EE003F">
        <w:rPr>
          <w:rFonts w:ascii="Arial Narrow" w:eastAsia="FrutigerLTStd-Light" w:hAnsi="Arial Narrow" w:cs="FrutigerLTStd-Light"/>
          <w:sz w:val="24"/>
          <w:szCs w:val="24"/>
        </w:rPr>
        <w:t>posible debido a que, en los últimos anos, se han mejorado los procesos en la gestión pública. Sin embargo, para alcanzar las metas, resulta importante continuar con la implementación de la Política Nacional de Modernización de la Gestión Pública, la Ley del Servicio Civil, la Ley de Reforma Magisterial y la Reforma de Salud. Estas generaran un mayor nivel de satisfacción entre los ciudadanos, quienes tendrán un mayor acceso a servicios públicos de calidad.</w:t>
      </w:r>
    </w:p>
    <w:p w:rsidR="0090362C" w:rsidRPr="00EE003F" w:rsidRDefault="0090362C" w:rsidP="00337D1C">
      <w:pPr>
        <w:autoSpaceDE w:val="0"/>
        <w:autoSpaceDN w:val="0"/>
        <w:adjustRightInd w:val="0"/>
        <w:spacing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noProof/>
          <w:sz w:val="24"/>
          <w:szCs w:val="24"/>
          <w:lang w:eastAsia="es-PE"/>
        </w:rPr>
        <w:drawing>
          <wp:inline distT="0" distB="0" distL="0" distR="0" wp14:anchorId="23AE7782" wp14:editId="772B723E">
            <wp:extent cx="5474731" cy="2415396"/>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74998" cy="2415514"/>
                    </a:xfrm>
                    <a:prstGeom prst="rect">
                      <a:avLst/>
                    </a:prstGeom>
                    <a:noFill/>
                    <a:ln>
                      <a:noFill/>
                    </a:ln>
                  </pic:spPr>
                </pic:pic>
              </a:graphicData>
            </a:graphic>
          </wp:inline>
        </w:drawing>
      </w:r>
    </w:p>
    <w:p w:rsidR="0090362C" w:rsidRPr="00EE003F" w:rsidRDefault="0090362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90362C" w:rsidRPr="00EE003F" w:rsidRDefault="0090362C" w:rsidP="0090362C">
      <w:pPr>
        <w:autoSpaceDE w:val="0"/>
        <w:autoSpaceDN w:val="0"/>
        <w:adjustRightInd w:val="0"/>
        <w:spacing w:after="0" w:line="240" w:lineRule="auto"/>
        <w:jc w:val="center"/>
        <w:rPr>
          <w:rFonts w:ascii="Arial Narrow" w:hAnsi="Arial Narrow" w:cs="RotisSemiSans-Regular"/>
          <w:sz w:val="24"/>
          <w:szCs w:val="24"/>
        </w:rPr>
      </w:pPr>
      <w:r w:rsidRPr="00EE003F">
        <w:rPr>
          <w:rFonts w:ascii="Arial Narrow" w:hAnsi="Arial Narrow" w:cs="RotisSemiSans-Regular"/>
          <w:noProof/>
          <w:sz w:val="24"/>
          <w:szCs w:val="24"/>
          <w:lang w:eastAsia="es-PE"/>
        </w:rPr>
        <w:drawing>
          <wp:inline distT="0" distB="0" distL="0" distR="0" wp14:anchorId="58CAA151" wp14:editId="709B96BC">
            <wp:extent cx="4105910" cy="1587500"/>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05910" cy="1587500"/>
                    </a:xfrm>
                    <a:prstGeom prst="rect">
                      <a:avLst/>
                    </a:prstGeom>
                    <a:noFill/>
                    <a:ln>
                      <a:noFill/>
                    </a:ln>
                  </pic:spPr>
                </pic:pic>
              </a:graphicData>
            </a:graphic>
          </wp:inline>
        </w:drawing>
      </w:r>
    </w:p>
    <w:p w:rsidR="005A786D" w:rsidRPr="00EE003F" w:rsidRDefault="005A786D" w:rsidP="005A786D">
      <w:pPr>
        <w:autoSpaceDE w:val="0"/>
        <w:autoSpaceDN w:val="0"/>
        <w:adjustRightInd w:val="0"/>
        <w:spacing w:after="0" w:line="240" w:lineRule="auto"/>
        <w:rPr>
          <w:rFonts w:ascii="Arial Narrow" w:hAnsi="Arial Narrow" w:cs="RotisSemiSans-Regular"/>
          <w:b/>
          <w:sz w:val="24"/>
          <w:szCs w:val="24"/>
        </w:rPr>
      </w:pPr>
    </w:p>
    <w:p w:rsidR="00337D1C" w:rsidRPr="00EE003F" w:rsidRDefault="00337D1C" w:rsidP="005A786D">
      <w:pPr>
        <w:autoSpaceDE w:val="0"/>
        <w:autoSpaceDN w:val="0"/>
        <w:adjustRightInd w:val="0"/>
        <w:spacing w:after="0" w:line="240" w:lineRule="auto"/>
        <w:rPr>
          <w:rFonts w:ascii="Arial Narrow" w:hAnsi="Arial Narrow" w:cs="RotisSemiSans-Regular"/>
          <w:b/>
          <w:sz w:val="32"/>
          <w:szCs w:val="32"/>
        </w:rPr>
      </w:pPr>
      <w:r w:rsidRPr="00EE003F">
        <w:rPr>
          <w:rFonts w:ascii="Arial Narrow" w:hAnsi="Arial Narrow" w:cs="RotisSemiSans-Regular"/>
          <w:b/>
          <w:sz w:val="32"/>
          <w:szCs w:val="32"/>
        </w:rPr>
        <w:t xml:space="preserve">Objetivo nacional, objetivos específicos y acciones </w:t>
      </w:r>
      <w:r w:rsidR="00D1589E" w:rsidRPr="00EE003F">
        <w:rPr>
          <w:rFonts w:ascii="Arial Narrow" w:hAnsi="Arial Narrow" w:cs="RotisSemiSans-Regular"/>
          <w:b/>
          <w:sz w:val="32"/>
          <w:szCs w:val="32"/>
        </w:rPr>
        <w:t>e</w:t>
      </w:r>
      <w:r w:rsidRPr="00EE003F">
        <w:rPr>
          <w:rFonts w:ascii="Arial Narrow" w:hAnsi="Arial Narrow" w:cs="RotisSemiSans-Regular"/>
          <w:b/>
          <w:sz w:val="32"/>
          <w:szCs w:val="32"/>
        </w:rPr>
        <w:t>stratégicas</w:t>
      </w:r>
    </w:p>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RotisSemiSans-Regular"/>
          <w:sz w:val="24"/>
          <w:szCs w:val="24"/>
        </w:rPr>
      </w:pPr>
    </w:p>
    <w:tbl>
      <w:tblPr>
        <w:tblStyle w:val="Tablaconcuadrcula"/>
        <w:tblW w:w="0" w:type="auto"/>
        <w:tblLayout w:type="fixed"/>
        <w:tblLook w:val="0000" w:firstRow="0" w:lastRow="0" w:firstColumn="0" w:lastColumn="0" w:noHBand="0" w:noVBand="0"/>
      </w:tblPr>
      <w:tblGrid>
        <w:gridCol w:w="1809"/>
        <w:gridCol w:w="6663"/>
      </w:tblGrid>
      <w:tr w:rsidR="006E3336" w:rsidRPr="00EE003F" w:rsidTr="00641F1F">
        <w:trPr>
          <w:trHeight w:val="60"/>
        </w:trPr>
        <w:tc>
          <w:tcPr>
            <w:tcW w:w="8472" w:type="dxa"/>
            <w:gridSpan w:val="2"/>
          </w:tcPr>
          <w:p w:rsidR="00A3713F" w:rsidRPr="00EE003F" w:rsidRDefault="00A3713F" w:rsidP="008D0CB9">
            <w:pPr>
              <w:pStyle w:val="BasicParagraph"/>
              <w:suppressAutoHyphens/>
              <w:ind w:left="170"/>
              <w:rPr>
                <w:rStyle w:val="cuerpodetextotablas"/>
                <w:rFonts w:ascii="Arial Narrow" w:hAnsi="Arial Narrow"/>
                <w:b/>
                <w:color w:val="auto"/>
                <w:sz w:val="20"/>
                <w:szCs w:val="20"/>
              </w:rPr>
            </w:pPr>
            <w:r w:rsidRPr="00EE003F">
              <w:rPr>
                <w:rStyle w:val="cuerpodetextotablas"/>
                <w:rFonts w:ascii="Arial Narrow" w:hAnsi="Arial Narrow"/>
                <w:b/>
                <w:bCs/>
                <w:color w:val="auto"/>
                <w:sz w:val="20"/>
                <w:szCs w:val="20"/>
              </w:rPr>
              <w:tab/>
            </w:r>
            <w:r w:rsidRPr="00EE003F">
              <w:rPr>
                <w:rStyle w:val="cuerpodetextotablas"/>
                <w:rFonts w:ascii="Arial Narrow" w:hAnsi="Arial Narrow"/>
                <w:b/>
                <w:color w:val="auto"/>
                <w:sz w:val="20"/>
                <w:szCs w:val="20"/>
              </w:rPr>
              <w:t xml:space="preserve">OBJETIVO NACIONAL: </w:t>
            </w:r>
          </w:p>
          <w:p w:rsidR="00A3713F" w:rsidRPr="00EE003F" w:rsidRDefault="00A3713F" w:rsidP="008D0CB9">
            <w:pPr>
              <w:pStyle w:val="BasicParagraph"/>
              <w:tabs>
                <w:tab w:val="left" w:pos="227"/>
              </w:tabs>
              <w:suppressAutoHyphens/>
              <w:ind w:left="227" w:hanging="227"/>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“Desarrollar y consolidar la gobernabilidad democrática y una fuerte institucionalidad pública”</w:t>
            </w:r>
          </w:p>
        </w:tc>
      </w:tr>
      <w:tr w:rsidR="006E3336" w:rsidRPr="00EE003F" w:rsidTr="00641F1F">
        <w:trPr>
          <w:trHeight w:val="60"/>
        </w:trPr>
        <w:tc>
          <w:tcPr>
            <w:tcW w:w="1809" w:type="dxa"/>
          </w:tcPr>
          <w:p w:rsidR="00A3713F" w:rsidRPr="00EE003F" w:rsidRDefault="00A3713F" w:rsidP="008D0CB9">
            <w:pPr>
              <w:autoSpaceDE w:val="0"/>
              <w:autoSpaceDN w:val="0"/>
              <w:adjustRightInd w:val="0"/>
              <w:spacing w:after="200" w:line="288" w:lineRule="auto"/>
              <w:jc w:val="center"/>
              <w:textAlignment w:val="center"/>
              <w:rPr>
                <w:rStyle w:val="cuerpodetextotablas"/>
                <w:rFonts w:ascii="Arial Narrow" w:hAnsi="Arial Narrow"/>
                <w:b/>
                <w:bCs/>
                <w:sz w:val="20"/>
                <w:szCs w:val="20"/>
                <w:lang w:val="es-ES_tradnl"/>
              </w:rPr>
            </w:pPr>
            <w:r w:rsidRPr="00EE003F">
              <w:rPr>
                <w:rStyle w:val="cuerpodetextotablas"/>
                <w:rFonts w:ascii="Arial Narrow" w:hAnsi="Arial Narrow"/>
                <w:b/>
                <w:sz w:val="20"/>
                <w:szCs w:val="20"/>
                <w:lang w:val="es-ES_tradnl"/>
              </w:rPr>
              <w:t>Objetivos Específicos</w:t>
            </w:r>
          </w:p>
        </w:tc>
        <w:tc>
          <w:tcPr>
            <w:tcW w:w="6663" w:type="dxa"/>
          </w:tcPr>
          <w:p w:rsidR="00A3713F" w:rsidRPr="00EE003F" w:rsidRDefault="00A3713F" w:rsidP="008D0CB9">
            <w:pPr>
              <w:autoSpaceDE w:val="0"/>
              <w:autoSpaceDN w:val="0"/>
              <w:adjustRightInd w:val="0"/>
              <w:spacing w:after="200" w:line="288" w:lineRule="auto"/>
              <w:jc w:val="center"/>
              <w:textAlignment w:val="center"/>
              <w:rPr>
                <w:rStyle w:val="cuerpodetextotablas"/>
                <w:rFonts w:ascii="Arial Narrow" w:hAnsi="Arial Narrow"/>
                <w:b/>
                <w:sz w:val="20"/>
                <w:szCs w:val="20"/>
                <w:lang w:val="es-ES_tradnl"/>
              </w:rPr>
            </w:pPr>
            <w:r w:rsidRPr="00EE003F">
              <w:rPr>
                <w:rStyle w:val="cuerpodetextotablas"/>
                <w:rFonts w:ascii="Arial Narrow" w:hAnsi="Arial Narrow"/>
                <w:b/>
                <w:sz w:val="20"/>
                <w:szCs w:val="20"/>
                <w:lang w:val="es-ES_tradnl"/>
              </w:rPr>
              <w:t>Acciones Estratégicas</w:t>
            </w:r>
          </w:p>
        </w:tc>
      </w:tr>
      <w:tr w:rsidR="006E3336" w:rsidRPr="00EE003F" w:rsidTr="00641F1F">
        <w:trPr>
          <w:trHeight w:val="60"/>
        </w:trPr>
        <w:tc>
          <w:tcPr>
            <w:tcW w:w="1809" w:type="dxa"/>
            <w:vMerge w:val="restart"/>
          </w:tcPr>
          <w:p w:rsidR="00A3713F" w:rsidRPr="00EE003F" w:rsidRDefault="00A3713F" w:rsidP="00631573">
            <w:pPr>
              <w:pStyle w:val="BasicParagraph"/>
              <w:numPr>
                <w:ilvl w:val="0"/>
                <w:numId w:val="89"/>
              </w:numPr>
              <w:suppressAutoHyphens/>
              <w:ind w:left="142" w:right="113" w:hanging="142"/>
              <w:rPr>
                <w:rFonts w:ascii="Arial Narrow" w:hAnsi="Arial Narrow"/>
                <w:color w:val="auto"/>
                <w:sz w:val="20"/>
                <w:szCs w:val="20"/>
              </w:rPr>
            </w:pPr>
            <w:r w:rsidRPr="00EE003F">
              <w:rPr>
                <w:rStyle w:val="negritatablas"/>
                <w:rFonts w:ascii="Arial Narrow" w:hAnsi="Arial Narrow"/>
                <w:color w:val="auto"/>
                <w:sz w:val="20"/>
                <w:szCs w:val="20"/>
              </w:rPr>
              <w:t xml:space="preserve">Desarrollar mecanismos que permitan consolidar la institucionalidad democrática </w:t>
            </w:r>
            <w:r w:rsidR="002C10DB" w:rsidRPr="00EE003F">
              <w:rPr>
                <w:rStyle w:val="negritatablas"/>
                <w:rFonts w:ascii="Arial Narrow" w:hAnsi="Arial Narrow"/>
                <w:color w:val="auto"/>
                <w:sz w:val="20"/>
                <w:szCs w:val="20"/>
              </w:rPr>
              <w:t xml:space="preserve"> con transparencia, rendición de cuentas y </w:t>
            </w:r>
            <w:r w:rsidRPr="00EE003F">
              <w:rPr>
                <w:rStyle w:val="negritatablas"/>
                <w:rFonts w:ascii="Arial Narrow" w:hAnsi="Arial Narrow"/>
                <w:color w:val="auto"/>
                <w:sz w:val="20"/>
                <w:szCs w:val="20"/>
              </w:rPr>
              <w:t>representatividad política, en los tres niveles de gobierno</w:t>
            </w:r>
          </w:p>
        </w:tc>
        <w:tc>
          <w:tcPr>
            <w:tcW w:w="6663" w:type="dxa"/>
          </w:tcPr>
          <w:p w:rsidR="00A3713F" w:rsidRPr="00EE003F" w:rsidRDefault="00A3713F" w:rsidP="00A81655">
            <w:pPr>
              <w:pStyle w:val="BasicParagraph"/>
              <w:numPr>
                <w:ilvl w:val="0"/>
                <w:numId w:val="46"/>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Aprobar e implementar un marco normativo integrado en materia de reforma del sistema político, con énfasis en los sistemas electoral y de partidos, que fortalezcan la representación a través de las instituciones que la ejercen.</w:t>
            </w:r>
          </w:p>
        </w:tc>
      </w:tr>
      <w:tr w:rsidR="006E3336" w:rsidRPr="00EE003F" w:rsidTr="00641F1F">
        <w:trPr>
          <w:trHeight w:val="60"/>
        </w:trPr>
        <w:tc>
          <w:tcPr>
            <w:tcW w:w="1809" w:type="dxa"/>
            <w:vMerge/>
          </w:tcPr>
          <w:p w:rsidR="00A3713F" w:rsidRPr="00EE003F" w:rsidRDefault="00A3713F" w:rsidP="008D0CB9">
            <w:pPr>
              <w:pStyle w:val="NoParagraphStyle"/>
              <w:spacing w:line="240" w:lineRule="auto"/>
              <w:textAlignment w:val="auto"/>
              <w:rPr>
                <w:rFonts w:ascii="Arial Narrow" w:hAnsi="Arial Narrow"/>
                <w:color w:val="auto"/>
                <w:sz w:val="20"/>
                <w:szCs w:val="20"/>
                <w:lang w:val="es-PE"/>
              </w:rPr>
            </w:pPr>
          </w:p>
        </w:tc>
        <w:tc>
          <w:tcPr>
            <w:tcW w:w="6663" w:type="dxa"/>
          </w:tcPr>
          <w:p w:rsidR="00A3713F" w:rsidRPr="00EE003F" w:rsidRDefault="00A3713F" w:rsidP="00631573">
            <w:pPr>
              <w:pStyle w:val="BasicParagraph"/>
              <w:numPr>
                <w:ilvl w:val="0"/>
                <w:numId w:val="46"/>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 xml:space="preserve">Desarrollar  una formación democrática con base en política básica y cultura democrática </w:t>
            </w:r>
            <w:r w:rsidR="002C10DB" w:rsidRPr="00EE003F">
              <w:rPr>
                <w:rStyle w:val="cuerpodetextotablas"/>
                <w:rFonts w:ascii="Arial Narrow" w:hAnsi="Arial Narrow"/>
                <w:color w:val="auto"/>
                <w:sz w:val="20"/>
                <w:szCs w:val="20"/>
              </w:rPr>
              <w:t xml:space="preserve">y transparente </w:t>
            </w:r>
            <w:r w:rsidRPr="00EE003F">
              <w:rPr>
                <w:rStyle w:val="cuerpodetextotablas"/>
                <w:rFonts w:ascii="Arial Narrow" w:hAnsi="Arial Narrow"/>
                <w:color w:val="auto"/>
                <w:sz w:val="20"/>
                <w:szCs w:val="20"/>
              </w:rPr>
              <w:t>como parte de la currícula educativa y el trabajo a desarrollar por las organizaciones, partidos políticos y organizaciones representativas.</w:t>
            </w:r>
          </w:p>
        </w:tc>
      </w:tr>
      <w:tr w:rsidR="006E3336" w:rsidRPr="00EE003F" w:rsidTr="00641F1F">
        <w:trPr>
          <w:trHeight w:val="60"/>
        </w:trPr>
        <w:tc>
          <w:tcPr>
            <w:tcW w:w="1809" w:type="dxa"/>
            <w:vMerge/>
          </w:tcPr>
          <w:p w:rsidR="00A3713F" w:rsidRPr="00EE003F" w:rsidRDefault="00A3713F" w:rsidP="008D0CB9">
            <w:pPr>
              <w:pStyle w:val="NoParagraphStyle"/>
              <w:spacing w:line="240" w:lineRule="auto"/>
              <w:textAlignment w:val="auto"/>
              <w:rPr>
                <w:rFonts w:ascii="Arial Narrow" w:hAnsi="Arial Narrow"/>
                <w:color w:val="auto"/>
                <w:sz w:val="20"/>
                <w:szCs w:val="20"/>
                <w:lang w:val="es-PE"/>
              </w:rPr>
            </w:pPr>
          </w:p>
        </w:tc>
        <w:tc>
          <w:tcPr>
            <w:tcW w:w="6663" w:type="dxa"/>
          </w:tcPr>
          <w:p w:rsidR="00A3713F" w:rsidRPr="00EE003F" w:rsidRDefault="00A3713F" w:rsidP="00A81655">
            <w:pPr>
              <w:pStyle w:val="BasicParagraph"/>
              <w:numPr>
                <w:ilvl w:val="0"/>
                <w:numId w:val="46"/>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Fortalecimiento e institucionalización de los mecanismos de participación ciudadana y consulta pública que permitan la captación de las demandas sociales, en las distintas localidades para que puedan ser canalizadas y priorizadas en la formulación de las políticas públicas.</w:t>
            </w:r>
          </w:p>
        </w:tc>
      </w:tr>
      <w:tr w:rsidR="006E3336" w:rsidRPr="00EE003F" w:rsidTr="00641F1F">
        <w:trPr>
          <w:trHeight w:val="473"/>
        </w:trPr>
        <w:tc>
          <w:tcPr>
            <w:tcW w:w="1809" w:type="dxa"/>
            <w:vMerge/>
          </w:tcPr>
          <w:p w:rsidR="00A3713F" w:rsidRPr="00EE003F" w:rsidRDefault="00A3713F" w:rsidP="008D0CB9">
            <w:pPr>
              <w:pStyle w:val="NoParagraphStyle"/>
              <w:spacing w:line="240" w:lineRule="auto"/>
              <w:textAlignment w:val="auto"/>
              <w:rPr>
                <w:rFonts w:ascii="Arial Narrow" w:hAnsi="Arial Narrow"/>
                <w:color w:val="auto"/>
                <w:sz w:val="20"/>
                <w:szCs w:val="20"/>
                <w:lang w:val="es-PE"/>
              </w:rPr>
            </w:pPr>
          </w:p>
        </w:tc>
        <w:tc>
          <w:tcPr>
            <w:tcW w:w="6663" w:type="dxa"/>
          </w:tcPr>
          <w:p w:rsidR="00A3713F" w:rsidRPr="00EE003F" w:rsidRDefault="00A3713F" w:rsidP="00A81655">
            <w:pPr>
              <w:pStyle w:val="BasicParagraph"/>
              <w:numPr>
                <w:ilvl w:val="0"/>
                <w:numId w:val="46"/>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Institucionalizar el diálogo y la concertación entre los tres niveles de gobierno a fin de promover y asegurar relaciones de cooperación y complementación entre sectores y niveles de gobierno en beneficio de la ciudadanía.</w:t>
            </w:r>
          </w:p>
        </w:tc>
      </w:tr>
      <w:tr w:rsidR="006E3336" w:rsidRPr="00EE003F" w:rsidTr="00641F1F">
        <w:trPr>
          <w:trHeight w:val="60"/>
        </w:trPr>
        <w:tc>
          <w:tcPr>
            <w:tcW w:w="1809" w:type="dxa"/>
            <w:vMerge/>
          </w:tcPr>
          <w:p w:rsidR="00A3713F" w:rsidRPr="00EE003F" w:rsidRDefault="00A3713F" w:rsidP="008D0CB9">
            <w:pPr>
              <w:pStyle w:val="NoParagraphStyle"/>
              <w:spacing w:line="240" w:lineRule="auto"/>
              <w:textAlignment w:val="auto"/>
              <w:rPr>
                <w:rFonts w:ascii="Arial Narrow" w:hAnsi="Arial Narrow"/>
                <w:color w:val="auto"/>
                <w:sz w:val="20"/>
                <w:szCs w:val="20"/>
                <w:lang w:val="es-PE"/>
              </w:rPr>
            </w:pPr>
          </w:p>
        </w:tc>
        <w:tc>
          <w:tcPr>
            <w:tcW w:w="6663" w:type="dxa"/>
          </w:tcPr>
          <w:p w:rsidR="00A3713F" w:rsidRPr="00EE003F" w:rsidRDefault="00A3713F" w:rsidP="00A81655">
            <w:pPr>
              <w:pStyle w:val="BasicParagraph"/>
              <w:numPr>
                <w:ilvl w:val="0"/>
                <w:numId w:val="46"/>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Asegurar que el sistema de recursos humanos garantice la profesionalización de la función pública a fin de contar con funcionarios y servidores idóneos para el puesto y las funciones que desempeñan.</w:t>
            </w:r>
          </w:p>
        </w:tc>
      </w:tr>
      <w:tr w:rsidR="006E3336" w:rsidRPr="00EE003F" w:rsidTr="00641F1F">
        <w:trPr>
          <w:trHeight w:val="60"/>
        </w:trPr>
        <w:tc>
          <w:tcPr>
            <w:tcW w:w="1809" w:type="dxa"/>
            <w:vMerge/>
          </w:tcPr>
          <w:p w:rsidR="00A3713F" w:rsidRPr="00EE003F" w:rsidRDefault="00A3713F" w:rsidP="008D0CB9">
            <w:pPr>
              <w:pStyle w:val="NoParagraphStyle"/>
              <w:spacing w:line="240" w:lineRule="auto"/>
              <w:textAlignment w:val="auto"/>
              <w:rPr>
                <w:rFonts w:ascii="Arial Narrow" w:hAnsi="Arial Narrow"/>
                <w:color w:val="auto"/>
                <w:sz w:val="20"/>
                <w:szCs w:val="20"/>
                <w:lang w:val="es-PE"/>
              </w:rPr>
            </w:pPr>
          </w:p>
        </w:tc>
        <w:tc>
          <w:tcPr>
            <w:tcW w:w="6663" w:type="dxa"/>
          </w:tcPr>
          <w:p w:rsidR="00A3713F" w:rsidRPr="00EE003F" w:rsidRDefault="00A3713F" w:rsidP="00A81655">
            <w:pPr>
              <w:pStyle w:val="BasicParagraph"/>
              <w:numPr>
                <w:ilvl w:val="0"/>
                <w:numId w:val="46"/>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Permitir, de manera efectiva, el acceso de la población rural, rural dispersa, pueblos indígenas y tribales dispersos; pobres y extremadamente pobres, a los servicios y actividades, en materias sociales y productivas que brinda el Gobierno nacional, regional y local, así como las instituciones de la sociedad civil y del sector privado, a través de la Plataforma de Servicios “Tambos” y las Plataformas Itinerantes de Acción Social.</w:t>
            </w:r>
          </w:p>
        </w:tc>
      </w:tr>
      <w:tr w:rsidR="006E3336" w:rsidRPr="00EE003F" w:rsidTr="00641F1F">
        <w:trPr>
          <w:trHeight w:val="675"/>
        </w:trPr>
        <w:tc>
          <w:tcPr>
            <w:tcW w:w="1809" w:type="dxa"/>
            <w:vMerge w:val="restart"/>
          </w:tcPr>
          <w:p w:rsidR="006B4392" w:rsidRPr="00EE003F" w:rsidRDefault="006B4392" w:rsidP="00641F1F">
            <w:pPr>
              <w:pStyle w:val="BasicParagraph"/>
              <w:numPr>
                <w:ilvl w:val="0"/>
                <w:numId w:val="89"/>
              </w:numPr>
              <w:suppressAutoHyphens/>
              <w:ind w:left="284" w:right="113" w:hanging="284"/>
              <w:rPr>
                <w:rStyle w:val="negritatablas"/>
                <w:rFonts w:ascii="Arial Narrow" w:hAnsi="Arial Narrow"/>
                <w:sz w:val="20"/>
                <w:szCs w:val="20"/>
              </w:rPr>
            </w:pPr>
            <w:r w:rsidRPr="00EE003F">
              <w:rPr>
                <w:rStyle w:val="negritatablas"/>
                <w:rFonts w:ascii="Arial Narrow" w:hAnsi="Arial Narrow"/>
                <w:color w:val="auto"/>
                <w:sz w:val="20"/>
                <w:szCs w:val="20"/>
              </w:rPr>
              <w:t>Desarrollar una gestión pública efectiva orientada al ciudadano en los tres niveles de gobierno</w:t>
            </w:r>
          </w:p>
        </w:tc>
        <w:tc>
          <w:tcPr>
            <w:tcW w:w="6663" w:type="dxa"/>
          </w:tcPr>
          <w:p w:rsidR="006B4392" w:rsidRPr="00EE003F" w:rsidRDefault="006B4392" w:rsidP="00A81655">
            <w:pPr>
              <w:pStyle w:val="BasicParagraph"/>
              <w:numPr>
                <w:ilvl w:val="0"/>
                <w:numId w:val="47"/>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Asegurar que las entidades públicas en los tres niveles de gobierno cuenten con objetivos priorizados claros, medibles, alcanzables y acordes con las Políticas Nacionales y Sectoriales, con asignación presupuestal, y monitoreados y evaluados en el logro de sus resultados.</w:t>
            </w:r>
          </w:p>
        </w:tc>
      </w:tr>
      <w:tr w:rsidR="006E3336" w:rsidRPr="00EE003F" w:rsidTr="00641F1F">
        <w:trPr>
          <w:trHeight w:val="60"/>
        </w:trPr>
        <w:tc>
          <w:tcPr>
            <w:tcW w:w="1809" w:type="dxa"/>
            <w:vMerge/>
          </w:tcPr>
          <w:p w:rsidR="006B4392" w:rsidRPr="00EE003F" w:rsidRDefault="006B4392"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6B4392" w:rsidRPr="00EE003F" w:rsidRDefault="006B4392" w:rsidP="00A81655">
            <w:pPr>
              <w:pStyle w:val="BasicParagraph"/>
              <w:numPr>
                <w:ilvl w:val="0"/>
                <w:numId w:val="47"/>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Articular, simplificar y actualizar los sistemas administrativos y promover un funcionamiento que considere la heterogeneidad de las entidades públicas en lo referente a sus funciones, tamaño y capacidades.</w:t>
            </w:r>
          </w:p>
        </w:tc>
      </w:tr>
      <w:tr w:rsidR="006E3336" w:rsidRPr="00EE003F" w:rsidTr="00641F1F">
        <w:trPr>
          <w:trHeight w:val="60"/>
        </w:trPr>
        <w:tc>
          <w:tcPr>
            <w:tcW w:w="1809" w:type="dxa"/>
            <w:vMerge/>
          </w:tcPr>
          <w:p w:rsidR="006B4392" w:rsidRPr="00EE003F" w:rsidRDefault="006B4392"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6B4392" w:rsidRPr="00EE003F" w:rsidRDefault="006B4392" w:rsidP="00631573">
            <w:pPr>
              <w:pStyle w:val="BasicParagraph"/>
              <w:numPr>
                <w:ilvl w:val="0"/>
                <w:numId w:val="47"/>
              </w:numPr>
              <w:tabs>
                <w:tab w:val="left" w:pos="170"/>
              </w:tabs>
              <w:suppressAutoHyphens/>
              <w:ind w:left="312"/>
              <w:jc w:val="both"/>
              <w:rPr>
                <w:rStyle w:val="cuerpodetextotablas"/>
                <w:rFonts w:ascii="Arial Narrow" w:hAnsi="Arial Narrow"/>
                <w:sz w:val="20"/>
                <w:szCs w:val="20"/>
              </w:rPr>
            </w:pPr>
            <w:r w:rsidRPr="00EE003F">
              <w:rPr>
                <w:rFonts w:ascii="Arial Narrow" w:hAnsi="Arial Narrow"/>
                <w:sz w:val="20"/>
                <w:szCs w:val="20"/>
              </w:rPr>
              <w:t>Fortalecer la articulación intra e intersectorial orientado a mejorar el impacto de las intervenciones multianuales.</w:t>
            </w:r>
          </w:p>
        </w:tc>
      </w:tr>
      <w:tr w:rsidR="006E3336" w:rsidRPr="00EE003F" w:rsidTr="00641F1F">
        <w:trPr>
          <w:trHeight w:val="60"/>
        </w:trPr>
        <w:tc>
          <w:tcPr>
            <w:tcW w:w="1809" w:type="dxa"/>
            <w:vMerge/>
          </w:tcPr>
          <w:p w:rsidR="006B4392" w:rsidRPr="00EE003F" w:rsidRDefault="006B4392"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6B4392" w:rsidRPr="00EE003F" w:rsidRDefault="006B4392" w:rsidP="00A81655">
            <w:pPr>
              <w:pStyle w:val="BasicParagraph"/>
              <w:numPr>
                <w:ilvl w:val="0"/>
                <w:numId w:val="47"/>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Adecuar la regulación, las normas procedimentales y promover la simplificación de los trámites administrativos en todas las entidades del Estado, para fomentar el desarrollo económico, el emprendedurismo y la diversificación productiva.</w:t>
            </w:r>
          </w:p>
        </w:tc>
      </w:tr>
      <w:tr w:rsidR="006E3336" w:rsidRPr="00EE003F" w:rsidTr="00641F1F">
        <w:trPr>
          <w:trHeight w:val="60"/>
        </w:trPr>
        <w:tc>
          <w:tcPr>
            <w:tcW w:w="1809" w:type="dxa"/>
            <w:vMerge/>
          </w:tcPr>
          <w:p w:rsidR="006B4392" w:rsidRPr="00EE003F" w:rsidRDefault="006B4392"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6B4392" w:rsidRPr="00EE003F" w:rsidRDefault="00BF4BEC" w:rsidP="00BF4BEC">
            <w:pPr>
              <w:pStyle w:val="BasicParagraph"/>
              <w:numPr>
                <w:ilvl w:val="0"/>
                <w:numId w:val="47"/>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 xml:space="preserve">Articular las competencias y funciones de los tres niveles de gobierno promoviendo la descentralización con soporte tecnológico orientado a una gestión del conocimiento y la provisión de servicios de capacitación a los ciudadanos en el uso de servicios electrónicos. </w:t>
            </w:r>
          </w:p>
        </w:tc>
      </w:tr>
      <w:tr w:rsidR="006E3336" w:rsidRPr="00EE003F" w:rsidTr="00641F1F">
        <w:trPr>
          <w:trHeight w:val="60"/>
        </w:trPr>
        <w:tc>
          <w:tcPr>
            <w:tcW w:w="1809" w:type="dxa"/>
            <w:vMerge/>
          </w:tcPr>
          <w:p w:rsidR="006B4392" w:rsidRPr="00EE003F" w:rsidRDefault="006B4392"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6B4392" w:rsidRPr="00EE003F" w:rsidRDefault="006B4392" w:rsidP="00A81655">
            <w:pPr>
              <w:pStyle w:val="BasicParagraph"/>
              <w:numPr>
                <w:ilvl w:val="0"/>
                <w:numId w:val="47"/>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Fortalecer la capacidad estatal de la regulación de servicios públicos y promoción de la competencia, en base a criterios técnicos y transparentes, promoviendo la predictibilidad de sus decisiones y resoluciones junto con una ágil gestión y adaptación al dinamismo y diversidad de los sectores regulados.</w:t>
            </w:r>
          </w:p>
        </w:tc>
      </w:tr>
      <w:tr w:rsidR="00785680" w:rsidRPr="00EE003F" w:rsidTr="00641F1F">
        <w:trPr>
          <w:trHeight w:val="60"/>
        </w:trPr>
        <w:tc>
          <w:tcPr>
            <w:tcW w:w="1809" w:type="dxa"/>
            <w:vMerge/>
          </w:tcPr>
          <w:p w:rsidR="00785680" w:rsidRPr="00EE003F" w:rsidRDefault="00785680"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785680" w:rsidRPr="00EE003F" w:rsidRDefault="00BF4BEC" w:rsidP="00BF4BEC">
            <w:pPr>
              <w:pStyle w:val="BasicParagraph"/>
              <w:numPr>
                <w:ilvl w:val="0"/>
                <w:numId w:val="47"/>
              </w:numPr>
              <w:tabs>
                <w:tab w:val="left" w:pos="170"/>
              </w:tabs>
              <w:suppressAutoHyphens/>
              <w:ind w:left="312"/>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Mejorar la capacidad institucional del Estado para liderar  las TIC como herramienta de incremento de la competitividad y modernización de la economía.</w:t>
            </w:r>
          </w:p>
        </w:tc>
      </w:tr>
      <w:tr w:rsidR="006E3336" w:rsidRPr="00EE003F" w:rsidTr="00641F1F">
        <w:trPr>
          <w:trHeight w:val="60"/>
        </w:trPr>
        <w:tc>
          <w:tcPr>
            <w:tcW w:w="1809" w:type="dxa"/>
            <w:vMerge/>
          </w:tcPr>
          <w:p w:rsidR="006B4392" w:rsidRPr="00EE003F" w:rsidRDefault="006B4392"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6B4392" w:rsidRPr="00EE003F" w:rsidRDefault="006B4392" w:rsidP="00A81655">
            <w:pPr>
              <w:pStyle w:val="BasicParagraph"/>
              <w:numPr>
                <w:ilvl w:val="0"/>
                <w:numId w:val="47"/>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Implementar tecnologías de la comunicación e información apropiadas para un gobierno electrónico efectivo y abierto.</w:t>
            </w:r>
          </w:p>
        </w:tc>
      </w:tr>
      <w:tr w:rsidR="00E52F42" w:rsidRPr="00EE003F" w:rsidTr="00641F1F">
        <w:trPr>
          <w:trHeight w:val="60"/>
        </w:trPr>
        <w:tc>
          <w:tcPr>
            <w:tcW w:w="1809" w:type="dxa"/>
            <w:vMerge/>
          </w:tcPr>
          <w:p w:rsidR="00E52F42" w:rsidRPr="00EE003F" w:rsidRDefault="00E52F42"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E52F42" w:rsidRPr="00EE003F" w:rsidRDefault="00BF4BEC" w:rsidP="00A81655">
            <w:pPr>
              <w:pStyle w:val="BasicParagraph"/>
              <w:numPr>
                <w:ilvl w:val="0"/>
                <w:numId w:val="47"/>
              </w:numPr>
              <w:tabs>
                <w:tab w:val="left" w:pos="170"/>
              </w:tabs>
              <w:suppressAutoHyphens/>
              <w:ind w:left="312"/>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Mejorar los procesos de regulación y fiscalización a lo largo del ciclo de vida de las empresas a fin de fomentar el desarrollo de las mismas.</w:t>
            </w:r>
          </w:p>
        </w:tc>
      </w:tr>
      <w:tr w:rsidR="006E3336" w:rsidRPr="00EE003F" w:rsidTr="00641F1F">
        <w:trPr>
          <w:trHeight w:val="300"/>
        </w:trPr>
        <w:tc>
          <w:tcPr>
            <w:tcW w:w="1809" w:type="dxa"/>
            <w:vMerge/>
          </w:tcPr>
          <w:p w:rsidR="006B4392" w:rsidRPr="00EE003F" w:rsidRDefault="006B4392"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6B4392" w:rsidRPr="00EE003F" w:rsidRDefault="006B4392" w:rsidP="00A81655">
            <w:pPr>
              <w:pStyle w:val="BasicParagraph"/>
              <w:numPr>
                <w:ilvl w:val="0"/>
                <w:numId w:val="47"/>
              </w:numPr>
              <w:tabs>
                <w:tab w:val="left" w:pos="170"/>
              </w:tabs>
              <w:suppressAutoHyphens/>
              <w:ind w:left="312"/>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Consolidar los mecanismos de acceso a la justicia y solución de conflictos </w:t>
            </w:r>
          </w:p>
        </w:tc>
      </w:tr>
      <w:tr w:rsidR="001E749D" w:rsidRPr="00EE003F" w:rsidTr="00641F1F">
        <w:trPr>
          <w:trHeight w:val="300"/>
        </w:trPr>
        <w:tc>
          <w:tcPr>
            <w:tcW w:w="1809" w:type="dxa"/>
            <w:vMerge w:val="restart"/>
          </w:tcPr>
          <w:p w:rsidR="001E749D" w:rsidRPr="00EE003F" w:rsidRDefault="0064752D" w:rsidP="00641F1F">
            <w:pPr>
              <w:pStyle w:val="BasicParagraph"/>
              <w:numPr>
                <w:ilvl w:val="0"/>
                <w:numId w:val="89"/>
              </w:numPr>
              <w:suppressAutoHyphens/>
              <w:ind w:left="284" w:right="113" w:hanging="284"/>
              <w:rPr>
                <w:rStyle w:val="negritatablas"/>
                <w:rFonts w:ascii="Arial Narrow" w:hAnsi="Arial Narrow"/>
                <w:sz w:val="20"/>
                <w:szCs w:val="20"/>
              </w:rPr>
            </w:pPr>
            <w:r w:rsidRPr="00EE003F">
              <w:rPr>
                <w:rStyle w:val="negritatablas"/>
                <w:rFonts w:ascii="Arial Narrow" w:hAnsi="Arial Narrow"/>
                <w:color w:val="auto"/>
                <w:sz w:val="20"/>
                <w:szCs w:val="20"/>
              </w:rPr>
              <w:t>Desarrollar la mejora de los servicios judiciales</w:t>
            </w:r>
          </w:p>
        </w:tc>
        <w:tc>
          <w:tcPr>
            <w:tcW w:w="6663" w:type="dxa"/>
          </w:tcPr>
          <w:p w:rsidR="001E749D" w:rsidRPr="00EE003F" w:rsidRDefault="0064752D" w:rsidP="00641F1F">
            <w:pPr>
              <w:pStyle w:val="BasicParagraph"/>
              <w:numPr>
                <w:ilvl w:val="0"/>
                <w:numId w:val="87"/>
              </w:numPr>
              <w:tabs>
                <w:tab w:val="left" w:pos="170"/>
              </w:tabs>
              <w:suppressAutoHyphens/>
              <w:ind w:left="312"/>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Aprobar e implementar los lineamientos generales de política judicial de manera concertada con los representantes de los poderes del Estado, las instituciones de administración de justicia y de la sociedad civil.</w:t>
            </w:r>
          </w:p>
        </w:tc>
      </w:tr>
      <w:tr w:rsidR="001E749D" w:rsidRPr="00EE003F" w:rsidTr="00641F1F">
        <w:trPr>
          <w:trHeight w:val="300"/>
        </w:trPr>
        <w:tc>
          <w:tcPr>
            <w:tcW w:w="1809" w:type="dxa"/>
            <w:vMerge/>
          </w:tcPr>
          <w:p w:rsidR="001E749D" w:rsidRPr="00EE003F" w:rsidRDefault="001E749D"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1E749D" w:rsidRPr="00EE003F" w:rsidRDefault="001E749D" w:rsidP="00641F1F">
            <w:pPr>
              <w:pStyle w:val="BasicParagraph"/>
              <w:numPr>
                <w:ilvl w:val="0"/>
                <w:numId w:val="87"/>
              </w:numPr>
              <w:tabs>
                <w:tab w:val="left" w:pos="170"/>
              </w:tabs>
              <w:suppressAutoHyphens/>
              <w:ind w:left="312"/>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Implementar adecuación de tecnologías de la información en las diferentes etapas y desarrollo de los procesos judiciales.</w:t>
            </w:r>
          </w:p>
        </w:tc>
      </w:tr>
      <w:tr w:rsidR="001E749D" w:rsidRPr="00EE003F" w:rsidTr="00641F1F">
        <w:trPr>
          <w:trHeight w:val="521"/>
        </w:trPr>
        <w:tc>
          <w:tcPr>
            <w:tcW w:w="1809" w:type="dxa"/>
            <w:vMerge/>
          </w:tcPr>
          <w:p w:rsidR="001E749D" w:rsidRPr="00EE003F" w:rsidRDefault="001E749D"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1E749D" w:rsidRPr="00EE003F" w:rsidRDefault="0064752D" w:rsidP="00641F1F">
            <w:pPr>
              <w:pStyle w:val="BasicParagraph"/>
              <w:numPr>
                <w:ilvl w:val="0"/>
                <w:numId w:val="87"/>
              </w:numPr>
              <w:tabs>
                <w:tab w:val="left" w:pos="170"/>
              </w:tabs>
              <w:suppressAutoHyphens/>
              <w:ind w:left="312"/>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Implementar mecanismos que eviten la dilación procesal y el fomento del principio de buena fe procesal.</w:t>
            </w:r>
          </w:p>
        </w:tc>
      </w:tr>
      <w:tr w:rsidR="001E749D" w:rsidRPr="00EE003F" w:rsidTr="00641F1F">
        <w:trPr>
          <w:trHeight w:val="300"/>
        </w:trPr>
        <w:tc>
          <w:tcPr>
            <w:tcW w:w="1809" w:type="dxa"/>
            <w:vMerge/>
          </w:tcPr>
          <w:p w:rsidR="001E749D" w:rsidRPr="00EE003F" w:rsidRDefault="001E749D"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1E749D" w:rsidRPr="00EE003F" w:rsidRDefault="001E749D" w:rsidP="00641F1F">
            <w:pPr>
              <w:pStyle w:val="BasicParagraph"/>
              <w:numPr>
                <w:ilvl w:val="0"/>
                <w:numId w:val="87"/>
              </w:numPr>
              <w:tabs>
                <w:tab w:val="left" w:pos="170"/>
              </w:tabs>
              <w:suppressAutoHyphens/>
              <w:ind w:left="312"/>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la transparencia y predictibilidad de las resoluciones judiciales.</w:t>
            </w:r>
          </w:p>
        </w:tc>
      </w:tr>
      <w:tr w:rsidR="00276849" w:rsidRPr="00EE003F" w:rsidTr="00641F1F">
        <w:trPr>
          <w:trHeight w:val="557"/>
        </w:trPr>
        <w:tc>
          <w:tcPr>
            <w:tcW w:w="1809" w:type="dxa"/>
            <w:vMerge w:val="restart"/>
          </w:tcPr>
          <w:p w:rsidR="00276849" w:rsidRPr="00EE003F" w:rsidRDefault="00276849" w:rsidP="00641F1F">
            <w:pPr>
              <w:pStyle w:val="BasicParagraph"/>
              <w:numPr>
                <w:ilvl w:val="0"/>
                <w:numId w:val="89"/>
              </w:numPr>
              <w:suppressAutoHyphens/>
              <w:ind w:left="284" w:right="113" w:hanging="284"/>
              <w:rPr>
                <w:rStyle w:val="negritatablas"/>
                <w:rFonts w:ascii="Arial Narrow" w:hAnsi="Arial Narrow"/>
                <w:sz w:val="20"/>
                <w:szCs w:val="20"/>
              </w:rPr>
            </w:pPr>
            <w:r w:rsidRPr="00EE003F">
              <w:rPr>
                <w:rStyle w:val="negritatablas"/>
                <w:rFonts w:ascii="Arial Narrow" w:hAnsi="Arial Narrow"/>
                <w:color w:val="auto"/>
                <w:sz w:val="20"/>
                <w:szCs w:val="20"/>
              </w:rPr>
              <w:t>Garantizar el Estado de Derecho y la seguridad ciudadana</w:t>
            </w:r>
          </w:p>
        </w:tc>
        <w:tc>
          <w:tcPr>
            <w:tcW w:w="6663" w:type="dxa"/>
          </w:tcPr>
          <w:p w:rsidR="00276849" w:rsidRPr="00EE003F" w:rsidRDefault="00276849" w:rsidP="00276849">
            <w:pPr>
              <w:pStyle w:val="BasicParagraph"/>
              <w:numPr>
                <w:ilvl w:val="0"/>
                <w:numId w:val="48"/>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Fortalecer el sistema nacional de seguridad ciudadana para reducir los niveles de delincuencia y violencia.</w:t>
            </w:r>
          </w:p>
        </w:tc>
      </w:tr>
      <w:tr w:rsidR="00276849" w:rsidRPr="00EE003F" w:rsidTr="00641F1F">
        <w:trPr>
          <w:trHeight w:val="375"/>
        </w:trPr>
        <w:tc>
          <w:tcPr>
            <w:tcW w:w="1809" w:type="dxa"/>
            <w:vMerge/>
          </w:tcPr>
          <w:p w:rsidR="00276849" w:rsidRPr="00EE003F" w:rsidRDefault="00276849"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276849" w:rsidRPr="00EE003F" w:rsidRDefault="00276849" w:rsidP="00276849">
            <w:pPr>
              <w:pStyle w:val="BasicParagraph"/>
              <w:numPr>
                <w:ilvl w:val="0"/>
                <w:numId w:val="48"/>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 xml:space="preserve">Fortalecer el proceso de modernización de la Policía Nacional del Perú. </w:t>
            </w:r>
          </w:p>
        </w:tc>
      </w:tr>
      <w:tr w:rsidR="00276849" w:rsidRPr="00EE003F" w:rsidTr="00641F1F">
        <w:trPr>
          <w:trHeight w:val="60"/>
        </w:trPr>
        <w:tc>
          <w:tcPr>
            <w:tcW w:w="1809" w:type="dxa"/>
            <w:vMerge/>
          </w:tcPr>
          <w:p w:rsidR="00276849" w:rsidRPr="00EE003F" w:rsidRDefault="00276849"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276849" w:rsidRPr="00EE003F" w:rsidRDefault="00276849" w:rsidP="00276849">
            <w:pPr>
              <w:pStyle w:val="BasicParagraph"/>
              <w:numPr>
                <w:ilvl w:val="0"/>
                <w:numId w:val="48"/>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Fortalecer la efectividad del sistema de control gubernamental con énfasis en los resultados.</w:t>
            </w:r>
          </w:p>
        </w:tc>
      </w:tr>
      <w:tr w:rsidR="00276849" w:rsidRPr="00EE003F" w:rsidTr="00641F1F">
        <w:trPr>
          <w:trHeight w:val="60"/>
        </w:trPr>
        <w:tc>
          <w:tcPr>
            <w:tcW w:w="1809" w:type="dxa"/>
            <w:vMerge/>
          </w:tcPr>
          <w:p w:rsidR="00276849" w:rsidRPr="00EE003F" w:rsidRDefault="00276849"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276849" w:rsidRPr="00EE003F" w:rsidRDefault="00276849" w:rsidP="00641F1F">
            <w:pPr>
              <w:pStyle w:val="BasicParagraph"/>
              <w:numPr>
                <w:ilvl w:val="0"/>
                <w:numId w:val="48"/>
              </w:numPr>
              <w:tabs>
                <w:tab w:val="left" w:pos="170"/>
              </w:tabs>
              <w:suppressAutoHyphens/>
              <w:ind w:left="170" w:hanging="141"/>
              <w:jc w:val="both"/>
              <w:rPr>
                <w:rFonts w:ascii="Arial Narrow" w:hAnsi="Arial Narrow"/>
                <w:color w:val="auto"/>
                <w:sz w:val="20"/>
                <w:szCs w:val="20"/>
              </w:rPr>
            </w:pPr>
            <w:r w:rsidRPr="00EE003F">
              <w:rPr>
                <w:rStyle w:val="cuerpodetextotablas"/>
                <w:rFonts w:ascii="Arial Narrow" w:hAnsi="Arial Narrow"/>
                <w:color w:val="auto"/>
                <w:sz w:val="20"/>
                <w:szCs w:val="20"/>
              </w:rPr>
              <w:t>Implementar un nuevo enfoque de lucha contra la corrupción en el ámbito administrativo y judicial que comprometa a la sociedad civil, prensa independiente, instituciones académicas y de investigación, así como las entidades y los órganos de control.</w:t>
            </w:r>
          </w:p>
        </w:tc>
      </w:tr>
      <w:tr w:rsidR="00276849" w:rsidRPr="00EE003F" w:rsidTr="00641F1F">
        <w:trPr>
          <w:trHeight w:val="60"/>
        </w:trPr>
        <w:tc>
          <w:tcPr>
            <w:tcW w:w="1809" w:type="dxa"/>
            <w:vMerge/>
          </w:tcPr>
          <w:p w:rsidR="00276849" w:rsidRPr="00EE003F" w:rsidRDefault="00276849"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276849" w:rsidRPr="00EE003F" w:rsidRDefault="00276849" w:rsidP="00276849">
            <w:pPr>
              <w:pStyle w:val="BasicParagraph"/>
              <w:numPr>
                <w:ilvl w:val="0"/>
                <w:numId w:val="48"/>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Fomentar una cultura de cumplimiento de la ley.</w:t>
            </w:r>
          </w:p>
        </w:tc>
      </w:tr>
      <w:tr w:rsidR="00276849" w:rsidRPr="00EE003F" w:rsidTr="00641F1F">
        <w:trPr>
          <w:trHeight w:val="395"/>
        </w:trPr>
        <w:tc>
          <w:tcPr>
            <w:tcW w:w="1809" w:type="dxa"/>
            <w:vMerge/>
          </w:tcPr>
          <w:p w:rsidR="00276849" w:rsidRPr="00EE003F" w:rsidRDefault="00276849"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276849" w:rsidRPr="00EE003F" w:rsidRDefault="00276849" w:rsidP="00276849">
            <w:pPr>
              <w:pStyle w:val="BasicParagraph"/>
              <w:numPr>
                <w:ilvl w:val="0"/>
                <w:numId w:val="48"/>
              </w:numPr>
              <w:tabs>
                <w:tab w:val="left" w:pos="170"/>
              </w:tabs>
              <w:suppressAutoHyphens/>
              <w:ind w:left="312"/>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 Reducir el tiempo promedio que demoran los procesos judiciales en materia comercial.</w:t>
            </w:r>
          </w:p>
        </w:tc>
      </w:tr>
      <w:tr w:rsidR="00276849" w:rsidRPr="00EE003F" w:rsidTr="00641F1F">
        <w:trPr>
          <w:trHeight w:val="409"/>
        </w:trPr>
        <w:tc>
          <w:tcPr>
            <w:tcW w:w="1809" w:type="dxa"/>
            <w:vMerge/>
          </w:tcPr>
          <w:p w:rsidR="00276849" w:rsidRPr="00EE003F" w:rsidRDefault="00276849"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276849" w:rsidRPr="00EE003F" w:rsidRDefault="00276849" w:rsidP="00276849">
            <w:pPr>
              <w:pStyle w:val="BasicParagraph"/>
              <w:numPr>
                <w:ilvl w:val="0"/>
                <w:numId w:val="48"/>
              </w:numPr>
              <w:tabs>
                <w:tab w:val="left" w:pos="170"/>
              </w:tabs>
              <w:suppressAutoHyphens/>
              <w:ind w:left="312"/>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Fortalecer la prevención de las causas del delito y  mejorar la resocialización del sentenciado</w:t>
            </w:r>
          </w:p>
        </w:tc>
      </w:tr>
      <w:tr w:rsidR="00276849" w:rsidRPr="00EE003F" w:rsidTr="00641F1F">
        <w:trPr>
          <w:trHeight w:val="684"/>
        </w:trPr>
        <w:tc>
          <w:tcPr>
            <w:tcW w:w="1809" w:type="dxa"/>
            <w:vMerge w:val="restart"/>
          </w:tcPr>
          <w:p w:rsidR="00276849" w:rsidRPr="00EE003F" w:rsidRDefault="00276849" w:rsidP="007C6A1E">
            <w:pPr>
              <w:pStyle w:val="BasicParagraph"/>
              <w:numPr>
                <w:ilvl w:val="0"/>
                <w:numId w:val="89"/>
              </w:numPr>
              <w:suppressAutoHyphens/>
              <w:ind w:left="284" w:right="113" w:hanging="284"/>
              <w:rPr>
                <w:rStyle w:val="negritatablas"/>
                <w:rFonts w:ascii="Arial Narrow" w:hAnsi="Arial Narrow"/>
                <w:sz w:val="20"/>
                <w:szCs w:val="20"/>
              </w:rPr>
            </w:pPr>
            <w:r w:rsidRPr="00EE003F">
              <w:rPr>
                <w:rStyle w:val="negritatablas"/>
                <w:rFonts w:ascii="Arial Narrow" w:hAnsi="Arial Narrow"/>
                <w:color w:val="auto"/>
                <w:sz w:val="20"/>
                <w:szCs w:val="20"/>
              </w:rPr>
              <w:t>Garantizar la seguridad nacional, la integración y cooperación fronteriza, subregional, regional y hemisférica</w:t>
            </w:r>
          </w:p>
        </w:tc>
        <w:tc>
          <w:tcPr>
            <w:tcW w:w="6663" w:type="dxa"/>
          </w:tcPr>
          <w:p w:rsidR="00276849" w:rsidRPr="00EE003F" w:rsidRDefault="00276849" w:rsidP="007C6A1E">
            <w:pPr>
              <w:pStyle w:val="BasicParagraph"/>
              <w:numPr>
                <w:ilvl w:val="0"/>
                <w:numId w:val="88"/>
              </w:numPr>
              <w:tabs>
                <w:tab w:val="left" w:pos="170"/>
              </w:tabs>
              <w:suppressAutoHyphens/>
              <w:ind w:left="170" w:hanging="283"/>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Mejorar la capacidad operativa de las Fuerzas Armadas en el marco de una política de seguridad nacional acorde al escenario internacional vigente que consiga la disuasión de amenazas y riesgos y permita la respuesta esencial ante cualquiera de estos.</w:t>
            </w:r>
          </w:p>
        </w:tc>
      </w:tr>
      <w:tr w:rsidR="00276849" w:rsidRPr="00EE003F" w:rsidTr="00641F1F">
        <w:trPr>
          <w:trHeight w:val="710"/>
        </w:trPr>
        <w:tc>
          <w:tcPr>
            <w:tcW w:w="1809" w:type="dxa"/>
            <w:vMerge/>
          </w:tcPr>
          <w:p w:rsidR="00276849" w:rsidRPr="00EE003F" w:rsidRDefault="00276849"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276849" w:rsidRPr="00EE003F" w:rsidRDefault="00BA4A17" w:rsidP="007C6A1E">
            <w:pPr>
              <w:pStyle w:val="BasicParagraph"/>
              <w:numPr>
                <w:ilvl w:val="0"/>
                <w:numId w:val="88"/>
              </w:numPr>
              <w:tabs>
                <w:tab w:val="left" w:pos="170"/>
              </w:tabs>
              <w:suppressAutoHyphens/>
              <w:ind w:left="312"/>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Incrementar la capacidad de prevención y respuesta del Estado ante las amenazas de carácter nacional e internacional, con énfasis en la lucha contra las redes de minería ilegal, narcotráfico y terrorismo, fortaleciendo la articulación entre los sectores involucrados.</w:t>
            </w:r>
          </w:p>
        </w:tc>
      </w:tr>
      <w:tr w:rsidR="00276849" w:rsidRPr="00EE003F" w:rsidTr="00641F1F">
        <w:trPr>
          <w:trHeight w:val="593"/>
        </w:trPr>
        <w:tc>
          <w:tcPr>
            <w:tcW w:w="1809" w:type="dxa"/>
            <w:vMerge/>
          </w:tcPr>
          <w:p w:rsidR="00276849" w:rsidRPr="00EE003F" w:rsidRDefault="00276849" w:rsidP="00631573">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276849" w:rsidRPr="00EE003F" w:rsidRDefault="00276849" w:rsidP="007C6A1E">
            <w:pPr>
              <w:pStyle w:val="BasicParagraph"/>
              <w:numPr>
                <w:ilvl w:val="0"/>
                <w:numId w:val="88"/>
              </w:numPr>
              <w:tabs>
                <w:tab w:val="left" w:pos="170"/>
              </w:tabs>
              <w:suppressAutoHyphens/>
              <w:ind w:left="312"/>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Asegurar la presencia del Estado en las zonas fronterizas con programas de desarrollo inclusivo e integración fronteriza, así como mejorando la infraestructura en los pasos de frontera.</w:t>
            </w:r>
          </w:p>
        </w:tc>
      </w:tr>
      <w:tr w:rsidR="00BA4A17" w:rsidRPr="00EE003F" w:rsidTr="00641F1F">
        <w:trPr>
          <w:trHeight w:val="649"/>
        </w:trPr>
        <w:tc>
          <w:tcPr>
            <w:tcW w:w="1809" w:type="dxa"/>
            <w:vMerge w:val="restart"/>
          </w:tcPr>
          <w:p w:rsidR="00BA4A17" w:rsidRPr="00EE003F" w:rsidRDefault="00BA4A17" w:rsidP="007C6A1E">
            <w:pPr>
              <w:pStyle w:val="BasicParagraph"/>
              <w:numPr>
                <w:ilvl w:val="0"/>
                <w:numId w:val="89"/>
              </w:numPr>
              <w:suppressAutoHyphens/>
              <w:ind w:left="284" w:right="113" w:hanging="284"/>
              <w:rPr>
                <w:rStyle w:val="negritatablas"/>
                <w:rFonts w:ascii="Arial Narrow" w:hAnsi="Arial Narrow"/>
                <w:color w:val="auto"/>
                <w:sz w:val="20"/>
                <w:szCs w:val="20"/>
              </w:rPr>
            </w:pPr>
            <w:r w:rsidRPr="00EE003F">
              <w:rPr>
                <w:rStyle w:val="negritatablas"/>
                <w:rFonts w:ascii="Arial Narrow" w:hAnsi="Arial Narrow"/>
                <w:color w:val="auto"/>
                <w:sz w:val="20"/>
                <w:szCs w:val="20"/>
              </w:rPr>
              <w:t>Consolidar la presencia e imagen del Perú como una potencia regional emergente en el escenario internacional y garantizar la plena defensa de los intereses nacionales en el exterior.</w:t>
            </w:r>
          </w:p>
        </w:tc>
        <w:tc>
          <w:tcPr>
            <w:tcW w:w="6663" w:type="dxa"/>
          </w:tcPr>
          <w:p w:rsidR="00BA4A17" w:rsidRPr="00EE003F" w:rsidRDefault="00BA4A17" w:rsidP="00276849">
            <w:pPr>
              <w:pStyle w:val="BasicParagraph"/>
              <w:numPr>
                <w:ilvl w:val="0"/>
                <w:numId w:val="49"/>
              </w:numPr>
              <w:tabs>
                <w:tab w:val="left" w:pos="170"/>
              </w:tabs>
              <w:suppressAutoHyphens/>
              <w:ind w:left="312"/>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Desarrollar en función de los intereses y objetivos nacionales, una política exterior orientada a promover la paz, así como la integración y cooperación fronteriza, subregional, regional y hemisférica.</w:t>
            </w:r>
          </w:p>
        </w:tc>
      </w:tr>
      <w:tr w:rsidR="00BA4A17" w:rsidRPr="00EE003F" w:rsidTr="00641F1F">
        <w:trPr>
          <w:trHeight w:val="649"/>
        </w:trPr>
        <w:tc>
          <w:tcPr>
            <w:tcW w:w="1809" w:type="dxa"/>
            <w:vMerge/>
          </w:tcPr>
          <w:p w:rsidR="00BA4A17" w:rsidRPr="00EE003F" w:rsidRDefault="00BA4A17" w:rsidP="007C6A1E">
            <w:pPr>
              <w:pStyle w:val="BasicParagraph"/>
              <w:numPr>
                <w:ilvl w:val="0"/>
                <w:numId w:val="89"/>
              </w:numPr>
              <w:suppressAutoHyphens/>
              <w:ind w:left="284" w:right="113" w:hanging="284"/>
              <w:rPr>
                <w:rStyle w:val="negritatablas"/>
                <w:rFonts w:ascii="Arial Narrow" w:hAnsi="Arial Narrow"/>
                <w:sz w:val="20"/>
                <w:szCs w:val="20"/>
              </w:rPr>
            </w:pPr>
          </w:p>
        </w:tc>
        <w:tc>
          <w:tcPr>
            <w:tcW w:w="6663" w:type="dxa"/>
          </w:tcPr>
          <w:p w:rsidR="00BA4A17" w:rsidRPr="00EE003F" w:rsidRDefault="00BA4A17" w:rsidP="00276849">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Fortalecer la capacidad de liderazgo e interlocución del Perú en los temas de la agenda regional y global mediante la especialización de sus cuadros técnicos.</w:t>
            </w:r>
          </w:p>
        </w:tc>
      </w:tr>
      <w:tr w:rsidR="00BA4A17" w:rsidRPr="00EE003F" w:rsidTr="00641F1F">
        <w:trPr>
          <w:trHeight w:val="651"/>
        </w:trPr>
        <w:tc>
          <w:tcPr>
            <w:tcW w:w="1809" w:type="dxa"/>
            <w:vMerge/>
          </w:tcPr>
          <w:p w:rsidR="00BA4A17" w:rsidRPr="00EE003F" w:rsidRDefault="00BA4A17" w:rsidP="00276849">
            <w:pPr>
              <w:pStyle w:val="NoParagraphStyle"/>
              <w:spacing w:line="240" w:lineRule="auto"/>
              <w:textAlignment w:val="auto"/>
              <w:rPr>
                <w:rFonts w:ascii="Arial Narrow" w:hAnsi="Arial Narrow"/>
                <w:color w:val="auto"/>
                <w:sz w:val="20"/>
                <w:szCs w:val="20"/>
                <w:lang w:val="es-PE"/>
              </w:rPr>
            </w:pPr>
          </w:p>
        </w:tc>
        <w:tc>
          <w:tcPr>
            <w:tcW w:w="6663" w:type="dxa"/>
          </w:tcPr>
          <w:p w:rsidR="00BA4A17" w:rsidRPr="00EE003F" w:rsidRDefault="00BA4A17" w:rsidP="00276849">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Propiciar la consolidación de la Alianza del Pacífico (AP) como el mecanismo de integración más dinámico de América latina, asegurando su plena proyección a la Región del Asía Pacífico.</w:t>
            </w:r>
          </w:p>
        </w:tc>
      </w:tr>
      <w:tr w:rsidR="00BA4A17" w:rsidRPr="00EE003F" w:rsidTr="00641F1F">
        <w:trPr>
          <w:trHeight w:val="657"/>
        </w:trPr>
        <w:tc>
          <w:tcPr>
            <w:tcW w:w="1809" w:type="dxa"/>
            <w:vMerge/>
          </w:tcPr>
          <w:p w:rsidR="00BA4A17" w:rsidRPr="00EE003F" w:rsidRDefault="00BA4A17" w:rsidP="00276849">
            <w:pPr>
              <w:pStyle w:val="NoParagraphStyle"/>
              <w:spacing w:line="240" w:lineRule="auto"/>
              <w:textAlignment w:val="auto"/>
              <w:rPr>
                <w:rFonts w:ascii="Arial Narrow" w:hAnsi="Arial Narrow"/>
                <w:color w:val="auto"/>
                <w:sz w:val="20"/>
                <w:szCs w:val="20"/>
                <w:lang w:val="es-PE"/>
              </w:rPr>
            </w:pPr>
          </w:p>
        </w:tc>
        <w:tc>
          <w:tcPr>
            <w:tcW w:w="6663" w:type="dxa"/>
          </w:tcPr>
          <w:p w:rsidR="00BA4A17" w:rsidRPr="00EE003F" w:rsidRDefault="00BA4A17" w:rsidP="00082BD3">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Continuar con el proceso de profundización de los vínculos entre el Perú y la Organización para la Cooperación y el Desarrollo Económico (OCDE) con miras a lograr el acceso de nuestro país el año 2021.</w:t>
            </w:r>
          </w:p>
        </w:tc>
      </w:tr>
      <w:tr w:rsidR="00BA4A17" w:rsidRPr="00EE003F" w:rsidTr="00641F1F">
        <w:trPr>
          <w:trHeight w:val="657"/>
        </w:trPr>
        <w:tc>
          <w:tcPr>
            <w:tcW w:w="1809" w:type="dxa"/>
            <w:vMerge/>
          </w:tcPr>
          <w:p w:rsidR="00BA4A17" w:rsidRPr="00EE003F" w:rsidRDefault="00BA4A17" w:rsidP="00276849">
            <w:pPr>
              <w:pStyle w:val="NoParagraphStyle"/>
              <w:spacing w:line="240" w:lineRule="auto"/>
              <w:textAlignment w:val="auto"/>
              <w:rPr>
                <w:rFonts w:ascii="Arial Narrow" w:hAnsi="Arial Narrow"/>
                <w:color w:val="auto"/>
                <w:sz w:val="20"/>
                <w:szCs w:val="20"/>
                <w:lang w:val="es-PE"/>
              </w:rPr>
            </w:pPr>
          </w:p>
        </w:tc>
        <w:tc>
          <w:tcPr>
            <w:tcW w:w="6663" w:type="dxa"/>
          </w:tcPr>
          <w:p w:rsidR="00BA4A17" w:rsidRPr="00EE003F" w:rsidRDefault="00BA4A17" w:rsidP="00276849">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Ampliar la presencia diplomática del Perú en África, el Caribe, Europa, Asia y en los organismos internacionales, a través de la creación de nuevos órganos del servicio exterior.</w:t>
            </w:r>
          </w:p>
        </w:tc>
      </w:tr>
      <w:tr w:rsidR="00BA4A17" w:rsidRPr="00EE003F" w:rsidTr="00641F1F">
        <w:trPr>
          <w:trHeight w:val="634"/>
        </w:trPr>
        <w:tc>
          <w:tcPr>
            <w:tcW w:w="1809" w:type="dxa"/>
            <w:vMerge/>
          </w:tcPr>
          <w:p w:rsidR="00BA4A17" w:rsidRPr="00EE003F" w:rsidRDefault="00BA4A17" w:rsidP="00276849">
            <w:pPr>
              <w:pStyle w:val="NoParagraphStyle"/>
              <w:spacing w:line="240" w:lineRule="auto"/>
              <w:textAlignment w:val="auto"/>
              <w:rPr>
                <w:rFonts w:ascii="Arial Narrow" w:hAnsi="Arial Narrow"/>
                <w:color w:val="auto"/>
                <w:sz w:val="20"/>
                <w:szCs w:val="20"/>
                <w:lang w:val="es-PE"/>
              </w:rPr>
            </w:pPr>
          </w:p>
        </w:tc>
        <w:tc>
          <w:tcPr>
            <w:tcW w:w="6663" w:type="dxa"/>
          </w:tcPr>
          <w:p w:rsidR="00BA4A17" w:rsidRPr="00EE003F" w:rsidRDefault="00BA4A17" w:rsidP="00276849">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Coadyuvar al desarrollo sostenible de las poblaciones de frontera a través de su participación equitativa en los procesos de integración con los países fronterizos.</w:t>
            </w:r>
          </w:p>
        </w:tc>
      </w:tr>
      <w:tr w:rsidR="00BA4A17" w:rsidRPr="00EE003F" w:rsidTr="00641F1F">
        <w:trPr>
          <w:trHeight w:val="600"/>
        </w:trPr>
        <w:tc>
          <w:tcPr>
            <w:tcW w:w="1809" w:type="dxa"/>
            <w:vMerge/>
          </w:tcPr>
          <w:p w:rsidR="00BA4A17" w:rsidRPr="00EE003F" w:rsidRDefault="00BA4A17" w:rsidP="00276849">
            <w:pPr>
              <w:pStyle w:val="NoParagraphStyle"/>
              <w:spacing w:line="240" w:lineRule="auto"/>
              <w:textAlignment w:val="auto"/>
              <w:rPr>
                <w:rFonts w:ascii="Arial Narrow" w:hAnsi="Arial Narrow"/>
                <w:color w:val="auto"/>
                <w:sz w:val="20"/>
                <w:szCs w:val="20"/>
                <w:lang w:val="es-PE"/>
              </w:rPr>
            </w:pPr>
          </w:p>
        </w:tc>
        <w:tc>
          <w:tcPr>
            <w:tcW w:w="6663" w:type="dxa"/>
          </w:tcPr>
          <w:p w:rsidR="00BA4A17" w:rsidRPr="00EE003F" w:rsidRDefault="00BA4A17" w:rsidP="00276849">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Consolidar la permanente realización de Gabinetes Ministeriales de carácter Binacional con los cinco países fronterizos.</w:t>
            </w:r>
          </w:p>
        </w:tc>
      </w:tr>
      <w:tr w:rsidR="00BA4A17" w:rsidRPr="00EE003F" w:rsidTr="00641F1F">
        <w:trPr>
          <w:trHeight w:val="816"/>
        </w:trPr>
        <w:tc>
          <w:tcPr>
            <w:tcW w:w="1809" w:type="dxa"/>
            <w:vMerge/>
          </w:tcPr>
          <w:p w:rsidR="00BA4A17" w:rsidRPr="00EE003F" w:rsidRDefault="00BA4A17" w:rsidP="00276849">
            <w:pPr>
              <w:pStyle w:val="NoParagraphStyle"/>
              <w:spacing w:line="240" w:lineRule="auto"/>
              <w:textAlignment w:val="auto"/>
              <w:rPr>
                <w:rFonts w:ascii="Arial Narrow" w:hAnsi="Arial Narrow"/>
                <w:color w:val="auto"/>
                <w:sz w:val="20"/>
                <w:szCs w:val="20"/>
                <w:lang w:val="es-PE"/>
              </w:rPr>
            </w:pPr>
          </w:p>
        </w:tc>
        <w:tc>
          <w:tcPr>
            <w:tcW w:w="6663" w:type="dxa"/>
          </w:tcPr>
          <w:p w:rsidR="00BA4A17" w:rsidRPr="00EE003F" w:rsidRDefault="00BA4A17" w:rsidP="00276849">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Posicionar la imagen de país que conjuga su pasado milenario con un presente moderno, proyectada hacia el futuro, que valora y protege su patrimonio cultural material e inmaterial mediante sus industrias culturales.</w:t>
            </w:r>
          </w:p>
        </w:tc>
      </w:tr>
      <w:tr w:rsidR="00BA4A17" w:rsidRPr="00EE003F" w:rsidTr="00641F1F">
        <w:trPr>
          <w:trHeight w:val="640"/>
        </w:trPr>
        <w:tc>
          <w:tcPr>
            <w:tcW w:w="1809" w:type="dxa"/>
            <w:vMerge/>
          </w:tcPr>
          <w:p w:rsidR="00BA4A17" w:rsidRPr="00EE003F" w:rsidRDefault="00BA4A17" w:rsidP="00276849">
            <w:pPr>
              <w:pStyle w:val="NoParagraphStyle"/>
              <w:spacing w:line="240" w:lineRule="auto"/>
              <w:textAlignment w:val="auto"/>
              <w:rPr>
                <w:rFonts w:ascii="Arial Narrow" w:hAnsi="Arial Narrow"/>
                <w:color w:val="auto"/>
                <w:sz w:val="20"/>
                <w:szCs w:val="20"/>
                <w:lang w:val="es-PE"/>
              </w:rPr>
            </w:pPr>
          </w:p>
        </w:tc>
        <w:tc>
          <w:tcPr>
            <w:tcW w:w="6663" w:type="dxa"/>
          </w:tcPr>
          <w:p w:rsidR="00BA4A17" w:rsidRPr="00EE003F" w:rsidRDefault="00BA4A17" w:rsidP="00276849">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Promover y proteger los derechos de las comunidades peruanas en el exterior a través de una eficiente y rápida gestión consular.</w:t>
            </w:r>
          </w:p>
        </w:tc>
      </w:tr>
      <w:tr w:rsidR="00BA4A17" w:rsidRPr="00EE003F" w:rsidTr="00641F1F">
        <w:trPr>
          <w:trHeight w:val="544"/>
        </w:trPr>
        <w:tc>
          <w:tcPr>
            <w:tcW w:w="1809" w:type="dxa"/>
            <w:vMerge/>
          </w:tcPr>
          <w:p w:rsidR="00BA4A17" w:rsidRPr="00EE003F" w:rsidRDefault="00BA4A17" w:rsidP="00276849">
            <w:pPr>
              <w:pStyle w:val="NoParagraphStyle"/>
              <w:spacing w:line="240" w:lineRule="auto"/>
              <w:textAlignment w:val="auto"/>
              <w:rPr>
                <w:rFonts w:ascii="Arial Narrow" w:hAnsi="Arial Narrow"/>
                <w:color w:val="auto"/>
                <w:sz w:val="20"/>
                <w:szCs w:val="20"/>
                <w:lang w:val="es-PE"/>
              </w:rPr>
            </w:pPr>
          </w:p>
        </w:tc>
        <w:tc>
          <w:tcPr>
            <w:tcW w:w="6663" w:type="dxa"/>
          </w:tcPr>
          <w:p w:rsidR="00BA4A17" w:rsidRPr="00EE003F" w:rsidRDefault="00BA4A17" w:rsidP="00276849">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Promover al Perú como el principal acceso de América del Sur hacia la región Asia Pacífico.</w:t>
            </w:r>
          </w:p>
        </w:tc>
      </w:tr>
      <w:tr w:rsidR="00BA4A17" w:rsidRPr="00EE003F" w:rsidTr="00641F1F">
        <w:trPr>
          <w:trHeight w:val="224"/>
        </w:trPr>
        <w:tc>
          <w:tcPr>
            <w:tcW w:w="1809" w:type="dxa"/>
            <w:vMerge/>
          </w:tcPr>
          <w:p w:rsidR="00BA4A17" w:rsidRPr="00EE003F" w:rsidRDefault="00BA4A17" w:rsidP="00276849">
            <w:pPr>
              <w:pStyle w:val="NoParagraphStyle"/>
              <w:spacing w:line="240" w:lineRule="auto"/>
              <w:textAlignment w:val="auto"/>
              <w:rPr>
                <w:rFonts w:ascii="Arial Narrow" w:hAnsi="Arial Narrow"/>
                <w:color w:val="auto"/>
                <w:sz w:val="20"/>
                <w:szCs w:val="20"/>
                <w:lang w:val="es-PE"/>
              </w:rPr>
            </w:pPr>
          </w:p>
        </w:tc>
        <w:tc>
          <w:tcPr>
            <w:tcW w:w="6663" w:type="dxa"/>
          </w:tcPr>
          <w:p w:rsidR="00BA4A17" w:rsidRPr="00EE003F" w:rsidRDefault="00BA4A17" w:rsidP="00276849">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Consolidar al Perú como el eje articulador vial de América del Sur.</w:t>
            </w:r>
          </w:p>
        </w:tc>
      </w:tr>
      <w:tr w:rsidR="00BA4A17" w:rsidRPr="00EE003F" w:rsidTr="00641F1F">
        <w:trPr>
          <w:trHeight w:val="326"/>
        </w:trPr>
        <w:tc>
          <w:tcPr>
            <w:tcW w:w="1809" w:type="dxa"/>
            <w:vMerge/>
          </w:tcPr>
          <w:p w:rsidR="00BA4A17" w:rsidRPr="00EE003F" w:rsidRDefault="00BA4A17" w:rsidP="00276849">
            <w:pPr>
              <w:pStyle w:val="NoParagraphStyle"/>
              <w:spacing w:line="240" w:lineRule="auto"/>
              <w:textAlignment w:val="auto"/>
              <w:rPr>
                <w:rFonts w:ascii="Arial Narrow" w:hAnsi="Arial Narrow"/>
                <w:color w:val="auto"/>
                <w:sz w:val="20"/>
                <w:szCs w:val="20"/>
                <w:lang w:val="es-PE"/>
              </w:rPr>
            </w:pPr>
          </w:p>
        </w:tc>
        <w:tc>
          <w:tcPr>
            <w:tcW w:w="6663" w:type="dxa"/>
          </w:tcPr>
          <w:p w:rsidR="00BA4A17" w:rsidRPr="00EE003F" w:rsidRDefault="00BA4A17" w:rsidP="00276849">
            <w:pPr>
              <w:pStyle w:val="BasicParagraph"/>
              <w:numPr>
                <w:ilvl w:val="0"/>
                <w:numId w:val="49"/>
              </w:numPr>
              <w:tabs>
                <w:tab w:val="left" w:pos="170"/>
              </w:tabs>
              <w:suppressAutoHyphens/>
              <w:ind w:left="312"/>
              <w:jc w:val="both"/>
              <w:rPr>
                <w:rFonts w:ascii="Arial Narrow" w:hAnsi="Arial Narrow"/>
                <w:color w:val="auto"/>
                <w:sz w:val="20"/>
                <w:szCs w:val="20"/>
              </w:rPr>
            </w:pPr>
            <w:r w:rsidRPr="00EE003F">
              <w:rPr>
                <w:rStyle w:val="cuerpodetextotablas"/>
                <w:rFonts w:ascii="Arial Narrow" w:hAnsi="Arial Narrow"/>
                <w:color w:val="auto"/>
                <w:sz w:val="20"/>
                <w:szCs w:val="20"/>
              </w:rPr>
              <w:t>Mejorar la infraestructura y capacidad de investigación científica en la Antártida.</w:t>
            </w:r>
          </w:p>
        </w:tc>
      </w:tr>
    </w:tbl>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FrutigerLTStd-LightCn"/>
          <w:sz w:val="24"/>
          <w:szCs w:val="24"/>
        </w:rPr>
      </w:pPr>
    </w:p>
    <w:p w:rsidR="00D336B5" w:rsidRPr="00EE003F" w:rsidRDefault="00D336B5" w:rsidP="005A786D">
      <w:pPr>
        <w:tabs>
          <w:tab w:val="left" w:pos="1358"/>
        </w:tabs>
        <w:autoSpaceDE w:val="0"/>
        <w:autoSpaceDN w:val="0"/>
        <w:adjustRightInd w:val="0"/>
        <w:spacing w:after="0" w:line="240" w:lineRule="auto"/>
        <w:rPr>
          <w:rFonts w:ascii="Arial Narrow" w:hAnsi="Arial Narrow" w:cs="RotisSemiSans-Regular"/>
          <w:b/>
          <w:sz w:val="32"/>
          <w:szCs w:val="32"/>
        </w:rPr>
      </w:pPr>
    </w:p>
    <w:p w:rsidR="00D336B5" w:rsidRPr="00EE003F" w:rsidRDefault="00D336B5" w:rsidP="005A786D">
      <w:pPr>
        <w:tabs>
          <w:tab w:val="left" w:pos="1358"/>
        </w:tabs>
        <w:autoSpaceDE w:val="0"/>
        <w:autoSpaceDN w:val="0"/>
        <w:adjustRightInd w:val="0"/>
        <w:spacing w:after="0" w:line="240" w:lineRule="auto"/>
        <w:rPr>
          <w:rFonts w:ascii="Arial Narrow" w:hAnsi="Arial Narrow" w:cs="RotisSemiSans-Regular"/>
          <w:b/>
          <w:sz w:val="32"/>
          <w:szCs w:val="32"/>
        </w:rPr>
      </w:pPr>
    </w:p>
    <w:p w:rsidR="009609A3" w:rsidRPr="00EE003F" w:rsidRDefault="009609A3">
      <w:pPr>
        <w:rPr>
          <w:rFonts w:ascii="Arial Narrow" w:hAnsi="Arial Narrow" w:cs="RotisSemiSans-Regular"/>
          <w:b/>
          <w:sz w:val="32"/>
          <w:szCs w:val="32"/>
        </w:rPr>
      </w:pPr>
      <w:r w:rsidRPr="00EE003F">
        <w:rPr>
          <w:rFonts w:ascii="Arial Narrow" w:hAnsi="Arial Narrow" w:cs="RotisSemiSans-Regular"/>
          <w:b/>
          <w:sz w:val="32"/>
          <w:szCs w:val="32"/>
        </w:rPr>
        <w:br w:type="page"/>
      </w:r>
    </w:p>
    <w:p w:rsidR="00337D1C" w:rsidRPr="00EE003F" w:rsidRDefault="00DC3F82" w:rsidP="005A786D">
      <w:pPr>
        <w:tabs>
          <w:tab w:val="left" w:pos="1358"/>
        </w:tabs>
        <w:autoSpaceDE w:val="0"/>
        <w:autoSpaceDN w:val="0"/>
        <w:adjustRightInd w:val="0"/>
        <w:spacing w:after="0" w:line="240" w:lineRule="auto"/>
        <w:rPr>
          <w:rFonts w:ascii="Arial Narrow" w:hAnsi="Arial Narrow" w:cs="RotisSemiSans-Regular"/>
          <w:b/>
          <w:sz w:val="32"/>
          <w:szCs w:val="32"/>
        </w:rPr>
      </w:pPr>
      <w:r w:rsidRPr="00EE003F">
        <w:rPr>
          <w:rFonts w:ascii="Arial Narrow" w:hAnsi="Arial Narrow" w:cs="RotisSemiSans-Regular"/>
          <w:b/>
          <w:sz w:val="32"/>
          <w:szCs w:val="32"/>
        </w:rPr>
        <w:t xml:space="preserve">Indicadores </w:t>
      </w:r>
      <w:r w:rsidR="00337D1C" w:rsidRPr="00EE003F">
        <w:rPr>
          <w:rFonts w:ascii="Arial Narrow" w:hAnsi="Arial Narrow" w:cs="RotisSemiSans-Regular"/>
          <w:b/>
          <w:sz w:val="32"/>
          <w:szCs w:val="32"/>
        </w:rPr>
        <w:t>y metas</w:t>
      </w:r>
    </w:p>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RotisSemiSans-Regular"/>
          <w:sz w:val="24"/>
          <w:szCs w:val="24"/>
        </w:rPr>
      </w:pPr>
    </w:p>
    <w:tbl>
      <w:tblPr>
        <w:tblStyle w:val="Tablaconcuadrcula"/>
        <w:tblW w:w="0" w:type="auto"/>
        <w:tblLayout w:type="fixed"/>
        <w:tblLook w:val="0000" w:firstRow="0" w:lastRow="0" w:firstColumn="0" w:lastColumn="0" w:noHBand="0" w:noVBand="0"/>
      </w:tblPr>
      <w:tblGrid>
        <w:gridCol w:w="392"/>
        <w:gridCol w:w="1514"/>
        <w:gridCol w:w="521"/>
        <w:gridCol w:w="1625"/>
        <w:gridCol w:w="1202"/>
        <w:gridCol w:w="827"/>
        <w:gridCol w:w="862"/>
        <w:gridCol w:w="936"/>
      </w:tblGrid>
      <w:tr w:rsidR="006E3336" w:rsidRPr="00EE003F" w:rsidTr="00C626D1">
        <w:trPr>
          <w:trHeight w:val="1111"/>
        </w:trPr>
        <w:tc>
          <w:tcPr>
            <w:tcW w:w="7879" w:type="dxa"/>
            <w:gridSpan w:val="8"/>
          </w:tcPr>
          <w:p w:rsidR="00A3713F" w:rsidRPr="00EE003F" w:rsidRDefault="00A3713F" w:rsidP="008D0CB9">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EJE 3: ESTADO Y GOBERNABILIDAD</w:t>
            </w:r>
          </w:p>
          <w:p w:rsidR="00A3713F" w:rsidRPr="00EE003F" w:rsidRDefault="00A3713F" w:rsidP="008D0CB9">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 xml:space="preserve">OBJETIVO NACIONAL: </w:t>
            </w:r>
          </w:p>
          <w:p w:rsidR="00A3713F" w:rsidRPr="00EE003F" w:rsidRDefault="00A3713F" w:rsidP="008D0CB9">
            <w:pPr>
              <w:pStyle w:val="BasicParagraph"/>
              <w:suppressAutoHyphens/>
              <w:ind w:left="170"/>
              <w:rPr>
                <w:rFonts w:ascii="Arial Narrow" w:hAnsi="Arial Narrow"/>
                <w:color w:val="auto"/>
              </w:rPr>
            </w:pPr>
            <w:r w:rsidRPr="00EE003F">
              <w:rPr>
                <w:rStyle w:val="negritatablas"/>
                <w:rFonts w:ascii="Arial Narrow" w:hAnsi="Arial Narrow"/>
                <w:color w:val="auto"/>
              </w:rPr>
              <w:t>“Desarrollar y consolidar la gobernabilidad democrática y una fuerte institucionalidad pública”</w:t>
            </w:r>
          </w:p>
        </w:tc>
      </w:tr>
      <w:tr w:rsidR="006E3336" w:rsidRPr="00EE003F" w:rsidTr="00C626D1">
        <w:trPr>
          <w:trHeight w:val="60"/>
        </w:trPr>
        <w:tc>
          <w:tcPr>
            <w:tcW w:w="4052" w:type="dxa"/>
            <w:gridSpan w:val="4"/>
          </w:tcPr>
          <w:p w:rsidR="00A3713F" w:rsidRPr="00EE003F" w:rsidRDefault="00A3713F" w:rsidP="008D0CB9">
            <w:pPr>
              <w:pStyle w:val="BasicParagraph"/>
              <w:suppressAutoHyphens/>
              <w:rPr>
                <w:rFonts w:ascii="Arial Narrow" w:hAnsi="Arial Narrow"/>
                <w:color w:val="auto"/>
              </w:rPr>
            </w:pPr>
            <w:r w:rsidRPr="00EE003F">
              <w:rPr>
                <w:rStyle w:val="negritatablas"/>
                <w:rFonts w:ascii="Arial Narrow" w:hAnsi="Arial Narrow"/>
                <w:color w:val="auto"/>
              </w:rPr>
              <w:t>Indicador líder</w:t>
            </w:r>
          </w:p>
        </w:tc>
        <w:tc>
          <w:tcPr>
            <w:tcW w:w="1202" w:type="dxa"/>
          </w:tcPr>
          <w:p w:rsidR="00A3713F" w:rsidRPr="00EE003F" w:rsidRDefault="00A3713F" w:rsidP="008D0CB9">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827" w:type="dxa"/>
          </w:tcPr>
          <w:p w:rsidR="00A3713F" w:rsidRPr="00EE003F" w:rsidRDefault="00A3713F" w:rsidP="008D0CB9">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w:t>
            </w:r>
          </w:p>
          <w:p w:rsidR="00A3713F" w:rsidRPr="00EE003F" w:rsidRDefault="00A3713F" w:rsidP="008D0CB9">
            <w:pPr>
              <w:pStyle w:val="BasicParagraph"/>
              <w:suppressAutoHyphens/>
              <w:jc w:val="center"/>
              <w:rPr>
                <w:rFonts w:ascii="Arial Narrow" w:hAnsi="Arial Narrow"/>
                <w:color w:val="auto"/>
              </w:rPr>
            </w:pPr>
            <w:r w:rsidRPr="00EE003F">
              <w:rPr>
                <w:rStyle w:val="negritatablas"/>
                <w:rFonts w:ascii="Arial Narrow" w:hAnsi="Arial Narrow"/>
                <w:color w:val="auto"/>
              </w:rPr>
              <w:t>(2014)</w:t>
            </w:r>
          </w:p>
        </w:tc>
        <w:tc>
          <w:tcPr>
            <w:tcW w:w="862" w:type="dxa"/>
          </w:tcPr>
          <w:p w:rsidR="00A3713F" w:rsidRPr="00EE003F" w:rsidRDefault="00A3713F" w:rsidP="008D0CB9">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936" w:type="dxa"/>
          </w:tcPr>
          <w:p w:rsidR="00A3713F" w:rsidRPr="00EE003F" w:rsidRDefault="00A3713F" w:rsidP="008D0CB9">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C626D1">
        <w:trPr>
          <w:trHeight w:val="60"/>
        </w:trPr>
        <w:tc>
          <w:tcPr>
            <w:tcW w:w="4052" w:type="dxa"/>
            <w:gridSpan w:val="4"/>
          </w:tcPr>
          <w:p w:rsidR="00A3713F" w:rsidRPr="00EE003F" w:rsidRDefault="00A3713F" w:rsidP="008D0CB9">
            <w:pPr>
              <w:pStyle w:val="BasicParagraph"/>
              <w:suppressAutoHyphens/>
              <w:rPr>
                <w:rFonts w:ascii="Arial Narrow" w:hAnsi="Arial Narrow"/>
                <w:color w:val="auto"/>
              </w:rPr>
            </w:pPr>
            <w:r w:rsidRPr="00EE003F">
              <w:rPr>
                <w:rStyle w:val="cuerpodetextotablas"/>
                <w:rFonts w:ascii="Arial Narrow" w:hAnsi="Arial Narrow"/>
                <w:color w:val="auto"/>
              </w:rPr>
              <w:t xml:space="preserve">Índice de efectividad gubernamental (*) </w:t>
            </w:r>
          </w:p>
        </w:tc>
        <w:tc>
          <w:tcPr>
            <w:tcW w:w="1202" w:type="dxa"/>
          </w:tcPr>
          <w:p w:rsidR="00A3713F" w:rsidRPr="00EE003F" w:rsidRDefault="00A3713F"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WGI - Banco Mundial</w:t>
            </w:r>
          </w:p>
        </w:tc>
        <w:tc>
          <w:tcPr>
            <w:tcW w:w="827" w:type="dxa"/>
          </w:tcPr>
          <w:p w:rsidR="00A3713F" w:rsidRPr="00EE003F" w:rsidRDefault="00C45AA9"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2,2</w:t>
            </w:r>
          </w:p>
        </w:tc>
        <w:tc>
          <w:tcPr>
            <w:tcW w:w="862" w:type="dxa"/>
          </w:tcPr>
          <w:p w:rsidR="00A3713F" w:rsidRPr="00EE003F" w:rsidRDefault="00C45AA9"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2,3</w:t>
            </w:r>
          </w:p>
        </w:tc>
        <w:tc>
          <w:tcPr>
            <w:tcW w:w="936" w:type="dxa"/>
          </w:tcPr>
          <w:p w:rsidR="00A3713F" w:rsidRPr="00EE003F" w:rsidRDefault="00C45AA9"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2,4</w:t>
            </w:r>
          </w:p>
        </w:tc>
      </w:tr>
      <w:tr w:rsidR="006E3336" w:rsidRPr="00EE003F" w:rsidTr="00C626D1">
        <w:trPr>
          <w:trHeight w:val="60"/>
        </w:trPr>
        <w:tc>
          <w:tcPr>
            <w:tcW w:w="1906" w:type="dxa"/>
            <w:gridSpan w:val="2"/>
            <w:vMerge w:val="restart"/>
          </w:tcPr>
          <w:p w:rsidR="00A3713F" w:rsidRPr="00EE003F" w:rsidRDefault="00A3713F" w:rsidP="008D0CB9">
            <w:pPr>
              <w:pStyle w:val="BasicParagraph"/>
              <w:suppressAutoHyphens/>
              <w:rPr>
                <w:rFonts w:ascii="Arial Narrow" w:hAnsi="Arial Narrow"/>
                <w:color w:val="auto"/>
              </w:rPr>
            </w:pPr>
            <w:r w:rsidRPr="00EE003F">
              <w:rPr>
                <w:rStyle w:val="negritatablas"/>
                <w:rFonts w:ascii="Arial Narrow" w:hAnsi="Arial Narrow"/>
                <w:color w:val="auto"/>
              </w:rPr>
              <w:t>Objetivos Específicos</w:t>
            </w:r>
          </w:p>
        </w:tc>
        <w:tc>
          <w:tcPr>
            <w:tcW w:w="5973" w:type="dxa"/>
            <w:gridSpan w:val="6"/>
          </w:tcPr>
          <w:p w:rsidR="00A3713F" w:rsidRPr="00EE003F" w:rsidRDefault="00A3713F" w:rsidP="008D0CB9">
            <w:pPr>
              <w:pStyle w:val="BasicParagraph"/>
              <w:suppressAutoHyphens/>
              <w:rPr>
                <w:rFonts w:ascii="Arial Narrow" w:hAnsi="Arial Narrow"/>
                <w:color w:val="auto"/>
              </w:rPr>
            </w:pPr>
            <w:r w:rsidRPr="00EE003F">
              <w:rPr>
                <w:rStyle w:val="negritatablas"/>
                <w:rFonts w:ascii="Arial Narrow" w:hAnsi="Arial Narrow"/>
                <w:color w:val="auto"/>
              </w:rPr>
              <w:t>Indicadores y metas</w:t>
            </w:r>
          </w:p>
        </w:tc>
      </w:tr>
      <w:tr w:rsidR="006E3336" w:rsidRPr="00EE003F" w:rsidTr="00C626D1">
        <w:trPr>
          <w:trHeight w:val="60"/>
        </w:trPr>
        <w:tc>
          <w:tcPr>
            <w:tcW w:w="1906" w:type="dxa"/>
            <w:gridSpan w:val="2"/>
            <w:vMerge/>
          </w:tcPr>
          <w:p w:rsidR="00A3713F" w:rsidRPr="00EE003F" w:rsidRDefault="00A3713F" w:rsidP="008D0CB9">
            <w:pPr>
              <w:pStyle w:val="NoParagraphStyle"/>
              <w:spacing w:line="240" w:lineRule="auto"/>
              <w:textAlignment w:val="auto"/>
              <w:rPr>
                <w:rFonts w:ascii="Arial Narrow" w:hAnsi="Arial Narrow"/>
                <w:color w:val="auto"/>
                <w:lang w:val="es-PE"/>
              </w:rPr>
            </w:pPr>
          </w:p>
        </w:tc>
        <w:tc>
          <w:tcPr>
            <w:tcW w:w="521" w:type="dxa"/>
          </w:tcPr>
          <w:p w:rsidR="00A3713F" w:rsidRPr="00EE003F" w:rsidRDefault="00A3713F" w:rsidP="008D0CB9">
            <w:pPr>
              <w:pStyle w:val="BasicParagraph"/>
              <w:suppressAutoHyphens/>
              <w:rPr>
                <w:rFonts w:ascii="Arial Narrow" w:hAnsi="Arial Narrow"/>
                <w:color w:val="auto"/>
              </w:rPr>
            </w:pPr>
            <w:r w:rsidRPr="00EE003F">
              <w:rPr>
                <w:rStyle w:val="negritatablas"/>
                <w:rFonts w:ascii="Arial Narrow" w:hAnsi="Arial Narrow"/>
                <w:color w:val="auto"/>
              </w:rPr>
              <w:t>N.°</w:t>
            </w:r>
          </w:p>
        </w:tc>
        <w:tc>
          <w:tcPr>
            <w:tcW w:w="1625" w:type="dxa"/>
          </w:tcPr>
          <w:p w:rsidR="00A3713F" w:rsidRPr="00EE003F" w:rsidRDefault="00A3713F" w:rsidP="008D0CB9">
            <w:pPr>
              <w:pStyle w:val="BasicParagraph"/>
              <w:suppressAutoHyphens/>
              <w:jc w:val="center"/>
              <w:rPr>
                <w:rFonts w:ascii="Arial Narrow" w:hAnsi="Arial Narrow"/>
                <w:color w:val="auto"/>
              </w:rPr>
            </w:pPr>
            <w:r w:rsidRPr="00EE003F">
              <w:rPr>
                <w:rStyle w:val="negritatablas"/>
                <w:rFonts w:ascii="Arial Narrow" w:hAnsi="Arial Narrow"/>
                <w:color w:val="auto"/>
              </w:rPr>
              <w:t>Indicadores</w:t>
            </w:r>
          </w:p>
        </w:tc>
        <w:tc>
          <w:tcPr>
            <w:tcW w:w="1202" w:type="dxa"/>
          </w:tcPr>
          <w:p w:rsidR="00A3713F" w:rsidRPr="00EE003F" w:rsidRDefault="00A3713F" w:rsidP="008D0CB9">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827" w:type="dxa"/>
          </w:tcPr>
          <w:p w:rsidR="00A3713F" w:rsidRPr="00EE003F" w:rsidRDefault="00A3713F" w:rsidP="008D0CB9">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w:t>
            </w:r>
          </w:p>
          <w:p w:rsidR="00A3713F" w:rsidRPr="00EE003F" w:rsidRDefault="00A3713F" w:rsidP="008D0CB9">
            <w:pPr>
              <w:pStyle w:val="BasicParagraph"/>
              <w:suppressAutoHyphens/>
              <w:jc w:val="center"/>
              <w:rPr>
                <w:rFonts w:ascii="Arial Narrow" w:hAnsi="Arial Narrow"/>
                <w:color w:val="auto"/>
              </w:rPr>
            </w:pPr>
            <w:r w:rsidRPr="00EE003F">
              <w:rPr>
                <w:rStyle w:val="negritatablas"/>
                <w:rFonts w:ascii="Arial Narrow" w:hAnsi="Arial Narrow"/>
                <w:color w:val="auto"/>
              </w:rPr>
              <w:t>(2014)</w:t>
            </w:r>
          </w:p>
        </w:tc>
        <w:tc>
          <w:tcPr>
            <w:tcW w:w="862" w:type="dxa"/>
          </w:tcPr>
          <w:p w:rsidR="00A3713F" w:rsidRPr="00EE003F" w:rsidRDefault="00A3713F" w:rsidP="008D0CB9">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936" w:type="dxa"/>
          </w:tcPr>
          <w:p w:rsidR="00A3713F" w:rsidRPr="00EE003F" w:rsidRDefault="00A3713F" w:rsidP="008D0CB9">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862B09">
        <w:trPr>
          <w:trHeight w:val="1849"/>
        </w:trPr>
        <w:tc>
          <w:tcPr>
            <w:tcW w:w="392" w:type="dxa"/>
          </w:tcPr>
          <w:p w:rsidR="00A3713F" w:rsidRPr="00EE003F" w:rsidRDefault="00A3713F" w:rsidP="00C626D1">
            <w:pPr>
              <w:pStyle w:val="BasicParagraph"/>
              <w:suppressAutoHyphens/>
              <w:rPr>
                <w:rFonts w:ascii="Arial Narrow" w:hAnsi="Arial Narrow"/>
                <w:b/>
                <w:color w:val="auto"/>
              </w:rPr>
            </w:pPr>
            <w:r w:rsidRPr="00EE003F">
              <w:rPr>
                <w:rStyle w:val="negritatablas"/>
                <w:rFonts w:ascii="Arial Narrow" w:hAnsi="Arial Narrow"/>
                <w:b w:val="0"/>
                <w:color w:val="auto"/>
              </w:rPr>
              <w:t>1</w:t>
            </w:r>
          </w:p>
        </w:tc>
        <w:tc>
          <w:tcPr>
            <w:tcW w:w="1514" w:type="dxa"/>
          </w:tcPr>
          <w:p w:rsidR="00A3713F" w:rsidRPr="00EE003F" w:rsidRDefault="002C10DB" w:rsidP="008D0CB9">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Desarrollar mecanismos que permitan consolidar la institucionalidad democrática  con transparencia, rendición de cuentas y representatividad política, en los tres niveles de gobierno</w:t>
            </w:r>
          </w:p>
        </w:tc>
        <w:tc>
          <w:tcPr>
            <w:tcW w:w="521" w:type="dxa"/>
          </w:tcPr>
          <w:p w:rsidR="00A3713F" w:rsidRPr="00EE003F" w:rsidRDefault="00A3713F"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1</w:t>
            </w:r>
          </w:p>
        </w:tc>
        <w:tc>
          <w:tcPr>
            <w:tcW w:w="1625" w:type="dxa"/>
          </w:tcPr>
          <w:p w:rsidR="00A3713F" w:rsidRPr="00EE003F" w:rsidRDefault="00A3713F" w:rsidP="008D0CB9">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 xml:space="preserve">Índice de voz </w:t>
            </w:r>
            <w:r w:rsidRPr="00EE003F">
              <w:rPr>
                <w:rStyle w:val="cuerpodetextotablas"/>
                <w:rFonts w:ascii="Arial Narrow" w:hAnsi="Arial Narrow"/>
                <w:color w:val="auto"/>
              </w:rPr>
              <w:br/>
              <w:t xml:space="preserve">y rendición </w:t>
            </w:r>
            <w:r w:rsidRPr="00EE003F">
              <w:rPr>
                <w:rStyle w:val="cuerpodetextotablas"/>
                <w:rFonts w:ascii="Arial Narrow" w:hAnsi="Arial Narrow"/>
                <w:color w:val="auto"/>
              </w:rPr>
              <w:br/>
              <w:t xml:space="preserve">de cuentas (*) </w:t>
            </w:r>
          </w:p>
        </w:tc>
        <w:tc>
          <w:tcPr>
            <w:tcW w:w="1202" w:type="dxa"/>
          </w:tcPr>
          <w:p w:rsidR="00A3713F" w:rsidRPr="00EE003F" w:rsidRDefault="00A3713F"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WGI - Banco Mundial</w:t>
            </w:r>
          </w:p>
        </w:tc>
        <w:tc>
          <w:tcPr>
            <w:tcW w:w="827" w:type="dxa"/>
          </w:tcPr>
          <w:p w:rsidR="00A3713F" w:rsidRPr="00EE003F" w:rsidRDefault="00A3713F"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2,6</w:t>
            </w:r>
          </w:p>
        </w:tc>
        <w:tc>
          <w:tcPr>
            <w:tcW w:w="862" w:type="dxa"/>
          </w:tcPr>
          <w:p w:rsidR="00A3713F" w:rsidRPr="00EE003F" w:rsidRDefault="00A3713F"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2,</w:t>
            </w:r>
            <w:r w:rsidR="00C45AA9" w:rsidRPr="00EE003F">
              <w:rPr>
                <w:rStyle w:val="cuerpodetextotablas"/>
                <w:rFonts w:ascii="Arial Narrow" w:hAnsi="Arial Narrow"/>
                <w:color w:val="auto"/>
              </w:rPr>
              <w:t>7</w:t>
            </w:r>
          </w:p>
        </w:tc>
        <w:tc>
          <w:tcPr>
            <w:tcW w:w="936" w:type="dxa"/>
          </w:tcPr>
          <w:p w:rsidR="00A3713F" w:rsidRPr="00EE003F" w:rsidRDefault="00A3713F"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2,9</w:t>
            </w:r>
          </w:p>
        </w:tc>
      </w:tr>
      <w:tr w:rsidR="004A41F8" w:rsidRPr="00EE003F" w:rsidTr="00862B09">
        <w:trPr>
          <w:trHeight w:val="510"/>
        </w:trPr>
        <w:tc>
          <w:tcPr>
            <w:tcW w:w="392" w:type="dxa"/>
            <w:vMerge w:val="restart"/>
          </w:tcPr>
          <w:p w:rsidR="004A41F8" w:rsidRPr="00EE003F" w:rsidRDefault="004A41F8" w:rsidP="00920C2B">
            <w:pPr>
              <w:pStyle w:val="NoParagraphStyle"/>
              <w:spacing w:line="240" w:lineRule="auto"/>
              <w:rPr>
                <w:rFonts w:ascii="Arial Narrow" w:hAnsi="Arial Narrow"/>
                <w:color w:val="auto"/>
              </w:rPr>
            </w:pPr>
            <w:r w:rsidRPr="00EE003F">
              <w:rPr>
                <w:rStyle w:val="negritatablas"/>
                <w:rFonts w:ascii="Arial Narrow" w:hAnsi="Arial Narrow"/>
                <w:b w:val="0"/>
                <w:color w:val="auto"/>
              </w:rPr>
              <w:t>2</w:t>
            </w:r>
          </w:p>
        </w:tc>
        <w:tc>
          <w:tcPr>
            <w:tcW w:w="1514" w:type="dxa"/>
            <w:vMerge w:val="restart"/>
          </w:tcPr>
          <w:p w:rsidR="004A41F8" w:rsidRPr="00EE003F" w:rsidRDefault="004A41F8" w:rsidP="008D0CB9">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Desarrollar una gestión pública efectiva orientada al ciudadano, en los tres niveles de gobierno.</w:t>
            </w:r>
          </w:p>
        </w:tc>
        <w:tc>
          <w:tcPr>
            <w:tcW w:w="521" w:type="dxa"/>
          </w:tcPr>
          <w:p w:rsidR="004A41F8" w:rsidRPr="00EE003F" w:rsidRDefault="004A41F8"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2</w:t>
            </w:r>
          </w:p>
        </w:tc>
        <w:tc>
          <w:tcPr>
            <w:tcW w:w="1625" w:type="dxa"/>
          </w:tcPr>
          <w:p w:rsidR="004A41F8" w:rsidRPr="00EE003F" w:rsidRDefault="004A41F8" w:rsidP="008D0CB9">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calidad regulatoria (*)</w:t>
            </w:r>
          </w:p>
        </w:tc>
        <w:tc>
          <w:tcPr>
            <w:tcW w:w="1202" w:type="dxa"/>
          </w:tcPr>
          <w:p w:rsidR="004A41F8" w:rsidRPr="00EE003F" w:rsidRDefault="004A41F8"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WGI - Banco Mundial</w:t>
            </w:r>
          </w:p>
        </w:tc>
        <w:tc>
          <w:tcPr>
            <w:tcW w:w="827" w:type="dxa"/>
          </w:tcPr>
          <w:p w:rsidR="004A41F8" w:rsidRPr="00EE003F" w:rsidRDefault="004A41F8"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3,02</w:t>
            </w:r>
          </w:p>
        </w:tc>
        <w:tc>
          <w:tcPr>
            <w:tcW w:w="862" w:type="dxa"/>
          </w:tcPr>
          <w:p w:rsidR="004A41F8" w:rsidRPr="00EE003F" w:rsidRDefault="004A41F8" w:rsidP="00430E71">
            <w:pPr>
              <w:pStyle w:val="BasicParagraph"/>
              <w:suppressAutoHyphens/>
              <w:jc w:val="center"/>
              <w:rPr>
                <w:rFonts w:ascii="Arial Narrow" w:hAnsi="Arial Narrow"/>
                <w:color w:val="auto"/>
              </w:rPr>
            </w:pPr>
            <w:r w:rsidRPr="00EE003F">
              <w:rPr>
                <w:rStyle w:val="cuerpodetextotablas"/>
                <w:rFonts w:ascii="Arial Narrow" w:hAnsi="Arial Narrow"/>
                <w:color w:val="auto"/>
              </w:rPr>
              <w:t>3,07</w:t>
            </w:r>
          </w:p>
        </w:tc>
        <w:tc>
          <w:tcPr>
            <w:tcW w:w="936" w:type="dxa"/>
          </w:tcPr>
          <w:p w:rsidR="004A41F8" w:rsidRPr="00EE003F" w:rsidRDefault="004A41F8"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3,22</w:t>
            </w:r>
          </w:p>
        </w:tc>
      </w:tr>
      <w:tr w:rsidR="004A41F8" w:rsidRPr="00EE003F" w:rsidTr="00862B09">
        <w:trPr>
          <w:trHeight w:val="394"/>
        </w:trPr>
        <w:tc>
          <w:tcPr>
            <w:tcW w:w="392" w:type="dxa"/>
            <w:vMerge/>
          </w:tcPr>
          <w:p w:rsidR="004A41F8" w:rsidRPr="00EE003F" w:rsidRDefault="004A41F8" w:rsidP="00920C2B">
            <w:pPr>
              <w:pStyle w:val="NoParagraphStyle"/>
              <w:spacing w:line="240" w:lineRule="auto"/>
              <w:rPr>
                <w:rFonts w:ascii="Arial Narrow" w:hAnsi="Arial Narrow"/>
                <w:color w:val="auto"/>
                <w:lang w:val="es-PE"/>
              </w:rPr>
            </w:pPr>
          </w:p>
        </w:tc>
        <w:tc>
          <w:tcPr>
            <w:tcW w:w="1514" w:type="dxa"/>
            <w:vMerge/>
          </w:tcPr>
          <w:p w:rsidR="004A41F8" w:rsidRPr="00EE003F" w:rsidRDefault="004A41F8" w:rsidP="008D0CB9">
            <w:pPr>
              <w:pStyle w:val="NoParagraphStyle"/>
              <w:spacing w:line="240" w:lineRule="auto"/>
              <w:textAlignment w:val="auto"/>
              <w:rPr>
                <w:rFonts w:ascii="Arial Narrow" w:hAnsi="Arial Narrow"/>
                <w:color w:val="auto"/>
                <w:lang w:val="es-PE"/>
              </w:rPr>
            </w:pPr>
          </w:p>
        </w:tc>
        <w:tc>
          <w:tcPr>
            <w:tcW w:w="521" w:type="dxa"/>
          </w:tcPr>
          <w:p w:rsidR="004A41F8" w:rsidRPr="00EE003F" w:rsidRDefault="004A41F8"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3</w:t>
            </w:r>
          </w:p>
        </w:tc>
        <w:tc>
          <w:tcPr>
            <w:tcW w:w="1625" w:type="dxa"/>
          </w:tcPr>
          <w:p w:rsidR="004A41F8" w:rsidRPr="00EE003F" w:rsidRDefault="004A41F8" w:rsidP="008D0CB9">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gobierno electrónico</w:t>
            </w:r>
          </w:p>
        </w:tc>
        <w:tc>
          <w:tcPr>
            <w:tcW w:w="1202" w:type="dxa"/>
          </w:tcPr>
          <w:p w:rsidR="004A41F8" w:rsidRPr="00EE003F" w:rsidRDefault="004A41F8"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UNPACS</w:t>
            </w:r>
          </w:p>
        </w:tc>
        <w:tc>
          <w:tcPr>
            <w:tcW w:w="827" w:type="dxa"/>
          </w:tcPr>
          <w:p w:rsidR="004A41F8" w:rsidRPr="00EE003F" w:rsidRDefault="004A41F8"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0,54</w:t>
            </w:r>
          </w:p>
        </w:tc>
        <w:tc>
          <w:tcPr>
            <w:tcW w:w="862" w:type="dxa"/>
          </w:tcPr>
          <w:p w:rsidR="004A41F8" w:rsidRPr="00EE003F" w:rsidRDefault="004A41F8"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0,56</w:t>
            </w:r>
          </w:p>
        </w:tc>
        <w:tc>
          <w:tcPr>
            <w:tcW w:w="936" w:type="dxa"/>
          </w:tcPr>
          <w:p w:rsidR="004A41F8" w:rsidRPr="00EE003F" w:rsidRDefault="004A41F8" w:rsidP="008D0CB9">
            <w:pPr>
              <w:pStyle w:val="BasicParagraph"/>
              <w:suppressAutoHyphens/>
              <w:jc w:val="center"/>
              <w:rPr>
                <w:rFonts w:ascii="Arial Narrow" w:hAnsi="Arial Narrow"/>
                <w:color w:val="auto"/>
              </w:rPr>
            </w:pPr>
            <w:r w:rsidRPr="00EE003F">
              <w:rPr>
                <w:rStyle w:val="cuerpodetextotablas"/>
                <w:rFonts w:ascii="Arial Narrow" w:hAnsi="Arial Narrow"/>
                <w:color w:val="auto"/>
              </w:rPr>
              <w:t>0,57</w:t>
            </w:r>
          </w:p>
        </w:tc>
      </w:tr>
      <w:tr w:rsidR="002A7756" w:rsidRPr="00EE003F" w:rsidTr="00862B09">
        <w:trPr>
          <w:trHeight w:val="394"/>
        </w:trPr>
        <w:tc>
          <w:tcPr>
            <w:tcW w:w="392" w:type="dxa"/>
          </w:tcPr>
          <w:p w:rsidR="002A7756" w:rsidRPr="00EE003F" w:rsidRDefault="004A41F8" w:rsidP="004A41F8">
            <w:pPr>
              <w:pStyle w:val="NoParagraphStyle"/>
              <w:spacing w:line="240" w:lineRule="auto"/>
              <w:rPr>
                <w:rFonts w:ascii="Arial Narrow" w:hAnsi="Arial Narrow"/>
                <w:color w:val="auto"/>
                <w:lang w:val="es-PE"/>
              </w:rPr>
            </w:pPr>
            <w:r w:rsidRPr="00EE003F">
              <w:rPr>
                <w:rStyle w:val="negritatablas"/>
                <w:rFonts w:ascii="Arial Narrow" w:hAnsi="Arial Narrow"/>
                <w:b w:val="0"/>
                <w:color w:val="auto"/>
              </w:rPr>
              <w:t>3</w:t>
            </w:r>
          </w:p>
        </w:tc>
        <w:tc>
          <w:tcPr>
            <w:tcW w:w="1514" w:type="dxa"/>
          </w:tcPr>
          <w:p w:rsidR="002A7756" w:rsidRPr="00EE003F" w:rsidRDefault="0064752D" w:rsidP="00641F1F">
            <w:pPr>
              <w:pStyle w:val="BasicParagraph"/>
              <w:suppressAutoHyphens/>
              <w:ind w:left="113" w:right="57"/>
              <w:rPr>
                <w:rFonts w:ascii="Arial Narrow" w:hAnsi="Arial Narrow"/>
                <w:b/>
                <w:color w:val="auto"/>
                <w:lang w:val="es-PE"/>
              </w:rPr>
            </w:pPr>
            <w:r w:rsidRPr="00EE003F">
              <w:rPr>
                <w:rStyle w:val="cuerpodetextotablas"/>
                <w:rFonts w:ascii="Arial Narrow" w:hAnsi="Arial Narrow"/>
              </w:rPr>
              <w:t>Desarrollar la mejora de los servicios judiciales</w:t>
            </w:r>
            <w:r w:rsidRPr="00EE003F" w:rsidDel="0064752D">
              <w:rPr>
                <w:rStyle w:val="negritatablas"/>
                <w:rFonts w:ascii="Arial Narrow" w:hAnsi="Arial Narrow"/>
                <w:b w:val="0"/>
                <w:color w:val="FF0000"/>
              </w:rPr>
              <w:t xml:space="preserve"> </w:t>
            </w:r>
          </w:p>
        </w:tc>
        <w:tc>
          <w:tcPr>
            <w:tcW w:w="521" w:type="dxa"/>
          </w:tcPr>
          <w:p w:rsidR="002A7756" w:rsidRPr="00EE003F" w:rsidRDefault="002A7756"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4</w:t>
            </w:r>
          </w:p>
        </w:tc>
        <w:tc>
          <w:tcPr>
            <w:tcW w:w="1625" w:type="dxa"/>
          </w:tcPr>
          <w:p w:rsidR="002A7756" w:rsidRPr="00EE003F" w:rsidRDefault="002A7756" w:rsidP="00920C2B">
            <w:pPr>
              <w:pStyle w:val="BasicParagraph"/>
              <w:suppressAutoHyphens/>
              <w:ind w:left="113" w:right="57"/>
              <w:rPr>
                <w:rStyle w:val="cuerpodetextotablas"/>
                <w:rFonts w:ascii="Arial Narrow" w:hAnsi="Arial Narrow"/>
                <w:color w:val="auto"/>
              </w:rPr>
            </w:pPr>
            <w:r w:rsidRPr="00EE003F">
              <w:rPr>
                <w:rStyle w:val="cuerpodetextotablas"/>
                <w:rFonts w:ascii="Arial Narrow" w:hAnsi="Arial Narrow"/>
                <w:color w:val="auto"/>
              </w:rPr>
              <w:t>Tiempo de duración del proceso desde ingreso de la demanda hasta la emisión de sentencia.</w:t>
            </w:r>
          </w:p>
        </w:tc>
        <w:tc>
          <w:tcPr>
            <w:tcW w:w="1202" w:type="dxa"/>
          </w:tcPr>
          <w:p w:rsidR="002A7756" w:rsidRPr="00EE003F" w:rsidRDefault="002A7756"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Ranking Doing Business, indicador Cumplimiento de Contratos</w:t>
            </w:r>
          </w:p>
        </w:tc>
        <w:tc>
          <w:tcPr>
            <w:tcW w:w="827" w:type="dxa"/>
          </w:tcPr>
          <w:p w:rsidR="002A7756" w:rsidRPr="00EE003F" w:rsidRDefault="002A7756" w:rsidP="00920C2B">
            <w:pPr>
              <w:pStyle w:val="BasicParagraph"/>
              <w:suppressAutoHyphens/>
              <w:jc w:val="center"/>
              <w:rPr>
                <w:rStyle w:val="cuerpodetextotablas"/>
                <w:rFonts w:ascii="Arial Narrow" w:hAnsi="Arial Narrow"/>
                <w:color w:val="auto"/>
              </w:rPr>
            </w:pPr>
          </w:p>
          <w:p w:rsidR="002A7756" w:rsidRPr="00EE003F" w:rsidRDefault="002A7756"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426 días calendario</w:t>
            </w:r>
          </w:p>
        </w:tc>
        <w:tc>
          <w:tcPr>
            <w:tcW w:w="862" w:type="dxa"/>
          </w:tcPr>
          <w:p w:rsidR="002A7756" w:rsidRPr="00EE003F" w:rsidRDefault="002A7756" w:rsidP="00920C2B">
            <w:pPr>
              <w:pStyle w:val="BasicParagraph"/>
              <w:suppressAutoHyphens/>
              <w:jc w:val="center"/>
              <w:rPr>
                <w:rStyle w:val="cuerpodetextotablas"/>
                <w:rFonts w:ascii="Arial Narrow" w:hAnsi="Arial Narrow"/>
                <w:color w:val="auto"/>
              </w:rPr>
            </w:pPr>
          </w:p>
          <w:p w:rsidR="002A7756" w:rsidRPr="00EE003F" w:rsidRDefault="002A7756"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No aplica</w:t>
            </w:r>
          </w:p>
        </w:tc>
        <w:tc>
          <w:tcPr>
            <w:tcW w:w="936" w:type="dxa"/>
          </w:tcPr>
          <w:p w:rsidR="002A7756" w:rsidRPr="00EE003F" w:rsidRDefault="002A7756" w:rsidP="00920C2B">
            <w:pPr>
              <w:pStyle w:val="BasicParagraph"/>
              <w:suppressAutoHyphens/>
              <w:jc w:val="center"/>
              <w:rPr>
                <w:rStyle w:val="cuerpodetextotablas"/>
                <w:rFonts w:ascii="Arial Narrow" w:hAnsi="Arial Narrow"/>
                <w:color w:val="auto"/>
              </w:rPr>
            </w:pPr>
          </w:p>
          <w:p w:rsidR="002A7756" w:rsidRPr="00EE003F" w:rsidRDefault="002A7756"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290 días calendario</w:t>
            </w:r>
          </w:p>
        </w:tc>
      </w:tr>
      <w:tr w:rsidR="004A41F8" w:rsidRPr="00EE003F" w:rsidTr="00862B09">
        <w:trPr>
          <w:trHeight w:val="433"/>
        </w:trPr>
        <w:tc>
          <w:tcPr>
            <w:tcW w:w="392" w:type="dxa"/>
            <w:vMerge w:val="restart"/>
          </w:tcPr>
          <w:p w:rsidR="004A41F8" w:rsidRPr="00EE003F" w:rsidRDefault="004A41F8" w:rsidP="004A41F8">
            <w:pPr>
              <w:pStyle w:val="NoParagraphStyle"/>
              <w:spacing w:line="240" w:lineRule="auto"/>
              <w:rPr>
                <w:rFonts w:ascii="Arial Narrow" w:hAnsi="Arial Narrow"/>
                <w:color w:val="auto"/>
              </w:rPr>
            </w:pPr>
            <w:r w:rsidRPr="00EE003F">
              <w:rPr>
                <w:rStyle w:val="negritatablas"/>
                <w:rFonts w:ascii="Arial Narrow" w:hAnsi="Arial Narrow"/>
                <w:b w:val="0"/>
                <w:color w:val="auto"/>
              </w:rPr>
              <w:t>4</w:t>
            </w:r>
          </w:p>
        </w:tc>
        <w:tc>
          <w:tcPr>
            <w:tcW w:w="1514" w:type="dxa"/>
            <w:vMerge w:val="restart"/>
          </w:tcPr>
          <w:p w:rsidR="004A41F8" w:rsidRPr="00EE003F" w:rsidRDefault="004A41F8" w:rsidP="00920C2B">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 xml:space="preserve">Garantizar el Estado de Derecho y la seguridad ciudadana. </w:t>
            </w:r>
          </w:p>
        </w:tc>
        <w:tc>
          <w:tcPr>
            <w:tcW w:w="521"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5</w:t>
            </w:r>
          </w:p>
        </w:tc>
        <w:tc>
          <w:tcPr>
            <w:tcW w:w="1625" w:type="dxa"/>
          </w:tcPr>
          <w:p w:rsidR="004A41F8" w:rsidRPr="00EE003F" w:rsidRDefault="004A41F8" w:rsidP="00920C2B">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 xml:space="preserve">Índice de Estado </w:t>
            </w:r>
            <w:r w:rsidRPr="00EE003F">
              <w:rPr>
                <w:rStyle w:val="cuerpodetextotablas"/>
                <w:rFonts w:ascii="Arial Narrow" w:hAnsi="Arial Narrow"/>
                <w:color w:val="auto"/>
              </w:rPr>
              <w:br/>
              <w:t>de Derecho (*)</w:t>
            </w:r>
          </w:p>
        </w:tc>
        <w:tc>
          <w:tcPr>
            <w:tcW w:w="1202"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WGI - Banco Mundial</w:t>
            </w:r>
          </w:p>
        </w:tc>
        <w:tc>
          <w:tcPr>
            <w:tcW w:w="827"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1,95</w:t>
            </w:r>
          </w:p>
        </w:tc>
        <w:tc>
          <w:tcPr>
            <w:tcW w:w="862"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1,98</w:t>
            </w:r>
          </w:p>
        </w:tc>
        <w:tc>
          <w:tcPr>
            <w:tcW w:w="936"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2,01</w:t>
            </w:r>
          </w:p>
        </w:tc>
      </w:tr>
      <w:tr w:rsidR="004A41F8" w:rsidRPr="00EE003F" w:rsidTr="00862B09">
        <w:trPr>
          <w:trHeight w:val="681"/>
        </w:trPr>
        <w:tc>
          <w:tcPr>
            <w:tcW w:w="392" w:type="dxa"/>
            <w:vMerge/>
          </w:tcPr>
          <w:p w:rsidR="004A41F8" w:rsidRPr="00EE003F" w:rsidRDefault="004A41F8" w:rsidP="00920C2B">
            <w:pPr>
              <w:pStyle w:val="NoParagraphStyle"/>
              <w:spacing w:line="240" w:lineRule="auto"/>
              <w:textAlignment w:val="auto"/>
              <w:rPr>
                <w:rFonts w:ascii="Arial Narrow" w:hAnsi="Arial Narrow"/>
                <w:color w:val="auto"/>
                <w:lang w:val="es-PE"/>
              </w:rPr>
            </w:pPr>
          </w:p>
        </w:tc>
        <w:tc>
          <w:tcPr>
            <w:tcW w:w="1514" w:type="dxa"/>
            <w:vMerge/>
          </w:tcPr>
          <w:p w:rsidR="004A41F8" w:rsidRPr="00EE003F" w:rsidRDefault="004A41F8" w:rsidP="00920C2B">
            <w:pPr>
              <w:pStyle w:val="NoParagraphStyle"/>
              <w:spacing w:line="240" w:lineRule="auto"/>
              <w:textAlignment w:val="auto"/>
              <w:rPr>
                <w:rFonts w:ascii="Arial Narrow" w:hAnsi="Arial Narrow"/>
                <w:color w:val="auto"/>
                <w:lang w:val="es-PE"/>
              </w:rPr>
            </w:pPr>
          </w:p>
        </w:tc>
        <w:tc>
          <w:tcPr>
            <w:tcW w:w="521"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6</w:t>
            </w:r>
          </w:p>
        </w:tc>
        <w:tc>
          <w:tcPr>
            <w:tcW w:w="1625" w:type="dxa"/>
          </w:tcPr>
          <w:p w:rsidR="004A41F8" w:rsidRPr="00EE003F" w:rsidRDefault="004A41F8" w:rsidP="00920C2B">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control de la corrupción (*)</w:t>
            </w:r>
          </w:p>
        </w:tc>
        <w:tc>
          <w:tcPr>
            <w:tcW w:w="1202"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WGI - Banco Mundial</w:t>
            </w:r>
          </w:p>
        </w:tc>
        <w:tc>
          <w:tcPr>
            <w:tcW w:w="827"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1,91</w:t>
            </w:r>
          </w:p>
        </w:tc>
        <w:tc>
          <w:tcPr>
            <w:tcW w:w="862"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2,33</w:t>
            </w:r>
          </w:p>
        </w:tc>
        <w:tc>
          <w:tcPr>
            <w:tcW w:w="936"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2,48</w:t>
            </w:r>
          </w:p>
        </w:tc>
      </w:tr>
      <w:tr w:rsidR="004A41F8" w:rsidRPr="00EE003F" w:rsidTr="00862B09">
        <w:trPr>
          <w:trHeight w:val="2622"/>
        </w:trPr>
        <w:tc>
          <w:tcPr>
            <w:tcW w:w="392" w:type="dxa"/>
          </w:tcPr>
          <w:p w:rsidR="004A41F8" w:rsidRPr="00EE003F" w:rsidRDefault="004A41F8" w:rsidP="004A41F8">
            <w:pPr>
              <w:pStyle w:val="NoParagraphStyle"/>
              <w:spacing w:line="240" w:lineRule="auto"/>
              <w:rPr>
                <w:rFonts w:ascii="Arial Narrow" w:hAnsi="Arial Narrow"/>
                <w:color w:val="auto"/>
              </w:rPr>
            </w:pPr>
            <w:r w:rsidRPr="00EE003F">
              <w:rPr>
                <w:rStyle w:val="negritatablas"/>
                <w:rFonts w:ascii="Arial Narrow" w:hAnsi="Arial Narrow"/>
                <w:b w:val="0"/>
                <w:color w:val="auto"/>
              </w:rPr>
              <w:t>5</w:t>
            </w:r>
          </w:p>
        </w:tc>
        <w:tc>
          <w:tcPr>
            <w:tcW w:w="1514" w:type="dxa"/>
          </w:tcPr>
          <w:p w:rsidR="004A41F8" w:rsidRPr="00EE003F" w:rsidRDefault="004A41F8" w:rsidP="00920C2B">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Garantizar la seguridad nacional, la integración y cooperación fronteriza, subregional, regional y hemisférica</w:t>
            </w:r>
          </w:p>
        </w:tc>
        <w:tc>
          <w:tcPr>
            <w:tcW w:w="521"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7</w:t>
            </w:r>
          </w:p>
        </w:tc>
        <w:tc>
          <w:tcPr>
            <w:tcW w:w="1625" w:type="dxa"/>
          </w:tcPr>
          <w:p w:rsidR="004A41F8" w:rsidRPr="00EE003F" w:rsidRDefault="004A41F8" w:rsidP="00920C2B">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estabilidad política y ausencia de violencia (*)</w:t>
            </w:r>
          </w:p>
        </w:tc>
        <w:tc>
          <w:tcPr>
            <w:tcW w:w="1202"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WGI - Banco Mundial</w:t>
            </w:r>
          </w:p>
        </w:tc>
        <w:tc>
          <w:tcPr>
            <w:tcW w:w="827"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1,98</w:t>
            </w:r>
          </w:p>
        </w:tc>
        <w:tc>
          <w:tcPr>
            <w:tcW w:w="862"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2,08</w:t>
            </w:r>
          </w:p>
        </w:tc>
        <w:tc>
          <w:tcPr>
            <w:tcW w:w="936" w:type="dxa"/>
          </w:tcPr>
          <w:p w:rsidR="004A41F8" w:rsidRPr="00EE003F" w:rsidRDefault="004A41F8" w:rsidP="00920C2B">
            <w:pPr>
              <w:pStyle w:val="BasicParagraph"/>
              <w:suppressAutoHyphens/>
              <w:jc w:val="center"/>
              <w:rPr>
                <w:rFonts w:ascii="Arial Narrow" w:hAnsi="Arial Narrow"/>
                <w:color w:val="auto"/>
              </w:rPr>
            </w:pPr>
            <w:r w:rsidRPr="00EE003F">
              <w:rPr>
                <w:rStyle w:val="cuerpodetextotablas"/>
                <w:rFonts w:ascii="Arial Narrow" w:hAnsi="Arial Narrow"/>
                <w:color w:val="auto"/>
              </w:rPr>
              <w:t>2,34</w:t>
            </w:r>
          </w:p>
        </w:tc>
      </w:tr>
      <w:tr w:rsidR="00920C2B" w:rsidRPr="00EE003F" w:rsidTr="00862B09">
        <w:trPr>
          <w:trHeight w:val="2622"/>
        </w:trPr>
        <w:tc>
          <w:tcPr>
            <w:tcW w:w="392" w:type="dxa"/>
          </w:tcPr>
          <w:p w:rsidR="00920C2B" w:rsidRPr="00EE003F" w:rsidRDefault="004A41F8" w:rsidP="00920C2B">
            <w:pPr>
              <w:pStyle w:val="BasicParagraph"/>
              <w:suppressAutoHyphens/>
              <w:jc w:val="center"/>
              <w:rPr>
                <w:rStyle w:val="negritatablas"/>
                <w:rFonts w:ascii="Arial Narrow" w:hAnsi="Arial Narrow"/>
                <w:b w:val="0"/>
                <w:color w:val="auto"/>
              </w:rPr>
            </w:pPr>
            <w:r w:rsidRPr="00EE003F">
              <w:rPr>
                <w:rStyle w:val="negritatablas"/>
                <w:rFonts w:ascii="Arial Narrow" w:hAnsi="Arial Narrow"/>
                <w:b w:val="0"/>
                <w:color w:val="auto"/>
              </w:rPr>
              <w:t>6</w:t>
            </w:r>
          </w:p>
        </w:tc>
        <w:tc>
          <w:tcPr>
            <w:tcW w:w="1514" w:type="dxa"/>
          </w:tcPr>
          <w:p w:rsidR="00920C2B" w:rsidRPr="00EE003F" w:rsidRDefault="00920C2B" w:rsidP="00920C2B">
            <w:pPr>
              <w:pStyle w:val="BasicParagraph"/>
              <w:suppressAutoHyphens/>
              <w:ind w:left="113" w:right="57"/>
              <w:rPr>
                <w:rStyle w:val="cuerpodetextotablas"/>
                <w:rFonts w:ascii="Arial Narrow" w:hAnsi="Arial Narrow"/>
                <w:color w:val="auto"/>
              </w:rPr>
            </w:pPr>
            <w:r w:rsidRPr="00EE003F">
              <w:rPr>
                <w:rStyle w:val="cuerpodetextotablas"/>
                <w:rFonts w:ascii="Arial Narrow" w:hAnsi="Arial Narrow"/>
                <w:color w:val="auto"/>
              </w:rPr>
              <w:t>Consolidar la presencia e imagen del Perú como una potencia regional emergente en el escenario internacional y garantizar la plena defensa de los intereses nacionales en el exterior.</w:t>
            </w:r>
          </w:p>
        </w:tc>
        <w:tc>
          <w:tcPr>
            <w:tcW w:w="521" w:type="dxa"/>
          </w:tcPr>
          <w:p w:rsidR="00920C2B" w:rsidRPr="00EE003F" w:rsidRDefault="002A7756"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8</w:t>
            </w:r>
          </w:p>
        </w:tc>
        <w:tc>
          <w:tcPr>
            <w:tcW w:w="1625" w:type="dxa"/>
          </w:tcPr>
          <w:p w:rsidR="00920C2B" w:rsidRPr="00EE003F" w:rsidRDefault="00920C2B" w:rsidP="00920C2B">
            <w:pPr>
              <w:pStyle w:val="BasicParagraph"/>
              <w:suppressAutoHyphens/>
              <w:ind w:left="113" w:right="57"/>
              <w:rPr>
                <w:rStyle w:val="cuerpodetextotablas"/>
                <w:rFonts w:ascii="Arial Narrow" w:hAnsi="Arial Narrow"/>
                <w:color w:val="auto"/>
              </w:rPr>
            </w:pPr>
            <w:r w:rsidRPr="00EE003F">
              <w:rPr>
                <w:rStyle w:val="cuerpodetextotablas"/>
                <w:rFonts w:ascii="Arial Narrow" w:hAnsi="Arial Narrow"/>
                <w:color w:val="auto"/>
              </w:rPr>
              <w:t>Índice Elcano de Presencia Global (IEPG)</w:t>
            </w:r>
          </w:p>
        </w:tc>
        <w:tc>
          <w:tcPr>
            <w:tcW w:w="1202" w:type="dxa"/>
          </w:tcPr>
          <w:p w:rsidR="00920C2B" w:rsidRPr="00EE003F" w:rsidRDefault="00920C2B"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Fundación Elcano</w:t>
            </w:r>
          </w:p>
        </w:tc>
        <w:tc>
          <w:tcPr>
            <w:tcW w:w="827" w:type="dxa"/>
          </w:tcPr>
          <w:p w:rsidR="00920C2B" w:rsidRPr="00EE003F" w:rsidRDefault="00920C2B"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17,2</w:t>
            </w:r>
          </w:p>
          <w:p w:rsidR="00920C2B" w:rsidRPr="00EE003F" w:rsidRDefault="00920C2B"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(2015)</w:t>
            </w:r>
          </w:p>
        </w:tc>
        <w:tc>
          <w:tcPr>
            <w:tcW w:w="862" w:type="dxa"/>
          </w:tcPr>
          <w:p w:rsidR="00920C2B" w:rsidRPr="00EE003F" w:rsidRDefault="00920C2B"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26</w:t>
            </w:r>
          </w:p>
        </w:tc>
        <w:tc>
          <w:tcPr>
            <w:tcW w:w="936" w:type="dxa"/>
          </w:tcPr>
          <w:p w:rsidR="00920C2B" w:rsidRPr="00EE003F" w:rsidRDefault="00920C2B" w:rsidP="00920C2B">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29,3</w:t>
            </w:r>
          </w:p>
        </w:tc>
      </w:tr>
    </w:tbl>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RotisSemiSans-Regular"/>
          <w:sz w:val="24"/>
          <w:szCs w:val="24"/>
        </w:rPr>
      </w:pPr>
    </w:p>
    <w:p w:rsidR="00337D1C" w:rsidRPr="00EE003F" w:rsidRDefault="005B6147" w:rsidP="00962397">
      <w:pPr>
        <w:tabs>
          <w:tab w:val="left" w:pos="1358"/>
        </w:tabs>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Calibri"/>
          <w:b/>
          <w:noProof/>
          <w:lang w:eastAsia="es-PE"/>
        </w:rPr>
        <w:drawing>
          <wp:anchor distT="0" distB="0" distL="114300" distR="114300" simplePos="0" relativeHeight="251692544" behindDoc="1" locked="0" layoutInCell="1" allowOverlap="1" wp14:anchorId="1BF2A33C" wp14:editId="466CEEDE">
            <wp:simplePos x="0" y="0"/>
            <wp:positionH relativeFrom="column">
              <wp:posOffset>0</wp:posOffset>
            </wp:positionH>
            <wp:positionV relativeFrom="paragraph">
              <wp:posOffset>0</wp:posOffset>
            </wp:positionV>
            <wp:extent cx="5612130" cy="2901315"/>
            <wp:effectExtent l="0" t="0" r="7620" b="0"/>
            <wp:wrapNone/>
            <wp:docPr id="2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Voz y Rendición de Cuentas.png"/>
                    <pic:cNvPicPr/>
                  </pic:nvPicPr>
                  <pic:blipFill>
                    <a:blip r:embed="rId106">
                      <a:extLst>
                        <a:ext uri="{28A0092B-C50C-407E-A947-70E740481C1C}">
                          <a14:useLocalDpi xmlns:a14="http://schemas.microsoft.com/office/drawing/2010/main" val="0"/>
                        </a:ext>
                      </a:extLst>
                    </a:blip>
                    <a:stretch>
                      <a:fillRect/>
                    </a:stretch>
                  </pic:blipFill>
                  <pic:spPr>
                    <a:xfrm>
                      <a:off x="0" y="0"/>
                      <a:ext cx="5612130" cy="2901315"/>
                    </a:xfrm>
                    <a:prstGeom prst="rect">
                      <a:avLst/>
                    </a:prstGeom>
                  </pic:spPr>
                </pic:pic>
              </a:graphicData>
            </a:graphic>
            <wp14:sizeRelH relativeFrom="page">
              <wp14:pctWidth>0</wp14:pctWidth>
            </wp14:sizeRelH>
            <wp14:sizeRelV relativeFrom="page">
              <wp14:pctHeight>0</wp14:pctHeight>
            </wp14:sizeRelV>
          </wp:anchor>
        </w:drawing>
      </w: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5B6147" w:rsidRPr="00EE003F" w:rsidRDefault="005B6147" w:rsidP="00337D1C">
      <w:pPr>
        <w:autoSpaceDE w:val="0"/>
        <w:autoSpaceDN w:val="0"/>
        <w:adjustRightInd w:val="0"/>
        <w:spacing w:after="0" w:line="240" w:lineRule="auto"/>
        <w:jc w:val="both"/>
        <w:rPr>
          <w:rFonts w:ascii="Arial Narrow" w:hAnsi="Arial Narrow" w:cs="FrutigerLTStd-Bold"/>
          <w:b/>
          <w:bCs/>
          <w:sz w:val="24"/>
          <w:szCs w:val="24"/>
        </w:rPr>
      </w:pPr>
    </w:p>
    <w:p w:rsidR="006D791D" w:rsidRPr="00EE003F" w:rsidRDefault="006D791D" w:rsidP="00337D1C">
      <w:pPr>
        <w:autoSpaceDE w:val="0"/>
        <w:autoSpaceDN w:val="0"/>
        <w:adjustRightInd w:val="0"/>
        <w:spacing w:after="0" w:line="240" w:lineRule="auto"/>
        <w:jc w:val="both"/>
        <w:rPr>
          <w:rFonts w:ascii="Arial Narrow" w:hAnsi="Arial Narrow" w:cs="FrutigerLTStd-Bold"/>
          <w:b/>
          <w:bCs/>
          <w:sz w:val="24"/>
          <w:szCs w:val="24"/>
        </w:rPr>
      </w:pPr>
    </w:p>
    <w:p w:rsidR="006D791D" w:rsidRPr="00EE003F" w:rsidRDefault="000C7C48" w:rsidP="00337D1C">
      <w:pPr>
        <w:autoSpaceDE w:val="0"/>
        <w:autoSpaceDN w:val="0"/>
        <w:adjustRightInd w:val="0"/>
        <w:spacing w:after="0" w:line="240" w:lineRule="auto"/>
        <w:jc w:val="both"/>
        <w:rPr>
          <w:rFonts w:ascii="Arial Narrow" w:hAnsi="Arial Narrow" w:cs="FrutigerLTStd-Bold"/>
          <w:b/>
          <w:bCs/>
          <w:sz w:val="24"/>
          <w:szCs w:val="24"/>
        </w:rPr>
      </w:pPr>
      <w:r w:rsidRPr="00EE003F">
        <w:rPr>
          <w:noProof/>
          <w:lang w:eastAsia="es-PE"/>
        </w:rPr>
        <w:drawing>
          <wp:inline distT="0" distB="0" distL="0" distR="0" wp14:anchorId="5C148BB8" wp14:editId="1B410037">
            <wp:extent cx="5400675" cy="3659113"/>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00675" cy="3659113"/>
                    </a:xfrm>
                    <a:prstGeom prst="rect">
                      <a:avLst/>
                    </a:prstGeom>
                  </pic:spPr>
                </pic:pic>
              </a:graphicData>
            </a:graphic>
          </wp:inline>
        </w:drawing>
      </w:r>
    </w:p>
    <w:p w:rsidR="006D791D" w:rsidRPr="00EE003F" w:rsidRDefault="006D791D" w:rsidP="00337D1C">
      <w:pPr>
        <w:autoSpaceDE w:val="0"/>
        <w:autoSpaceDN w:val="0"/>
        <w:adjustRightInd w:val="0"/>
        <w:spacing w:after="0" w:line="240" w:lineRule="auto"/>
        <w:jc w:val="both"/>
        <w:rPr>
          <w:rFonts w:ascii="Arial Narrow" w:hAnsi="Arial Narrow" w:cs="FrutigerLTStd-Bold"/>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EA6F0B" w:rsidRPr="00EE003F" w:rsidRDefault="006D791D"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La </w:t>
      </w:r>
      <w:r w:rsidR="00337D1C" w:rsidRPr="00EE003F">
        <w:rPr>
          <w:rFonts w:ascii="Arial Narrow" w:eastAsia="FrutigerLTStd-Light" w:hAnsi="Arial Narrow" w:cs="FrutigerLTStd-Light"/>
          <w:sz w:val="24"/>
          <w:szCs w:val="24"/>
        </w:rPr>
        <w:t xml:space="preserve">mejora </w:t>
      </w:r>
      <w:r w:rsidRPr="00EE003F">
        <w:rPr>
          <w:rFonts w:ascii="Arial Narrow" w:eastAsia="FrutigerLTStd-Light" w:hAnsi="Arial Narrow" w:cs="FrutigerLTStd-Light"/>
          <w:sz w:val="24"/>
          <w:szCs w:val="24"/>
        </w:rPr>
        <w:t xml:space="preserve">de los  últimos años </w:t>
      </w:r>
      <w:r w:rsidR="00337D1C" w:rsidRPr="00EE003F">
        <w:rPr>
          <w:rFonts w:ascii="Arial Narrow" w:eastAsia="FrutigerLTStd-Light" w:hAnsi="Arial Narrow" w:cs="FrutigerLTStd-Light"/>
          <w:sz w:val="24"/>
          <w:szCs w:val="24"/>
        </w:rPr>
        <w:t>ha sido posible debido a los importantes avances en la capacidad de los ciudadanos para elegir a sus autoridades y para ejercer su derecho a la libertad de expresión. No obstante, las metas trazadas se podrán alcanzar con la mejora en la rendición de cuentas en los tres niveles de gobierno, el respeto de las autoridades a la libertad de la expresión y con la aprobación e implementación de un marco normativo integrado en materia de reforma del sistema político.</w:t>
      </w:r>
    </w:p>
    <w:p w:rsidR="00337D1C" w:rsidRPr="00EE003F" w:rsidRDefault="00DC3F82" w:rsidP="00F441B8">
      <w:pPr>
        <w:autoSpaceDE w:val="0"/>
        <w:autoSpaceDN w:val="0"/>
        <w:adjustRightInd w:val="0"/>
        <w:spacing w:before="120" w:after="0" w:line="240" w:lineRule="auto"/>
        <w:jc w:val="both"/>
        <w:rPr>
          <w:rFonts w:ascii="Arial Narrow" w:hAnsi="Arial Narrow" w:cs="FrutigerLTStd-BoldCn"/>
          <w:b/>
          <w:bCs/>
          <w:sz w:val="24"/>
          <w:szCs w:val="24"/>
        </w:rPr>
      </w:pPr>
      <w:r w:rsidRPr="00EE003F">
        <w:rPr>
          <w:rFonts w:ascii="Arial Narrow" w:hAnsi="Arial Narrow" w:cs="FrutigerLTStd-BoldCn"/>
          <w:b/>
          <w:bCs/>
          <w:sz w:val="24"/>
          <w:szCs w:val="24"/>
        </w:rPr>
        <w:br w:type="page"/>
      </w:r>
      <w:r w:rsidR="00430E71" w:rsidRPr="00EE003F">
        <w:rPr>
          <w:rFonts w:ascii="Arial Narrow" w:hAnsi="Arial Narrow" w:cs="FrutigerLTStd-BoldCn"/>
          <w:b/>
          <w:bCs/>
          <w:noProof/>
          <w:sz w:val="24"/>
          <w:szCs w:val="24"/>
          <w:lang w:eastAsia="es-PE"/>
        </w:rPr>
        <w:drawing>
          <wp:inline distT="0" distB="0" distL="0" distR="0" wp14:anchorId="27B206D0" wp14:editId="73BC2251">
            <wp:extent cx="4828305" cy="25136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30527" cy="2514839"/>
                    </a:xfrm>
                    <a:prstGeom prst="rect">
                      <a:avLst/>
                    </a:prstGeom>
                    <a:noFill/>
                  </pic:spPr>
                </pic:pic>
              </a:graphicData>
            </a:graphic>
          </wp:inline>
        </w:drawing>
      </w:r>
    </w:p>
    <w:p w:rsidR="00337D1C" w:rsidRPr="00EE003F" w:rsidRDefault="00337D1C" w:rsidP="00337D1C">
      <w:pPr>
        <w:tabs>
          <w:tab w:val="left" w:pos="1358"/>
        </w:tabs>
        <w:autoSpaceDE w:val="0"/>
        <w:autoSpaceDN w:val="0"/>
        <w:adjustRightInd w:val="0"/>
        <w:spacing w:after="0" w:line="240" w:lineRule="auto"/>
        <w:jc w:val="both"/>
        <w:rPr>
          <w:rFonts w:ascii="Arial Narrow" w:hAnsi="Arial Narrow" w:cs="FrutigerLTStd-BoldCn"/>
          <w:b/>
          <w:bCs/>
          <w:sz w:val="24"/>
          <w:szCs w:val="24"/>
        </w:rPr>
      </w:pPr>
    </w:p>
    <w:p w:rsidR="00EC12FC" w:rsidRPr="00EE003F" w:rsidRDefault="000C7C48" w:rsidP="00337D1C">
      <w:pPr>
        <w:autoSpaceDE w:val="0"/>
        <w:autoSpaceDN w:val="0"/>
        <w:adjustRightInd w:val="0"/>
        <w:spacing w:after="0" w:line="240" w:lineRule="auto"/>
        <w:jc w:val="both"/>
        <w:rPr>
          <w:rFonts w:ascii="Arial Narrow" w:hAnsi="Arial Narrow" w:cs="FrutigerLTStd-Bold"/>
          <w:b/>
          <w:bCs/>
          <w:sz w:val="24"/>
          <w:szCs w:val="24"/>
        </w:rPr>
      </w:pPr>
      <w:r w:rsidRPr="00EE003F">
        <w:rPr>
          <w:noProof/>
          <w:lang w:eastAsia="es-PE"/>
        </w:rPr>
        <w:drawing>
          <wp:inline distT="0" distB="0" distL="0" distR="0" wp14:anchorId="137D6594" wp14:editId="4CAEA4D3">
            <wp:extent cx="5400675" cy="3665224"/>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400675" cy="3665224"/>
                    </a:xfrm>
                    <a:prstGeom prst="rect">
                      <a:avLst/>
                    </a:prstGeom>
                  </pic:spPr>
                </pic:pic>
              </a:graphicData>
            </a:graphic>
          </wp:inline>
        </w:drawing>
      </w:r>
    </w:p>
    <w:p w:rsidR="00EC12FC" w:rsidRPr="00EE003F" w:rsidRDefault="00EC12FC" w:rsidP="00337D1C">
      <w:pPr>
        <w:autoSpaceDE w:val="0"/>
        <w:autoSpaceDN w:val="0"/>
        <w:adjustRightInd w:val="0"/>
        <w:spacing w:after="0" w:line="240" w:lineRule="auto"/>
        <w:jc w:val="both"/>
        <w:rPr>
          <w:rFonts w:ascii="Arial Narrow" w:hAnsi="Arial Narrow" w:cs="FrutigerLTStd-Bold"/>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337D1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El Índice de Calidad Regulatoria </w:t>
      </w:r>
      <w:r w:rsidR="006D791D" w:rsidRPr="00EE003F">
        <w:rPr>
          <w:rFonts w:ascii="Arial Narrow" w:eastAsia="FrutigerLTStd-Light" w:hAnsi="Arial Narrow" w:cs="FrutigerLTStd-Light"/>
          <w:sz w:val="24"/>
          <w:szCs w:val="24"/>
        </w:rPr>
        <w:t xml:space="preserve">podría tener una mejor performance si el </w:t>
      </w:r>
      <w:r w:rsidRPr="00EE003F">
        <w:rPr>
          <w:rFonts w:ascii="Arial Narrow" w:eastAsia="FrutigerLTStd-Light" w:hAnsi="Arial Narrow" w:cs="FrutigerLTStd-Light"/>
          <w:sz w:val="24"/>
          <w:szCs w:val="24"/>
        </w:rPr>
        <w:t>Estado ha implementado leyes y normas que han mejorado la eficiencia de los mercados. A pesar del avance registrado, es posible mejorar aún más y lograr alcanzar el nivel de las prácticas internacionales, principalmente, a través del fortalecimiento de las agencias regulatorias, de la continuidad en la promoción de la competencia y de la predictibilidad en las resoluciones de los organismos reguladores.</w:t>
      </w:r>
    </w:p>
    <w:p w:rsidR="00EC12FC" w:rsidRPr="00EE003F" w:rsidRDefault="00EC12FC" w:rsidP="00337D1C">
      <w:pPr>
        <w:autoSpaceDE w:val="0"/>
        <w:autoSpaceDN w:val="0"/>
        <w:adjustRightInd w:val="0"/>
        <w:spacing w:after="0" w:line="240" w:lineRule="auto"/>
        <w:jc w:val="both"/>
        <w:rPr>
          <w:rFonts w:ascii="Arial Narrow" w:hAnsi="Arial Narrow" w:cs="FrutigerLTStd-BoldCn"/>
          <w:b/>
          <w:bCs/>
          <w:sz w:val="24"/>
          <w:szCs w:val="24"/>
        </w:rPr>
      </w:pPr>
    </w:p>
    <w:p w:rsidR="00F441B8" w:rsidRPr="00EE003F" w:rsidRDefault="00F441B8">
      <w:pPr>
        <w:rPr>
          <w:rFonts w:ascii="Arial Narrow" w:hAnsi="Arial Narrow" w:cs="FrutigerLTStd-BoldCn"/>
          <w:b/>
          <w:bCs/>
          <w:sz w:val="24"/>
          <w:szCs w:val="24"/>
        </w:rPr>
      </w:pPr>
      <w:r w:rsidRPr="00EE003F">
        <w:rPr>
          <w:rFonts w:ascii="Arial Narrow" w:hAnsi="Arial Narrow" w:cs="FrutigerLTStd-BoldCn"/>
          <w:b/>
          <w:bCs/>
          <w:sz w:val="24"/>
          <w:szCs w:val="24"/>
        </w:rPr>
        <w:br w:type="page"/>
      </w:r>
    </w:p>
    <w:p w:rsidR="00337D1C" w:rsidRPr="00EE003F" w:rsidRDefault="00337D1C" w:rsidP="00337D1C">
      <w:pPr>
        <w:autoSpaceDE w:val="0"/>
        <w:autoSpaceDN w:val="0"/>
        <w:adjustRightInd w:val="0"/>
        <w:spacing w:after="0" w:line="240" w:lineRule="auto"/>
        <w:jc w:val="both"/>
        <w:rPr>
          <w:rFonts w:ascii="Arial Narrow" w:hAnsi="Arial Narrow" w:cs="FrutigerLTStd-LightCn"/>
          <w:sz w:val="24"/>
          <w:szCs w:val="24"/>
        </w:rPr>
      </w:pPr>
    </w:p>
    <w:p w:rsidR="00337D1C" w:rsidRPr="00EE003F" w:rsidRDefault="00DB09CE" w:rsidP="00337D1C">
      <w:pPr>
        <w:autoSpaceDE w:val="0"/>
        <w:autoSpaceDN w:val="0"/>
        <w:adjustRightInd w:val="0"/>
        <w:spacing w:after="0" w:line="240" w:lineRule="auto"/>
        <w:jc w:val="both"/>
        <w:rPr>
          <w:rFonts w:ascii="Arial Narrow" w:hAnsi="Arial Narrow" w:cs="FrutigerLTStd-LightCn"/>
          <w:sz w:val="24"/>
          <w:szCs w:val="24"/>
        </w:rPr>
      </w:pPr>
      <w:r w:rsidRPr="00EE003F">
        <w:rPr>
          <w:rFonts w:ascii="Arial Narrow" w:hAnsi="Arial Narrow" w:cs="FrutigerLTStd-LightCn"/>
          <w:noProof/>
          <w:sz w:val="24"/>
          <w:szCs w:val="24"/>
          <w:lang w:eastAsia="es-PE"/>
        </w:rPr>
        <w:drawing>
          <wp:inline distT="0" distB="0" distL="0" distR="0" wp14:anchorId="62F6061F" wp14:editId="1355BA71">
            <wp:extent cx="4608576" cy="260459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08083" cy="2604316"/>
                    </a:xfrm>
                    <a:prstGeom prst="rect">
                      <a:avLst/>
                    </a:prstGeom>
                    <a:noFill/>
                  </pic:spPr>
                </pic:pic>
              </a:graphicData>
            </a:graphic>
          </wp:inline>
        </w:drawing>
      </w:r>
    </w:p>
    <w:p w:rsidR="00337D1C" w:rsidRPr="00EE003F" w:rsidRDefault="00337D1C" w:rsidP="00337D1C">
      <w:pPr>
        <w:autoSpaceDE w:val="0"/>
        <w:autoSpaceDN w:val="0"/>
        <w:adjustRightInd w:val="0"/>
        <w:spacing w:after="0" w:line="240" w:lineRule="auto"/>
        <w:jc w:val="both"/>
        <w:rPr>
          <w:rFonts w:ascii="Arial Narrow" w:hAnsi="Arial Narrow" w:cs="FrutigerLTStd-Bold"/>
          <w:b/>
          <w:bCs/>
          <w:sz w:val="24"/>
          <w:szCs w:val="24"/>
        </w:rPr>
      </w:pPr>
    </w:p>
    <w:p w:rsidR="00F441B8" w:rsidRPr="00EE003F" w:rsidRDefault="000C7C48" w:rsidP="00337D1C">
      <w:pPr>
        <w:autoSpaceDE w:val="0"/>
        <w:autoSpaceDN w:val="0"/>
        <w:adjustRightInd w:val="0"/>
        <w:spacing w:after="0" w:line="240" w:lineRule="auto"/>
        <w:jc w:val="both"/>
        <w:rPr>
          <w:rFonts w:ascii="Arial Narrow" w:hAnsi="Arial Narrow" w:cs="FrutigerLTStd-Bold"/>
          <w:b/>
          <w:bCs/>
          <w:sz w:val="24"/>
          <w:szCs w:val="24"/>
        </w:rPr>
      </w:pPr>
      <w:r w:rsidRPr="00EE003F">
        <w:rPr>
          <w:noProof/>
          <w:lang w:eastAsia="es-PE"/>
        </w:rPr>
        <w:drawing>
          <wp:inline distT="0" distB="0" distL="0" distR="0" wp14:anchorId="5ADE3919" wp14:editId="1A4148D4">
            <wp:extent cx="4696358" cy="3358868"/>
            <wp:effectExtent l="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698148" cy="3360148"/>
                    </a:xfrm>
                    <a:prstGeom prst="rect">
                      <a:avLst/>
                    </a:prstGeom>
                  </pic:spPr>
                </pic:pic>
              </a:graphicData>
            </a:graphic>
          </wp:inline>
        </w:drawing>
      </w:r>
    </w:p>
    <w:p w:rsidR="00EC12FC" w:rsidRPr="00EE003F" w:rsidRDefault="00337D1C">
      <w:pPr>
        <w:autoSpaceDE w:val="0"/>
        <w:autoSpaceDN w:val="0"/>
        <w:adjustRightInd w:val="0"/>
        <w:spacing w:after="0" w:line="240" w:lineRule="auto"/>
        <w:jc w:val="both"/>
        <w:rPr>
          <w:rFonts w:ascii="Arial Narrow" w:hAnsi="Arial Narrow" w:cs="FrutigerLTStd-Bold"/>
          <w:b/>
          <w:bCs/>
          <w:sz w:val="24"/>
          <w:szCs w:val="24"/>
        </w:rPr>
      </w:pPr>
      <w:r w:rsidRPr="00EE003F">
        <w:rPr>
          <w:rFonts w:ascii="Arial Narrow" w:hAnsi="Arial Narrow" w:cs="FrutigerLTStd-Bold"/>
          <w:b/>
          <w:bCs/>
          <w:sz w:val="24"/>
          <w:szCs w:val="24"/>
        </w:rPr>
        <w:t>Interpretación:</w:t>
      </w:r>
    </w:p>
    <w:p w:rsidR="00337D1C" w:rsidRPr="00EE003F" w:rsidRDefault="00EC12FC" w:rsidP="00F441B8">
      <w:pPr>
        <w:autoSpaceDE w:val="0"/>
        <w:autoSpaceDN w:val="0"/>
        <w:adjustRightInd w:val="0"/>
        <w:spacing w:before="120" w:after="0" w:line="240" w:lineRule="auto"/>
        <w:jc w:val="both"/>
        <w:rPr>
          <w:rFonts w:ascii="Arial Narrow" w:eastAsia="FrutigerLTStd-Light" w:hAnsi="Arial Narrow" w:cs="FrutigerLTStd-Light"/>
          <w:sz w:val="24"/>
          <w:szCs w:val="24"/>
        </w:rPr>
      </w:pPr>
      <w:r w:rsidRPr="00EE003F">
        <w:rPr>
          <w:rFonts w:ascii="Arial Narrow" w:eastAsia="FrutigerLTStd-Light" w:hAnsi="Arial Narrow" w:cs="FrutigerLTStd-Light"/>
          <w:sz w:val="24"/>
          <w:szCs w:val="24"/>
        </w:rPr>
        <w:t xml:space="preserve">El </w:t>
      </w:r>
      <w:r w:rsidR="00337D1C" w:rsidRPr="00EE003F">
        <w:rPr>
          <w:rFonts w:ascii="Arial Narrow" w:eastAsia="FrutigerLTStd-Light" w:hAnsi="Arial Narrow" w:cs="FrutigerLTStd-Light"/>
          <w:sz w:val="24"/>
          <w:szCs w:val="24"/>
        </w:rPr>
        <w:t xml:space="preserve">progreso registrado en este indicador se debe a que, durante los últimos anos, se ha incrementado el uso de las TIC como soporte de los procesos de planificación, producción y gestión de las entidades públicas. </w:t>
      </w:r>
      <w:r w:rsidR="00D9276B" w:rsidRPr="00EE003F">
        <w:rPr>
          <w:rFonts w:ascii="Arial Narrow" w:eastAsia="FrutigerLTStd-Light" w:hAnsi="Arial Narrow" w:cs="FrutigerLTStd-Light"/>
          <w:sz w:val="24"/>
          <w:szCs w:val="24"/>
        </w:rPr>
        <w:t xml:space="preserve">Un elemento fundamental para la modernización administrativa, la toma de decisiones y el uso eficiente de la información pública es la implementación de un Plan de Datos Abiertos (Open Data) que permita la disposición de la información de las diferentes administraciones. </w:t>
      </w:r>
      <w:r w:rsidR="00337D1C" w:rsidRPr="00EE003F">
        <w:rPr>
          <w:rFonts w:ascii="Arial Narrow" w:eastAsia="FrutigerLTStd-Light" w:hAnsi="Arial Narrow" w:cs="FrutigerLTStd-Light"/>
          <w:sz w:val="24"/>
          <w:szCs w:val="24"/>
        </w:rPr>
        <w:t>Las metas propuestas para los años 2016 y 2021 serán alcanzables, en tanto se implemente la Política Nacional de Modernización de la Gestión Pública y se impulse una mayor implementación de servicios interoperables utilizando las TIC en todas las instituciones del Estado.</w:t>
      </w:r>
    </w:p>
    <w:p w:rsidR="00BC516A" w:rsidRPr="00EE003F" w:rsidRDefault="00BC516A">
      <w:pPr>
        <w:rPr>
          <w:rFonts w:ascii="Arial Narrow" w:hAnsi="Arial Narrow" w:cs="FrutigerLTStd-BoldCn"/>
          <w:b/>
          <w:bCs/>
          <w:sz w:val="24"/>
          <w:szCs w:val="24"/>
        </w:rPr>
      </w:pPr>
      <w:r w:rsidRPr="00EE003F">
        <w:rPr>
          <w:rFonts w:ascii="Arial Narrow" w:hAnsi="Arial Narrow" w:cs="FrutigerLTStd-BoldCn"/>
          <w:b/>
          <w:bCs/>
          <w:sz w:val="24"/>
          <w:szCs w:val="24"/>
        </w:rPr>
        <w:br w:type="page"/>
      </w: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4505FB" w:rsidP="00337D1C">
      <w:pPr>
        <w:autoSpaceDE w:val="0"/>
        <w:autoSpaceDN w:val="0"/>
        <w:adjustRightInd w:val="0"/>
        <w:spacing w:after="0" w:line="240" w:lineRule="auto"/>
        <w:jc w:val="both"/>
        <w:rPr>
          <w:rFonts w:ascii="Arial Narrow" w:hAnsi="Arial Narrow" w:cs="FrutigerLTStd-BoldCn"/>
          <w:b/>
          <w:bCs/>
          <w:sz w:val="24"/>
          <w:szCs w:val="24"/>
        </w:rPr>
      </w:pPr>
      <w:r w:rsidRPr="00EE003F">
        <w:rPr>
          <w:rFonts w:ascii="Arial Narrow" w:hAnsi="Arial Narrow" w:cs="Calibri"/>
          <w:b/>
          <w:noProof/>
          <w:lang w:eastAsia="es-PE"/>
        </w:rPr>
        <w:drawing>
          <wp:anchor distT="0" distB="0" distL="114300" distR="114300" simplePos="0" relativeHeight="251704832" behindDoc="0" locked="0" layoutInCell="1" allowOverlap="1" wp14:anchorId="5593B133" wp14:editId="1E01D69C">
            <wp:simplePos x="0" y="0"/>
            <wp:positionH relativeFrom="column">
              <wp:posOffset>0</wp:posOffset>
            </wp:positionH>
            <wp:positionV relativeFrom="paragraph">
              <wp:posOffset>170815</wp:posOffset>
            </wp:positionV>
            <wp:extent cx="5612130" cy="2929255"/>
            <wp:effectExtent l="0" t="0" r="7620" b="4445"/>
            <wp:wrapSquare wrapText="bothSides"/>
            <wp:docPr id="2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Estado de Derecho.png"/>
                    <pic:cNvPicPr/>
                  </pic:nvPicPr>
                  <pic:blipFill>
                    <a:blip r:embed="rId112">
                      <a:extLst>
                        <a:ext uri="{28A0092B-C50C-407E-A947-70E740481C1C}">
                          <a14:useLocalDpi xmlns:a14="http://schemas.microsoft.com/office/drawing/2010/main" val="0"/>
                        </a:ext>
                      </a:extLst>
                    </a:blip>
                    <a:stretch>
                      <a:fillRect/>
                    </a:stretch>
                  </pic:blipFill>
                  <pic:spPr>
                    <a:xfrm>
                      <a:off x="0" y="0"/>
                      <a:ext cx="5612130" cy="2929255"/>
                    </a:xfrm>
                    <a:prstGeom prst="rect">
                      <a:avLst/>
                    </a:prstGeom>
                  </pic:spPr>
                </pic:pic>
              </a:graphicData>
            </a:graphic>
            <wp14:sizeRelH relativeFrom="page">
              <wp14:pctWidth>0</wp14:pctWidth>
            </wp14:sizeRelH>
            <wp14:sizeRelV relativeFrom="page">
              <wp14:pctHeight>0</wp14:pctHeight>
            </wp14:sizeRelV>
          </wp:anchor>
        </w:drawing>
      </w:r>
    </w:p>
    <w:p w:rsidR="004505FB" w:rsidRPr="00EE003F" w:rsidRDefault="000C7C48" w:rsidP="00337D1C">
      <w:pPr>
        <w:autoSpaceDE w:val="0"/>
        <w:autoSpaceDN w:val="0"/>
        <w:adjustRightInd w:val="0"/>
        <w:spacing w:after="0" w:line="240" w:lineRule="auto"/>
        <w:jc w:val="both"/>
        <w:rPr>
          <w:rFonts w:ascii="Arial Narrow" w:hAnsi="Arial Narrow" w:cs="FrutigerLTStd-Bold"/>
          <w:b/>
          <w:bCs/>
          <w:sz w:val="24"/>
          <w:szCs w:val="24"/>
        </w:rPr>
      </w:pPr>
      <w:r w:rsidRPr="00EE003F">
        <w:rPr>
          <w:noProof/>
          <w:lang w:eastAsia="es-PE"/>
        </w:rPr>
        <w:drawing>
          <wp:inline distT="0" distB="0" distL="0" distR="0" wp14:anchorId="4792D36C" wp14:editId="66C5AB47">
            <wp:extent cx="5400675" cy="3331577"/>
            <wp:effectExtent l="0" t="0" r="0" b="254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400675" cy="3331577"/>
                    </a:xfrm>
                    <a:prstGeom prst="rect">
                      <a:avLst/>
                    </a:prstGeom>
                  </pic:spPr>
                </pic:pic>
              </a:graphicData>
            </a:graphic>
          </wp:inline>
        </w:drawing>
      </w:r>
    </w:p>
    <w:p w:rsidR="004505FB" w:rsidRPr="00EE003F" w:rsidRDefault="004505FB" w:rsidP="00337D1C">
      <w:pPr>
        <w:autoSpaceDE w:val="0"/>
        <w:autoSpaceDN w:val="0"/>
        <w:adjustRightInd w:val="0"/>
        <w:spacing w:after="0" w:line="240" w:lineRule="auto"/>
        <w:jc w:val="both"/>
        <w:rPr>
          <w:rFonts w:ascii="Arial Narrow" w:hAnsi="Arial Narrow" w:cs="FrutigerLTStd-Bold"/>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 LT Std 45 Light"/>
          <w:b/>
          <w:spacing w:val="4"/>
          <w:lang w:val="es-ES_tradnl"/>
        </w:rPr>
      </w:pPr>
      <w:r w:rsidRPr="00EE003F">
        <w:rPr>
          <w:rFonts w:ascii="Arial Narrow" w:hAnsi="Arial Narrow" w:cs="Frutiger LT Std 45 Light"/>
          <w:b/>
          <w:spacing w:val="4"/>
          <w:lang w:val="es-ES_tradnl"/>
        </w:rPr>
        <w:t>Interpretación:</w:t>
      </w:r>
    </w:p>
    <w:p w:rsidR="00337D1C" w:rsidRPr="00EE003F" w:rsidRDefault="00337D1C" w:rsidP="00337D1C">
      <w:pPr>
        <w:autoSpaceDE w:val="0"/>
        <w:autoSpaceDN w:val="0"/>
        <w:adjustRightInd w:val="0"/>
        <w:spacing w:after="0" w:line="240" w:lineRule="auto"/>
        <w:jc w:val="both"/>
        <w:rPr>
          <w:rFonts w:ascii="Arial Narrow" w:hAnsi="Arial Narrow" w:cs="Frutiger LT Std 45 Light"/>
          <w:spacing w:val="4"/>
          <w:lang w:val="es-ES_tradnl"/>
        </w:rPr>
      </w:pPr>
    </w:p>
    <w:p w:rsidR="00337D1C" w:rsidRPr="00EE003F" w:rsidRDefault="00337D1C" w:rsidP="00F441B8">
      <w:pPr>
        <w:autoSpaceDE w:val="0"/>
        <w:autoSpaceDN w:val="0"/>
        <w:adjustRightInd w:val="0"/>
        <w:spacing w:before="120" w:after="0" w:line="240" w:lineRule="auto"/>
        <w:jc w:val="both"/>
        <w:rPr>
          <w:rFonts w:ascii="Arial Narrow" w:hAnsi="Arial Narrow" w:cs="Frutiger LT Std 45 Light"/>
          <w:spacing w:val="4"/>
          <w:sz w:val="24"/>
          <w:lang w:val="es-ES_tradnl"/>
        </w:rPr>
      </w:pPr>
      <w:r w:rsidRPr="00EE003F">
        <w:rPr>
          <w:rFonts w:ascii="Arial Narrow" w:hAnsi="Arial Narrow" w:cs="Frutiger LT Std 45 Light"/>
          <w:spacing w:val="4"/>
          <w:sz w:val="24"/>
          <w:lang w:val="es-ES_tradnl"/>
        </w:rPr>
        <w:t>En</w:t>
      </w:r>
      <w:r w:rsidR="00941017" w:rsidRPr="00EE003F">
        <w:rPr>
          <w:rFonts w:ascii="Arial Narrow" w:hAnsi="Arial Narrow" w:cs="Frutiger LT Std 45 Light"/>
          <w:spacing w:val="4"/>
          <w:sz w:val="24"/>
          <w:lang w:val="es-ES_tradnl"/>
        </w:rPr>
        <w:t xml:space="preserve"> los años anteriores </w:t>
      </w:r>
      <w:r w:rsidRPr="00EE003F">
        <w:rPr>
          <w:rFonts w:ascii="Arial Narrow" w:hAnsi="Arial Narrow" w:cs="Frutiger LT Std 45 Light"/>
          <w:spacing w:val="4"/>
          <w:sz w:val="24"/>
          <w:lang w:val="es-ES_tradnl"/>
        </w:rPr>
        <w:t xml:space="preserve">se realizaron considerables acciones tales como el impulso a la simplificación administrativa que aun continua. Con la finalidad de lograr las metas planteadas para los años 2016 y 2021, resultaría decisiva la implementación de la Política Nacional de Modernización de la Gestión </w:t>
      </w:r>
      <w:r w:rsidR="0090362C" w:rsidRPr="00EE003F">
        <w:rPr>
          <w:rFonts w:ascii="Arial Narrow" w:hAnsi="Arial Narrow" w:cs="Frutiger LT Std 45 Light"/>
          <w:spacing w:val="4"/>
          <w:sz w:val="24"/>
          <w:lang w:val="es-ES_tradnl"/>
        </w:rPr>
        <w:t>Pública</w:t>
      </w:r>
      <w:r w:rsidRPr="00EE003F">
        <w:rPr>
          <w:rFonts w:ascii="Arial Narrow" w:hAnsi="Arial Narrow" w:cs="Frutiger LT Std 45 Light"/>
          <w:spacing w:val="4"/>
          <w:sz w:val="24"/>
          <w:lang w:val="es-ES_tradnl"/>
        </w:rPr>
        <w:t>, continuar con una lucha frontal contra la corrupción así como la puesta en marcha de una reforma en el sistema judicial.</w:t>
      </w:r>
    </w:p>
    <w:p w:rsidR="00F441B8" w:rsidRPr="00EE003F" w:rsidRDefault="00F441B8">
      <w:pPr>
        <w:rPr>
          <w:rFonts w:ascii="Arial Narrow" w:hAnsi="Arial Narrow" w:cs="FrutigerLTStd-BoldCn"/>
          <w:b/>
          <w:bCs/>
          <w:sz w:val="24"/>
          <w:szCs w:val="24"/>
        </w:rPr>
      </w:pPr>
      <w:r w:rsidRPr="00EE003F">
        <w:rPr>
          <w:rFonts w:ascii="Arial Narrow" w:hAnsi="Arial Narrow" w:cs="FrutigerLTStd-BoldCn"/>
          <w:b/>
          <w:bCs/>
          <w:sz w:val="24"/>
          <w:szCs w:val="24"/>
        </w:rPr>
        <w:br w:type="page"/>
      </w:r>
    </w:p>
    <w:p w:rsidR="00973951" w:rsidRPr="00EE003F" w:rsidRDefault="00973951" w:rsidP="00337D1C">
      <w:pPr>
        <w:autoSpaceDE w:val="0"/>
        <w:autoSpaceDN w:val="0"/>
        <w:adjustRightInd w:val="0"/>
        <w:spacing w:after="0" w:line="240" w:lineRule="auto"/>
        <w:jc w:val="both"/>
        <w:rPr>
          <w:rFonts w:ascii="Arial Narrow" w:hAnsi="Arial Narrow" w:cs="FrutigerLTStd-BoldCn"/>
          <w:b/>
          <w:bCs/>
          <w:sz w:val="24"/>
          <w:szCs w:val="24"/>
        </w:rPr>
      </w:pPr>
    </w:p>
    <w:p w:rsidR="00973951" w:rsidRPr="00EE003F" w:rsidRDefault="00973951" w:rsidP="00337D1C">
      <w:pPr>
        <w:autoSpaceDE w:val="0"/>
        <w:autoSpaceDN w:val="0"/>
        <w:adjustRightInd w:val="0"/>
        <w:spacing w:after="0" w:line="240" w:lineRule="auto"/>
        <w:jc w:val="both"/>
        <w:rPr>
          <w:rFonts w:ascii="Arial Narrow" w:hAnsi="Arial Narrow" w:cs="FrutigerLTStd-BoldCn"/>
          <w:b/>
          <w:bCs/>
          <w:sz w:val="24"/>
          <w:szCs w:val="24"/>
        </w:rPr>
      </w:pPr>
      <w:r w:rsidRPr="00EE003F">
        <w:rPr>
          <w:rFonts w:ascii="Arial Narrow" w:hAnsi="Arial Narrow" w:cs="Calibri"/>
          <w:b/>
          <w:noProof/>
          <w:lang w:eastAsia="es-PE"/>
        </w:rPr>
        <w:drawing>
          <wp:anchor distT="0" distB="0" distL="114300" distR="114300" simplePos="0" relativeHeight="251708928" behindDoc="1" locked="0" layoutInCell="1" allowOverlap="1" wp14:anchorId="4848A2DA" wp14:editId="259C59CB">
            <wp:simplePos x="0" y="0"/>
            <wp:positionH relativeFrom="column">
              <wp:posOffset>0</wp:posOffset>
            </wp:positionH>
            <wp:positionV relativeFrom="paragraph">
              <wp:posOffset>0</wp:posOffset>
            </wp:positionV>
            <wp:extent cx="5612130" cy="2962275"/>
            <wp:effectExtent l="0" t="0" r="7620" b="9525"/>
            <wp:wrapNone/>
            <wp:docPr id="2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Control de Corrupción.png"/>
                    <pic:cNvPicPr/>
                  </pic:nvPicPr>
                  <pic:blipFill>
                    <a:blip r:embed="rId114">
                      <a:extLst>
                        <a:ext uri="{28A0092B-C50C-407E-A947-70E740481C1C}">
                          <a14:useLocalDpi xmlns:a14="http://schemas.microsoft.com/office/drawing/2010/main" val="0"/>
                        </a:ext>
                      </a:extLst>
                    </a:blip>
                    <a:stretch>
                      <a:fillRect/>
                    </a:stretch>
                  </pic:blipFill>
                  <pic:spPr>
                    <a:xfrm>
                      <a:off x="0" y="0"/>
                      <a:ext cx="5612130" cy="2962275"/>
                    </a:xfrm>
                    <a:prstGeom prst="rect">
                      <a:avLst/>
                    </a:prstGeom>
                  </pic:spPr>
                </pic:pic>
              </a:graphicData>
            </a:graphic>
            <wp14:sizeRelH relativeFrom="page">
              <wp14:pctWidth>0</wp14:pctWidth>
            </wp14:sizeRelH>
            <wp14:sizeRelV relativeFrom="page">
              <wp14:pctHeight>0</wp14:pctHeight>
            </wp14:sizeRelV>
          </wp:anchor>
        </w:drawing>
      </w:r>
    </w:p>
    <w:p w:rsidR="00973951" w:rsidRPr="00EE003F" w:rsidRDefault="00973951"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973951" w:rsidP="00337D1C">
      <w:pPr>
        <w:autoSpaceDE w:val="0"/>
        <w:autoSpaceDN w:val="0"/>
        <w:adjustRightInd w:val="0"/>
        <w:spacing w:after="0" w:line="240" w:lineRule="auto"/>
        <w:jc w:val="both"/>
        <w:rPr>
          <w:rFonts w:ascii="Arial Narrow" w:hAnsi="Arial Narrow" w:cs="Frutiger LT Std 45 Light"/>
          <w:spacing w:val="4"/>
          <w:lang w:val="es-ES_tradnl"/>
        </w:rPr>
      </w:pPr>
    </w:p>
    <w:p w:rsidR="00973951" w:rsidRPr="00EE003F" w:rsidRDefault="000C7C48" w:rsidP="00337D1C">
      <w:pPr>
        <w:autoSpaceDE w:val="0"/>
        <w:autoSpaceDN w:val="0"/>
        <w:adjustRightInd w:val="0"/>
        <w:spacing w:after="0" w:line="240" w:lineRule="auto"/>
        <w:jc w:val="both"/>
        <w:rPr>
          <w:rFonts w:ascii="Arial Narrow" w:hAnsi="Arial Narrow" w:cs="Frutiger LT Std 45 Light"/>
          <w:spacing w:val="4"/>
          <w:lang w:val="es-ES_tradnl"/>
        </w:rPr>
      </w:pPr>
      <w:r w:rsidRPr="00EE003F">
        <w:rPr>
          <w:noProof/>
          <w:lang w:eastAsia="es-PE"/>
        </w:rPr>
        <w:drawing>
          <wp:inline distT="0" distB="0" distL="0" distR="0" wp14:anchorId="7A2D76FE" wp14:editId="3D3ADB98">
            <wp:extent cx="5400675" cy="3995815"/>
            <wp:effectExtent l="0" t="0" r="0" b="508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400675" cy="3995815"/>
                    </a:xfrm>
                    <a:prstGeom prst="rect">
                      <a:avLst/>
                    </a:prstGeom>
                  </pic:spPr>
                </pic:pic>
              </a:graphicData>
            </a:graphic>
          </wp:inline>
        </w:drawing>
      </w:r>
    </w:p>
    <w:p w:rsidR="00F441B8" w:rsidRPr="00EE003F" w:rsidRDefault="00F441B8" w:rsidP="00337D1C">
      <w:pPr>
        <w:autoSpaceDE w:val="0"/>
        <w:autoSpaceDN w:val="0"/>
        <w:adjustRightInd w:val="0"/>
        <w:spacing w:after="0" w:line="240" w:lineRule="auto"/>
        <w:jc w:val="both"/>
        <w:rPr>
          <w:rFonts w:ascii="Arial Narrow" w:hAnsi="Arial Narrow" w:cs="Frutiger LT Std 45 Light"/>
          <w:spacing w:val="4"/>
          <w:lang w:val="es-ES_tradnl"/>
        </w:rPr>
      </w:pPr>
    </w:p>
    <w:p w:rsidR="00337D1C" w:rsidRPr="00EE003F" w:rsidRDefault="00973951" w:rsidP="00337D1C">
      <w:pPr>
        <w:autoSpaceDE w:val="0"/>
        <w:autoSpaceDN w:val="0"/>
        <w:adjustRightInd w:val="0"/>
        <w:spacing w:after="0" w:line="240" w:lineRule="auto"/>
        <w:jc w:val="both"/>
        <w:rPr>
          <w:rFonts w:ascii="Arial Narrow" w:hAnsi="Arial Narrow" w:cs="Frutiger LT Std 45 Light"/>
          <w:b/>
          <w:spacing w:val="4"/>
          <w:sz w:val="24"/>
          <w:szCs w:val="24"/>
          <w:lang w:val="es-ES_tradnl"/>
        </w:rPr>
      </w:pPr>
      <w:r w:rsidRPr="00EE003F">
        <w:rPr>
          <w:rFonts w:ascii="Arial Narrow" w:hAnsi="Arial Narrow" w:cs="Frutiger LT Std 45 Light"/>
          <w:b/>
          <w:spacing w:val="4"/>
          <w:sz w:val="24"/>
          <w:szCs w:val="24"/>
          <w:lang w:val="es-ES_tradnl"/>
        </w:rPr>
        <w:t>I</w:t>
      </w:r>
      <w:r w:rsidR="00337D1C" w:rsidRPr="00EE003F">
        <w:rPr>
          <w:rFonts w:ascii="Arial Narrow" w:hAnsi="Arial Narrow" w:cs="Frutiger LT Std 45 Light"/>
          <w:b/>
          <w:spacing w:val="4"/>
          <w:sz w:val="24"/>
          <w:szCs w:val="24"/>
          <w:lang w:val="es-ES_tradnl"/>
        </w:rPr>
        <w:t>nterpretación:</w:t>
      </w:r>
    </w:p>
    <w:p w:rsidR="00F441B8" w:rsidRPr="00EE003F" w:rsidRDefault="00F441B8" w:rsidP="00337D1C">
      <w:pPr>
        <w:autoSpaceDE w:val="0"/>
        <w:autoSpaceDN w:val="0"/>
        <w:adjustRightInd w:val="0"/>
        <w:spacing w:after="0" w:line="240" w:lineRule="auto"/>
        <w:jc w:val="both"/>
        <w:rPr>
          <w:rFonts w:ascii="Arial Narrow" w:hAnsi="Arial Narrow" w:cs="Frutiger LT Std 45 Light"/>
          <w:spacing w:val="4"/>
          <w:sz w:val="24"/>
          <w:szCs w:val="24"/>
          <w:lang w:val="es-ES_tradnl"/>
        </w:rPr>
      </w:pPr>
    </w:p>
    <w:p w:rsidR="00835B91" w:rsidRPr="00EE003F" w:rsidRDefault="00337D1C" w:rsidP="000C7C48">
      <w:pPr>
        <w:autoSpaceDE w:val="0"/>
        <w:autoSpaceDN w:val="0"/>
        <w:adjustRightInd w:val="0"/>
        <w:spacing w:before="120" w:after="0" w:line="240" w:lineRule="auto"/>
        <w:jc w:val="both"/>
        <w:rPr>
          <w:rFonts w:ascii="Arial Narrow" w:hAnsi="Arial Narrow" w:cs="Frutiger LT Std 45 Light"/>
          <w:spacing w:val="4"/>
          <w:lang w:val="es-ES_tradnl"/>
        </w:rPr>
      </w:pPr>
      <w:r w:rsidRPr="00EE003F">
        <w:rPr>
          <w:rFonts w:ascii="Arial Narrow" w:hAnsi="Arial Narrow" w:cs="Frutiger LT Std 45 Light"/>
          <w:spacing w:val="4"/>
          <w:sz w:val="24"/>
          <w:szCs w:val="24"/>
          <w:lang w:val="es-ES_tradnl"/>
        </w:rPr>
        <w:t>Para alcanzar las metas propuestas, resultaría importante continuar el fortalecimiento de la Comisión de Alto Nivel Anticorrupción, de la Contraloría General de la Republica y de la Procuraduría Especializada en Delitos de Corrupción, así como fomentar una cultura de cumplimiento de la ley.</w:t>
      </w:r>
      <w:r w:rsidR="000C7C48" w:rsidRPr="00EE003F">
        <w:rPr>
          <w:rFonts w:ascii="Arial Narrow" w:hAnsi="Arial Narrow" w:cs="Frutiger LT Std 45 Light"/>
          <w:spacing w:val="4"/>
          <w:lang w:val="es-ES_tradnl"/>
        </w:rPr>
        <w:t xml:space="preserve"> </w:t>
      </w:r>
    </w:p>
    <w:p w:rsidR="00F441B8" w:rsidRPr="00EE003F" w:rsidRDefault="00F441B8">
      <w:pPr>
        <w:rPr>
          <w:rFonts w:ascii="Arial Narrow" w:hAnsi="Arial Narrow" w:cs="Frutiger LT Std 45 Light"/>
          <w:spacing w:val="4"/>
          <w:lang w:val="es-ES_tradnl"/>
        </w:rPr>
      </w:pPr>
      <w:r w:rsidRPr="00EE003F">
        <w:rPr>
          <w:rFonts w:ascii="Arial Narrow" w:hAnsi="Arial Narrow" w:cs="Frutiger LT Std 45 Light"/>
          <w:spacing w:val="4"/>
          <w:lang w:val="es-ES_tradnl"/>
        </w:rPr>
        <w:br w:type="page"/>
      </w:r>
    </w:p>
    <w:p w:rsidR="00337D1C" w:rsidRPr="00EE003F" w:rsidRDefault="00337D1C" w:rsidP="00337D1C">
      <w:pPr>
        <w:autoSpaceDE w:val="0"/>
        <w:autoSpaceDN w:val="0"/>
        <w:adjustRightInd w:val="0"/>
        <w:spacing w:after="0" w:line="240" w:lineRule="auto"/>
        <w:jc w:val="both"/>
        <w:rPr>
          <w:rFonts w:ascii="Arial Narrow" w:eastAsia="FrutigerLTStd-Light" w:hAnsi="Arial Narrow" w:cs="FrutigerLTStd-Light"/>
          <w:sz w:val="24"/>
          <w:szCs w:val="24"/>
        </w:rPr>
      </w:pPr>
    </w:p>
    <w:p w:rsidR="00337D1C" w:rsidRPr="00EE003F" w:rsidRDefault="00835B91" w:rsidP="00337D1C">
      <w:pPr>
        <w:autoSpaceDE w:val="0"/>
        <w:autoSpaceDN w:val="0"/>
        <w:adjustRightInd w:val="0"/>
        <w:spacing w:after="0" w:line="240" w:lineRule="auto"/>
        <w:jc w:val="both"/>
        <w:rPr>
          <w:rFonts w:ascii="Arial Narrow" w:hAnsi="Arial Narrow" w:cs="FrutigerLTStd-BoldCn"/>
          <w:b/>
          <w:bCs/>
          <w:sz w:val="24"/>
          <w:szCs w:val="24"/>
        </w:rPr>
      </w:pPr>
      <w:r w:rsidRPr="00EE003F">
        <w:rPr>
          <w:rFonts w:ascii="Arial Narrow" w:hAnsi="Arial Narrow"/>
          <w:b/>
          <w:noProof/>
          <w:lang w:eastAsia="es-PE"/>
        </w:rPr>
        <w:drawing>
          <wp:anchor distT="0" distB="0" distL="114300" distR="114300" simplePos="0" relativeHeight="251715072" behindDoc="1" locked="0" layoutInCell="1" allowOverlap="1" wp14:anchorId="160730A9" wp14:editId="2CE28017">
            <wp:simplePos x="0" y="0"/>
            <wp:positionH relativeFrom="column">
              <wp:posOffset>0</wp:posOffset>
            </wp:positionH>
            <wp:positionV relativeFrom="paragraph">
              <wp:posOffset>-635</wp:posOffset>
            </wp:positionV>
            <wp:extent cx="5612130" cy="3150235"/>
            <wp:effectExtent l="0" t="0" r="7620" b="0"/>
            <wp:wrapNone/>
            <wp:docPr id="2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Estabilidad Política.png"/>
                    <pic:cNvPicPr/>
                  </pic:nvPicPr>
                  <pic:blipFill>
                    <a:blip r:embed="rId116">
                      <a:extLst>
                        <a:ext uri="{28A0092B-C50C-407E-A947-70E740481C1C}">
                          <a14:useLocalDpi xmlns:a14="http://schemas.microsoft.com/office/drawing/2010/main" val="0"/>
                        </a:ext>
                      </a:extLst>
                    </a:blip>
                    <a:stretch>
                      <a:fillRect/>
                    </a:stretch>
                  </pic:blipFill>
                  <pic:spPr>
                    <a:xfrm>
                      <a:off x="0" y="0"/>
                      <a:ext cx="5612130" cy="3150235"/>
                    </a:xfrm>
                    <a:prstGeom prst="rect">
                      <a:avLst/>
                    </a:prstGeom>
                  </pic:spPr>
                </pic:pic>
              </a:graphicData>
            </a:graphic>
            <wp14:sizeRelH relativeFrom="page">
              <wp14:pctWidth>0</wp14:pctWidth>
            </wp14:sizeRelH>
            <wp14:sizeRelV relativeFrom="page">
              <wp14:pctHeight>0</wp14:pctHeight>
            </wp14:sizeRelV>
          </wp:anchor>
        </w:drawing>
      </w: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337D1C" w:rsidRPr="00EE003F" w:rsidRDefault="00337D1C"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835B91" w:rsidP="00337D1C">
      <w:pPr>
        <w:autoSpaceDE w:val="0"/>
        <w:autoSpaceDN w:val="0"/>
        <w:adjustRightInd w:val="0"/>
        <w:spacing w:after="0" w:line="240" w:lineRule="auto"/>
        <w:jc w:val="both"/>
        <w:rPr>
          <w:rFonts w:ascii="Arial Narrow" w:hAnsi="Arial Narrow" w:cs="Frutiger LT Std 45 Light"/>
          <w:spacing w:val="4"/>
          <w:lang w:val="es-ES_tradnl"/>
        </w:rPr>
      </w:pPr>
    </w:p>
    <w:p w:rsidR="00835B91" w:rsidRPr="00EE003F" w:rsidRDefault="000C7C48" w:rsidP="00337D1C">
      <w:pPr>
        <w:autoSpaceDE w:val="0"/>
        <w:autoSpaceDN w:val="0"/>
        <w:adjustRightInd w:val="0"/>
        <w:spacing w:after="0" w:line="240" w:lineRule="auto"/>
        <w:jc w:val="both"/>
        <w:rPr>
          <w:rFonts w:ascii="Arial Narrow" w:hAnsi="Arial Narrow" w:cs="Frutiger LT Std 45 Light"/>
          <w:spacing w:val="4"/>
          <w:lang w:val="es-ES_tradnl"/>
        </w:rPr>
      </w:pPr>
      <w:r w:rsidRPr="00EE003F">
        <w:rPr>
          <w:noProof/>
          <w:lang w:eastAsia="es-PE"/>
        </w:rPr>
        <w:drawing>
          <wp:inline distT="0" distB="0" distL="0" distR="0" wp14:anchorId="0858AAC8" wp14:editId="4C9C6584">
            <wp:extent cx="5400675" cy="3260693"/>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400675" cy="3260693"/>
                    </a:xfrm>
                    <a:prstGeom prst="rect">
                      <a:avLst/>
                    </a:prstGeom>
                  </pic:spPr>
                </pic:pic>
              </a:graphicData>
            </a:graphic>
          </wp:inline>
        </w:drawing>
      </w:r>
    </w:p>
    <w:p w:rsidR="00835B91" w:rsidRPr="00EE003F" w:rsidRDefault="00835B91" w:rsidP="00962397">
      <w:pPr>
        <w:tabs>
          <w:tab w:val="left" w:pos="5771"/>
        </w:tabs>
        <w:autoSpaceDE w:val="0"/>
        <w:autoSpaceDN w:val="0"/>
        <w:adjustRightInd w:val="0"/>
        <w:spacing w:after="0" w:line="240" w:lineRule="auto"/>
        <w:ind w:left="5771" w:hanging="5771"/>
        <w:jc w:val="both"/>
        <w:rPr>
          <w:rFonts w:ascii="Arial Narrow" w:hAnsi="Arial Narrow" w:cs="Frutiger LT Std 45 Light"/>
          <w:spacing w:val="4"/>
          <w:lang w:val="es-ES_tradnl"/>
        </w:rPr>
      </w:pPr>
      <w:r w:rsidRPr="00EE003F">
        <w:rPr>
          <w:rFonts w:ascii="Arial Narrow" w:hAnsi="Arial Narrow" w:cs="Frutiger LT Std 45 Light"/>
          <w:spacing w:val="4"/>
          <w:lang w:val="es-ES_tradnl"/>
        </w:rPr>
        <w:tab/>
      </w:r>
    </w:p>
    <w:p w:rsidR="00337D1C" w:rsidRPr="00EE003F" w:rsidRDefault="00337D1C" w:rsidP="00337D1C">
      <w:pPr>
        <w:autoSpaceDE w:val="0"/>
        <w:autoSpaceDN w:val="0"/>
        <w:adjustRightInd w:val="0"/>
        <w:spacing w:after="0" w:line="240" w:lineRule="auto"/>
        <w:jc w:val="both"/>
        <w:rPr>
          <w:rFonts w:ascii="Arial Narrow" w:hAnsi="Arial Narrow" w:cs="Frutiger LT Std 45 Light"/>
          <w:b/>
          <w:spacing w:val="4"/>
          <w:sz w:val="24"/>
          <w:szCs w:val="24"/>
          <w:lang w:val="es-ES_tradnl"/>
        </w:rPr>
      </w:pPr>
      <w:r w:rsidRPr="00EE003F">
        <w:rPr>
          <w:rFonts w:ascii="Arial Narrow" w:hAnsi="Arial Narrow" w:cs="Frutiger LT Std 45 Light"/>
          <w:b/>
          <w:spacing w:val="4"/>
          <w:sz w:val="24"/>
          <w:szCs w:val="24"/>
          <w:lang w:val="es-ES_tradnl"/>
        </w:rPr>
        <w:t>Interpretación:</w:t>
      </w:r>
    </w:p>
    <w:p w:rsidR="00337D1C" w:rsidRPr="00EE003F" w:rsidRDefault="00337D1C" w:rsidP="00337D1C">
      <w:pPr>
        <w:autoSpaceDE w:val="0"/>
        <w:autoSpaceDN w:val="0"/>
        <w:adjustRightInd w:val="0"/>
        <w:spacing w:after="0" w:line="240" w:lineRule="auto"/>
        <w:jc w:val="both"/>
        <w:rPr>
          <w:rFonts w:ascii="Arial Narrow" w:hAnsi="Arial Narrow" w:cs="Frutiger LT Std 45 Light"/>
          <w:spacing w:val="4"/>
          <w:sz w:val="24"/>
          <w:szCs w:val="24"/>
          <w:lang w:val="es-ES_tradnl"/>
        </w:rPr>
      </w:pPr>
    </w:p>
    <w:p w:rsidR="00337D1C" w:rsidRPr="00EE003F" w:rsidRDefault="00337D1C" w:rsidP="00F441B8">
      <w:pPr>
        <w:autoSpaceDE w:val="0"/>
        <w:autoSpaceDN w:val="0"/>
        <w:adjustRightInd w:val="0"/>
        <w:spacing w:before="120" w:after="0" w:line="240" w:lineRule="auto"/>
        <w:jc w:val="both"/>
        <w:rPr>
          <w:rFonts w:ascii="Arial Narrow" w:hAnsi="Arial Narrow" w:cs="Frutiger LT Std 45 Light"/>
          <w:spacing w:val="4"/>
          <w:sz w:val="24"/>
          <w:szCs w:val="24"/>
          <w:lang w:val="es-ES_tradnl"/>
        </w:rPr>
      </w:pPr>
      <w:r w:rsidRPr="00EE003F">
        <w:rPr>
          <w:rFonts w:ascii="Arial Narrow" w:hAnsi="Arial Narrow" w:cs="Frutiger LT Std 45 Light"/>
          <w:spacing w:val="4"/>
          <w:sz w:val="24"/>
          <w:szCs w:val="24"/>
          <w:lang w:val="es-ES_tradnl"/>
        </w:rPr>
        <w:t>El Índice de Estabilidad Política y Ausencia de Violencia paso de 1.52 en el 2005 a 1.98 en el 2014. Para alcanzar una adecuada gobernabilidad, la democracia es el único sistema capaz de articular las iniciativas e intereses de los diferentes grupos de la sociedad. En ese sentido, con la finalidad de alcanzar las metas propuestas, será necesario emprender reformas de carácter institucional que le den al país mayor predictibilidad en el ámbito político y que reduzcan la conflictividad social.</w:t>
      </w:r>
    </w:p>
    <w:p w:rsidR="00337D1C" w:rsidRPr="00EE003F" w:rsidRDefault="00337D1C" w:rsidP="00337D1C">
      <w:pPr>
        <w:autoSpaceDE w:val="0"/>
        <w:autoSpaceDN w:val="0"/>
        <w:adjustRightInd w:val="0"/>
        <w:spacing w:after="0" w:line="240" w:lineRule="auto"/>
        <w:jc w:val="both"/>
        <w:rPr>
          <w:rFonts w:ascii="Arial Narrow" w:hAnsi="Arial Narrow" w:cs="FrutigerLTStd-BoldCn"/>
          <w:b/>
          <w:bCs/>
          <w:sz w:val="24"/>
          <w:szCs w:val="24"/>
        </w:rPr>
      </w:pPr>
    </w:p>
    <w:p w:rsidR="00DC3F82" w:rsidRPr="00EE003F" w:rsidRDefault="00DC3F82">
      <w:pPr>
        <w:rPr>
          <w:rFonts w:ascii="Arial Narrow" w:hAnsi="Arial Narrow" w:cs="FrutigerLTStd-LightCn"/>
          <w:sz w:val="24"/>
          <w:szCs w:val="24"/>
        </w:rPr>
      </w:pPr>
      <w:r w:rsidRPr="00EE003F">
        <w:rPr>
          <w:rFonts w:ascii="Arial Narrow" w:hAnsi="Arial Narrow" w:cs="FrutigerLTStd-LightCn"/>
          <w:sz w:val="24"/>
          <w:szCs w:val="24"/>
        </w:rPr>
        <w:br w:type="page"/>
      </w:r>
    </w:p>
    <w:p w:rsidR="00D336B5" w:rsidRPr="00EE003F" w:rsidRDefault="00D336B5" w:rsidP="00EF313F">
      <w:pPr>
        <w:pStyle w:val="Ttulo2"/>
        <w:jc w:val="left"/>
        <w:rPr>
          <w:rFonts w:asciiTheme="minorHAnsi" w:hAnsiTheme="minorHAnsi"/>
          <w:lang w:val="es-ES_tradnl"/>
        </w:rPr>
      </w:pPr>
      <w:bookmarkStart w:id="36" w:name="_Toc453004674"/>
      <w:r w:rsidRPr="00EE003F">
        <w:rPr>
          <w:rFonts w:asciiTheme="minorHAnsi" w:hAnsiTheme="minorHAnsi"/>
          <w:lang w:val="es-ES_tradnl"/>
        </w:rPr>
        <w:t>Eje estratégico 4</w:t>
      </w:r>
      <w:bookmarkStart w:id="37" w:name="_Toc448398404"/>
      <w:r w:rsidR="00EF313F" w:rsidRPr="00EE003F">
        <w:rPr>
          <w:sz w:val="32"/>
          <w:szCs w:val="32"/>
        </w:rPr>
        <w:br/>
      </w:r>
      <w:r w:rsidRPr="00EE003F">
        <w:rPr>
          <w:rFonts w:asciiTheme="minorHAnsi" w:hAnsiTheme="minorHAnsi"/>
          <w:lang w:val="es-ES_tradnl"/>
        </w:rPr>
        <w:t>Economía diversificada, competitividad y empleo</w:t>
      </w:r>
      <w:bookmarkEnd w:id="36"/>
      <w:bookmarkEnd w:id="37"/>
    </w:p>
    <w:p w:rsidR="00D336B5" w:rsidRPr="00EE003F" w:rsidRDefault="00D336B5" w:rsidP="00681365">
      <w:pPr>
        <w:suppressAutoHyphens/>
        <w:autoSpaceDE w:val="0"/>
        <w:autoSpaceDN w:val="0"/>
        <w:adjustRightInd w:val="0"/>
        <w:spacing w:before="113" w:after="0" w:line="240" w:lineRule="auto"/>
        <w:jc w:val="both"/>
        <w:textAlignment w:val="center"/>
        <w:rPr>
          <w:rFonts w:ascii="Arial Narrow" w:hAnsi="Arial Narrow" w:cs="Frutiger LT Std 45 Light"/>
          <w:color w:val="000000" w:themeColor="text1"/>
          <w:spacing w:val="2"/>
          <w:lang w:val="es-ES_tradnl"/>
        </w:rPr>
      </w:pPr>
      <w:r w:rsidRPr="00EE003F">
        <w:rPr>
          <w:rFonts w:ascii="Arial Narrow" w:hAnsi="Arial Narrow" w:cs="Frutiger LT Std 45 Light"/>
          <w:color w:val="000000" w:themeColor="text1"/>
          <w:spacing w:val="4"/>
          <w:lang w:val="es-ES_tradnl"/>
        </w:rPr>
        <w:t xml:space="preserve">Entre el </w:t>
      </w:r>
      <w:r w:rsidR="0089105A" w:rsidRPr="00EE003F">
        <w:rPr>
          <w:rFonts w:ascii="Arial Narrow" w:hAnsi="Arial Narrow" w:cs="Frutiger LT Std 45 Light"/>
          <w:color w:val="000000" w:themeColor="text1"/>
          <w:spacing w:val="4"/>
          <w:lang w:val="es-ES_tradnl"/>
        </w:rPr>
        <w:t>200</w:t>
      </w:r>
      <w:r w:rsidR="00440750" w:rsidRPr="00EE003F">
        <w:rPr>
          <w:rFonts w:ascii="Arial Narrow" w:hAnsi="Arial Narrow" w:cs="Frutiger LT Std 45 Light"/>
          <w:color w:val="000000" w:themeColor="text1"/>
          <w:spacing w:val="4"/>
          <w:lang w:val="es-ES_tradnl"/>
        </w:rPr>
        <w:t>5</w:t>
      </w:r>
      <w:r w:rsidR="0089105A" w:rsidRPr="00EE003F">
        <w:rPr>
          <w:rFonts w:ascii="Arial Narrow" w:hAnsi="Arial Narrow" w:cs="Frutiger LT Std 45 Light"/>
          <w:color w:val="000000" w:themeColor="text1"/>
          <w:spacing w:val="4"/>
          <w:lang w:val="es-ES_tradnl"/>
        </w:rPr>
        <w:t xml:space="preserve"> </w:t>
      </w:r>
      <w:r w:rsidRPr="00EE003F">
        <w:rPr>
          <w:rFonts w:ascii="Arial Narrow" w:hAnsi="Arial Narrow" w:cs="Frutiger LT Std 45 Light"/>
          <w:color w:val="000000" w:themeColor="text1"/>
          <w:spacing w:val="4"/>
          <w:lang w:val="es-ES_tradnl"/>
        </w:rPr>
        <w:t>y el 201</w:t>
      </w:r>
      <w:r w:rsidR="0089105A" w:rsidRPr="00EE003F">
        <w:rPr>
          <w:rFonts w:ascii="Arial Narrow" w:hAnsi="Arial Narrow" w:cs="Frutiger LT Std 45 Light"/>
          <w:color w:val="000000" w:themeColor="text1"/>
          <w:spacing w:val="4"/>
          <w:lang w:val="es-ES_tradnl"/>
        </w:rPr>
        <w:t>5</w:t>
      </w:r>
      <w:r w:rsidRPr="00EE003F">
        <w:rPr>
          <w:rFonts w:ascii="Arial Narrow" w:hAnsi="Arial Narrow" w:cs="Frutiger LT Std 45 Light"/>
          <w:color w:val="000000" w:themeColor="text1"/>
          <w:spacing w:val="4"/>
          <w:lang w:val="es-ES_tradnl"/>
        </w:rPr>
        <w:t xml:space="preserve"> la economía peruana creció a una tasa anual promedio de </w:t>
      </w:r>
      <w:r w:rsidR="0089105A" w:rsidRPr="00EE003F">
        <w:rPr>
          <w:rFonts w:ascii="Arial Narrow" w:hAnsi="Arial Narrow" w:cs="Frutiger LT Std 45 Light"/>
          <w:color w:val="000000" w:themeColor="text1"/>
          <w:spacing w:val="4"/>
          <w:lang w:val="es-ES_tradnl"/>
        </w:rPr>
        <w:t>5.8</w:t>
      </w:r>
      <w:r w:rsidRPr="00EE003F">
        <w:rPr>
          <w:rFonts w:ascii="Arial Narrow" w:hAnsi="Arial Narrow" w:cs="Frutiger LT Std 45 Light"/>
          <w:color w:val="000000" w:themeColor="text1"/>
          <w:spacing w:val="4"/>
          <w:lang w:val="es-ES_tradnl"/>
        </w:rPr>
        <w:t xml:space="preserve">%. Este crecimiento redujo la pobreza de 58.70% en el 2004 a </w:t>
      </w:r>
      <w:r w:rsidR="007317FF" w:rsidRPr="00EE003F">
        <w:rPr>
          <w:rFonts w:ascii="Arial Narrow" w:hAnsi="Arial Narrow" w:cs="Frutiger LT Std 45 Light"/>
          <w:color w:val="000000" w:themeColor="text1"/>
          <w:spacing w:val="4"/>
          <w:lang w:val="es-ES_tradnl"/>
        </w:rPr>
        <w:t>21.8</w:t>
      </w:r>
      <w:r w:rsidRPr="00EE003F">
        <w:rPr>
          <w:rFonts w:ascii="Arial Narrow" w:hAnsi="Arial Narrow" w:cs="Frutiger LT Std 45 Light"/>
          <w:color w:val="000000" w:themeColor="text1"/>
          <w:spacing w:val="4"/>
          <w:lang w:val="es-ES_tradnl"/>
        </w:rPr>
        <w:t xml:space="preserve">% en el </w:t>
      </w:r>
      <w:r w:rsidR="007317FF" w:rsidRPr="00EE003F">
        <w:rPr>
          <w:rFonts w:ascii="Arial Narrow" w:hAnsi="Arial Narrow" w:cs="Frutiger LT Std 45 Light"/>
          <w:color w:val="000000" w:themeColor="text1"/>
          <w:spacing w:val="4"/>
          <w:lang w:val="es-ES_tradnl"/>
        </w:rPr>
        <w:t>2015</w:t>
      </w:r>
      <w:r w:rsidRPr="00EE003F">
        <w:rPr>
          <w:rFonts w:ascii="Arial Narrow" w:hAnsi="Arial Narrow" w:cs="Frutiger LT Std 45 Light"/>
          <w:color w:val="000000" w:themeColor="text1"/>
          <w:spacing w:val="4"/>
          <w:lang w:val="es-ES_tradnl"/>
        </w:rPr>
        <w:t>, permitiendo que millones de personas dejarán la pobreza y se incorporan a una nueva clase media emergente.</w:t>
      </w:r>
    </w:p>
    <w:p w:rsidR="002D65ED" w:rsidRPr="00EE003F" w:rsidRDefault="00D336B5" w:rsidP="00681365">
      <w:pPr>
        <w:suppressAutoHyphens/>
        <w:autoSpaceDE w:val="0"/>
        <w:autoSpaceDN w:val="0"/>
        <w:adjustRightInd w:val="0"/>
        <w:spacing w:before="113" w:after="0" w:line="240" w:lineRule="auto"/>
        <w:jc w:val="both"/>
        <w:textAlignment w:val="center"/>
        <w:rPr>
          <w:rFonts w:ascii="Arial Narrow" w:hAnsi="Arial Narrow" w:cs="Frutiger LT Std 45 Light"/>
          <w:color w:val="000000" w:themeColor="text1"/>
          <w:spacing w:val="2"/>
          <w:lang w:val="es-ES_tradnl"/>
        </w:rPr>
      </w:pPr>
      <w:r w:rsidRPr="00EE003F">
        <w:rPr>
          <w:rFonts w:ascii="Arial Narrow" w:hAnsi="Arial Narrow" w:cs="Frutiger LT Std 45 Light"/>
          <w:color w:val="000000" w:themeColor="text1"/>
          <w:spacing w:val="2"/>
          <w:lang w:val="es-ES_tradnl"/>
        </w:rPr>
        <w:t xml:space="preserve">Uno de los factores del crecimiento de la economía peruana fue la política macroeconómica (monetaria y fiscal) implementada por sucesivos gobiernos que mantiene la estabilidad económica del país. Así </w:t>
      </w:r>
      <w:r w:rsidR="00DA3923" w:rsidRPr="00EE003F">
        <w:rPr>
          <w:rFonts w:ascii="Arial Narrow" w:hAnsi="Arial Narrow" w:cs="Frutiger LT Std 45 Light"/>
          <w:color w:val="000000" w:themeColor="text1"/>
          <w:spacing w:val="2"/>
          <w:lang w:val="es-ES_tradnl"/>
        </w:rPr>
        <w:t xml:space="preserve">por ejemplo, se redujo la deuda pública del Gobierno Central como proporción de sus ingresos anuales desde un 243% en el 2004 al 90% en el 2014, evidenciando una notable mejora en su capacidad de pago. Asimismo se redujo de modo importante la vulnerabilidad a la deuda externa, cuya participación pasó de 79% en 2004 a 52% en 2014, y a la dolarización financiera, cuya participación pasó de 67% en 2004 a 47% en 2014. </w:t>
      </w:r>
      <w:r w:rsidR="002D65ED" w:rsidRPr="00EE003F">
        <w:rPr>
          <w:rFonts w:ascii="Arial Narrow" w:hAnsi="Arial Narrow" w:cs="Frutiger LT Std 45 Light"/>
          <w:color w:val="000000" w:themeColor="text1"/>
          <w:spacing w:val="2"/>
          <w:lang w:val="es-ES_tradnl"/>
        </w:rPr>
        <w:t>Según el Consejo Fiscal</w:t>
      </w:r>
      <w:r w:rsidR="002D65ED" w:rsidRPr="00EE003F">
        <w:rPr>
          <w:rStyle w:val="Refdenotaalpie"/>
          <w:rFonts w:ascii="Arial Narrow" w:hAnsi="Arial Narrow" w:cs="Frutiger LT Std 45 Light"/>
          <w:color w:val="000000" w:themeColor="text1"/>
          <w:spacing w:val="2"/>
          <w:lang w:val="es-ES_tradnl"/>
        </w:rPr>
        <w:footnoteReference w:id="25"/>
      </w:r>
      <w:r w:rsidR="002D65ED" w:rsidRPr="00EE003F">
        <w:rPr>
          <w:rFonts w:ascii="Arial Narrow" w:hAnsi="Arial Narrow" w:cs="Frutiger LT Std 45 Light"/>
          <w:color w:val="000000" w:themeColor="text1"/>
          <w:spacing w:val="2"/>
          <w:lang w:val="es-ES_tradnl"/>
        </w:rPr>
        <w:t>, se prevé que el déficit estructural pase de un 2,0% del PBI potencial para el año 2016 a 1,5% para el año 2017, y a 1,0% para el periodo 2018-2019, cumpliendo con las reglas fiscales del país. En cuanto a la inflación, según el BCRP</w:t>
      </w:r>
      <w:r w:rsidR="002D65ED" w:rsidRPr="00EE003F">
        <w:rPr>
          <w:rStyle w:val="Refdenotaalpie"/>
          <w:rFonts w:ascii="Arial Narrow" w:hAnsi="Arial Narrow" w:cs="Frutiger LT Std 45 Light"/>
          <w:color w:val="000000" w:themeColor="text1"/>
          <w:spacing w:val="2"/>
          <w:lang w:val="es-ES_tradnl"/>
        </w:rPr>
        <w:footnoteReference w:id="26"/>
      </w:r>
      <w:r w:rsidR="002D65ED" w:rsidRPr="00EE003F">
        <w:rPr>
          <w:rFonts w:ascii="Arial Narrow" w:hAnsi="Arial Narrow" w:cs="Frutiger LT Std 45 Light"/>
          <w:color w:val="000000" w:themeColor="text1"/>
          <w:spacing w:val="2"/>
          <w:lang w:val="es-ES_tradnl"/>
        </w:rPr>
        <w:t>, la meta se mantendrá en el rango entre 1% y 3%, buscando así anclar las expectativas de inflación en un nivel similar al de las economías desarrolladas.</w:t>
      </w:r>
    </w:p>
    <w:p w:rsidR="00D336B5" w:rsidRPr="00EE003F" w:rsidRDefault="009D52C2" w:rsidP="00681365">
      <w:pPr>
        <w:suppressAutoHyphens/>
        <w:autoSpaceDE w:val="0"/>
        <w:autoSpaceDN w:val="0"/>
        <w:adjustRightInd w:val="0"/>
        <w:spacing w:before="113" w:after="0" w:line="240" w:lineRule="auto"/>
        <w:jc w:val="both"/>
        <w:textAlignment w:val="center"/>
        <w:rPr>
          <w:rFonts w:ascii="Arial Narrow" w:hAnsi="Arial Narrow" w:cs="Frutiger LT Std 45 Light"/>
          <w:color w:val="000000" w:themeColor="text1"/>
          <w:spacing w:val="2"/>
        </w:rPr>
      </w:pPr>
      <w:r w:rsidRPr="00EE003F">
        <w:rPr>
          <w:rFonts w:ascii="Arial Narrow" w:hAnsi="Arial Narrow" w:cs="Frutiger LT Std 45 Light"/>
          <w:color w:val="000000" w:themeColor="text1"/>
          <w:spacing w:val="2"/>
          <w:lang w:val="es-ES_tradnl"/>
        </w:rPr>
        <w:t xml:space="preserve">Un segundo factor del crecimiento de la economía peruana fue el elevado precio de las materias primas que, sumado a la política comercial de apertura e integración económica implementada por todos los gobiernos desde </w:t>
      </w:r>
      <w:r w:rsidR="009D166B" w:rsidRPr="00EE003F">
        <w:rPr>
          <w:rFonts w:ascii="Arial Narrow" w:hAnsi="Arial Narrow" w:cs="Frutiger LT Std 45 Light"/>
          <w:color w:val="000000" w:themeColor="text1"/>
          <w:spacing w:val="2"/>
          <w:lang w:val="es-ES_tradnl"/>
        </w:rPr>
        <w:t xml:space="preserve">el </w:t>
      </w:r>
      <w:r w:rsidRPr="00EE003F">
        <w:rPr>
          <w:rFonts w:ascii="Arial Narrow" w:hAnsi="Arial Narrow" w:cs="Frutiger LT Std 45 Light"/>
          <w:color w:val="000000" w:themeColor="text1"/>
          <w:spacing w:val="2"/>
          <w:lang w:val="es-ES_tradnl"/>
        </w:rPr>
        <w:t>2002</w:t>
      </w:r>
      <w:r w:rsidR="009D166B" w:rsidRPr="00EE003F">
        <w:rPr>
          <w:rFonts w:ascii="Arial Narrow" w:hAnsi="Arial Narrow" w:cs="Frutiger LT Std 45 Light"/>
          <w:color w:val="000000" w:themeColor="text1"/>
          <w:spacing w:val="2"/>
          <w:lang w:val="es-ES_tradnl"/>
        </w:rPr>
        <w:t>,</w:t>
      </w:r>
      <w:r w:rsidRPr="00EE003F">
        <w:rPr>
          <w:rFonts w:ascii="Arial Narrow" w:hAnsi="Arial Narrow" w:cs="Frutiger LT Std 45 Light"/>
          <w:color w:val="000000" w:themeColor="text1"/>
          <w:spacing w:val="2"/>
          <w:lang w:val="es-ES_tradnl"/>
        </w:rPr>
        <w:t xml:space="preserve"> </w:t>
      </w:r>
      <w:r w:rsidR="009D166B" w:rsidRPr="00EE003F">
        <w:rPr>
          <w:rFonts w:ascii="Arial Narrow" w:hAnsi="Arial Narrow" w:cs="Frutiger LT Std 45 Light"/>
          <w:color w:val="000000" w:themeColor="text1"/>
          <w:spacing w:val="2"/>
          <w:lang w:val="es-ES_tradnl"/>
        </w:rPr>
        <w:t>viene contribuyendo</w:t>
      </w:r>
      <w:r w:rsidRPr="00EE003F">
        <w:rPr>
          <w:rFonts w:ascii="Arial Narrow" w:hAnsi="Arial Narrow" w:cs="Frutiger LT Std 45 Light"/>
          <w:color w:val="000000" w:themeColor="text1"/>
          <w:spacing w:val="2"/>
          <w:lang w:val="es-ES_tradnl"/>
        </w:rPr>
        <w:t xml:space="preserve"> a un aumento sustancial de las exportaciones tradicionales y no tradicionales. Sin embargo, la estructura de las exportaciones peruanas no ha cambiado</w:t>
      </w:r>
      <w:r w:rsidR="009411F7" w:rsidRPr="00EE003F">
        <w:rPr>
          <w:rFonts w:ascii="Arial Narrow" w:hAnsi="Arial Narrow" w:cs="Frutiger LT Std 45 Light"/>
          <w:color w:val="000000" w:themeColor="text1"/>
          <w:spacing w:val="2"/>
          <w:lang w:val="es-ES_tradnl"/>
        </w:rPr>
        <w:t xml:space="preserve"> significativamente</w:t>
      </w:r>
      <w:r w:rsidR="009D166B" w:rsidRPr="00EE003F">
        <w:rPr>
          <w:rFonts w:ascii="Arial Narrow" w:hAnsi="Arial Narrow" w:cs="Frutiger LT Std 45 Light"/>
          <w:color w:val="000000" w:themeColor="text1"/>
          <w:spacing w:val="2"/>
          <w:lang w:val="es-ES_tradnl"/>
        </w:rPr>
        <w:t xml:space="preserve"> pues </w:t>
      </w:r>
      <w:r w:rsidR="00D336B5" w:rsidRPr="00EE003F">
        <w:rPr>
          <w:rFonts w:ascii="Arial Narrow" w:hAnsi="Arial Narrow" w:cs="Frutiger LT Std 45 Light"/>
          <w:color w:val="000000" w:themeColor="text1"/>
          <w:spacing w:val="2"/>
          <w:lang w:val="es-ES_tradnl"/>
        </w:rPr>
        <w:t xml:space="preserve">todavía </w:t>
      </w:r>
      <w:r w:rsidRPr="00EE003F">
        <w:rPr>
          <w:rFonts w:ascii="Arial Narrow" w:hAnsi="Arial Narrow" w:cs="Frutiger LT Std 45 Light"/>
          <w:color w:val="000000" w:themeColor="text1"/>
          <w:spacing w:val="2"/>
          <w:lang w:val="es-ES_tradnl"/>
        </w:rPr>
        <w:t xml:space="preserve">es </w:t>
      </w:r>
      <w:r w:rsidR="00D336B5" w:rsidRPr="00EE003F">
        <w:rPr>
          <w:rFonts w:ascii="Arial Narrow" w:hAnsi="Arial Narrow" w:cs="Frutiger LT Std 45 Light"/>
          <w:color w:val="000000" w:themeColor="text1"/>
          <w:spacing w:val="2"/>
          <w:lang w:val="es-ES_tradnl"/>
        </w:rPr>
        <w:t>similar a la de 1950, es decir, una economía esencialmente primari</w:t>
      </w:r>
      <w:r w:rsidRPr="00EE003F">
        <w:rPr>
          <w:rFonts w:ascii="Arial Narrow" w:hAnsi="Arial Narrow" w:cs="Frutiger LT Std 45 Light"/>
          <w:color w:val="000000" w:themeColor="text1"/>
          <w:spacing w:val="2"/>
          <w:lang w:val="es-ES_tradnl"/>
        </w:rPr>
        <w:t>o</w:t>
      </w:r>
      <w:r w:rsidR="00D336B5" w:rsidRPr="00EE003F">
        <w:rPr>
          <w:rFonts w:ascii="Arial Narrow" w:hAnsi="Arial Narrow" w:cs="Frutiger LT Std 45 Light"/>
          <w:color w:val="000000" w:themeColor="text1"/>
          <w:spacing w:val="2"/>
          <w:lang w:val="es-ES_tradnl"/>
        </w:rPr>
        <w:t xml:space="preserve"> exportadora con baja inversión en investigación, desarrollo e innovación.</w:t>
      </w:r>
      <w:r w:rsidR="009411F7" w:rsidRPr="00EE003F">
        <w:rPr>
          <w:rFonts w:ascii="Arial Narrow" w:hAnsi="Arial Narrow" w:cs="Frutiger LT Std 45 Light"/>
          <w:color w:val="000000" w:themeColor="text1"/>
          <w:spacing w:val="2"/>
        </w:rPr>
        <w:t xml:space="preserve"> Las medidas de diversificación productiva implementadas en los últimos años, permitirán tener una estructura económica más diversificada en los próximos años.</w:t>
      </w:r>
    </w:p>
    <w:p w:rsidR="00D336B5" w:rsidRPr="00EE003F" w:rsidRDefault="00D336B5" w:rsidP="00681365">
      <w:pPr>
        <w:suppressAutoHyphens/>
        <w:autoSpaceDE w:val="0"/>
        <w:autoSpaceDN w:val="0"/>
        <w:adjustRightInd w:val="0"/>
        <w:spacing w:before="113" w:after="0" w:line="240" w:lineRule="auto"/>
        <w:jc w:val="both"/>
        <w:textAlignment w:val="center"/>
        <w:rPr>
          <w:rFonts w:ascii="Arial Narrow" w:hAnsi="Arial Narrow" w:cs="Frutiger LT Std 45 Light"/>
          <w:color w:val="000000" w:themeColor="text1"/>
          <w:spacing w:val="2"/>
          <w:lang w:val="es-ES_tradnl"/>
        </w:rPr>
      </w:pPr>
      <w:r w:rsidRPr="00EE003F">
        <w:rPr>
          <w:rFonts w:ascii="Arial Narrow" w:hAnsi="Arial Narrow" w:cs="Frutiger LT Std 45 Light"/>
          <w:color w:val="000000" w:themeColor="text1"/>
          <w:spacing w:val="2"/>
          <w:lang w:val="es-ES_tradnl"/>
        </w:rPr>
        <w:t>El notable desempeño económico, sumado a un marco jurídico que garantiza tanto la inversión nacional como extranjera, incrementó los flujos de Inversión Extranjera Directa (IED), los cuales fueron destinados principalmente a sectores como la minería, finanzas y telecomunicaciones. Así, en el 2014, los flujos de IED destinados a la minería representaban el 34.36% del PBI sectorial, en contraste con lo observado en el sector manufactura, en donde el flujo de IED fue de 11.8%</w:t>
      </w:r>
      <w:r w:rsidR="00FF7A11" w:rsidRPr="00EE003F">
        <w:rPr>
          <w:rFonts w:ascii="Arial Narrow" w:hAnsi="Arial Narrow" w:cs="Frutiger LT Std 45 Light"/>
          <w:color w:val="000000" w:themeColor="text1"/>
          <w:spacing w:val="2"/>
          <w:lang w:val="es-ES_tradnl"/>
        </w:rPr>
        <w:t xml:space="preserve"> </w:t>
      </w:r>
      <w:sdt>
        <w:sdtPr>
          <w:rPr>
            <w:rFonts w:ascii="Arial Narrow" w:hAnsi="Arial Narrow" w:cs="Frutiger LT Std 45 Light"/>
            <w:color w:val="000000" w:themeColor="text1"/>
            <w:spacing w:val="2"/>
            <w:lang w:val="es-ES_tradnl"/>
          </w:rPr>
          <w:id w:val="524523042"/>
          <w:citation/>
        </w:sdtPr>
        <w:sdtEndPr/>
        <w:sdtContent>
          <w:r w:rsidR="00FF7A11" w:rsidRPr="00EE003F">
            <w:rPr>
              <w:rFonts w:ascii="Arial Narrow" w:hAnsi="Arial Narrow" w:cs="Frutiger LT Std 45 Light"/>
              <w:color w:val="000000" w:themeColor="text1"/>
              <w:spacing w:val="2"/>
              <w:lang w:val="es-ES_tradnl"/>
            </w:rPr>
            <w:fldChar w:fldCharType="begin"/>
          </w:r>
          <w:r w:rsidR="00FF7A11" w:rsidRPr="00EE003F">
            <w:rPr>
              <w:rFonts w:ascii="Arial Narrow" w:hAnsi="Arial Narrow" w:cs="Frutiger LT Std 45 Light"/>
              <w:color w:val="000000" w:themeColor="text1"/>
              <w:spacing w:val="2"/>
            </w:rPr>
            <w:instrText xml:space="preserve">CITATION PRO \l 10250 </w:instrText>
          </w:r>
          <w:r w:rsidR="00FF7A11" w:rsidRPr="00EE003F">
            <w:rPr>
              <w:rFonts w:ascii="Arial Narrow" w:hAnsi="Arial Narrow" w:cs="Frutiger LT Std 45 Light"/>
              <w:color w:val="000000" w:themeColor="text1"/>
              <w:spacing w:val="2"/>
              <w:lang w:val="es-ES_tradnl"/>
            </w:rPr>
            <w:fldChar w:fldCharType="separate"/>
          </w:r>
          <w:r w:rsidR="00FF7A11" w:rsidRPr="00EE003F">
            <w:rPr>
              <w:rFonts w:ascii="Arial Narrow" w:hAnsi="Arial Narrow" w:cs="Frutiger LT Std 45 Light"/>
              <w:noProof/>
              <w:color w:val="000000" w:themeColor="text1"/>
              <w:spacing w:val="2"/>
            </w:rPr>
            <w:t>(PROINVERSION, 2016)</w:t>
          </w:r>
          <w:r w:rsidR="00FF7A11" w:rsidRPr="00EE003F">
            <w:rPr>
              <w:rFonts w:ascii="Arial Narrow" w:hAnsi="Arial Narrow" w:cs="Frutiger LT Std 45 Light"/>
              <w:color w:val="000000" w:themeColor="text1"/>
              <w:spacing w:val="2"/>
              <w:lang w:val="es-ES_tradnl"/>
            </w:rPr>
            <w:fldChar w:fldCharType="end"/>
          </w:r>
        </w:sdtContent>
      </w:sdt>
      <w:r w:rsidRPr="00EE003F">
        <w:rPr>
          <w:rFonts w:ascii="Arial Narrow" w:hAnsi="Arial Narrow" w:cs="Frutiger LT Std 45 Light"/>
          <w:color w:val="000000" w:themeColor="text1"/>
          <w:spacing w:val="2"/>
          <w:lang w:val="es-ES_tradnl"/>
        </w:rPr>
        <w:t>.</w:t>
      </w:r>
    </w:p>
    <w:p w:rsidR="00D336B5" w:rsidRPr="00EE003F" w:rsidRDefault="00D336B5" w:rsidP="00681365">
      <w:pPr>
        <w:suppressAutoHyphens/>
        <w:autoSpaceDE w:val="0"/>
        <w:autoSpaceDN w:val="0"/>
        <w:adjustRightInd w:val="0"/>
        <w:spacing w:before="113" w:after="0" w:line="240" w:lineRule="auto"/>
        <w:jc w:val="both"/>
        <w:textAlignment w:val="center"/>
        <w:rPr>
          <w:rFonts w:ascii="Arial Narrow" w:hAnsi="Arial Narrow" w:cs="Frutiger LT Std 45 Light"/>
          <w:color w:val="000000" w:themeColor="text1"/>
          <w:lang w:val="es-ES_tradnl"/>
        </w:rPr>
      </w:pPr>
      <w:r w:rsidRPr="00EE003F">
        <w:rPr>
          <w:rFonts w:ascii="Arial Narrow" w:hAnsi="Arial Narrow" w:cs="Frutiger LT Std 45 Light"/>
          <w:color w:val="000000" w:themeColor="text1"/>
          <w:lang w:val="es-ES_tradnl"/>
        </w:rPr>
        <w:t>Por otro lado, la producción del país todavía se concentra en el departamento de Lima y la provincia constitucional del Callao</w:t>
      </w:r>
      <w:r w:rsidRPr="00EE003F">
        <w:rPr>
          <w:rFonts w:ascii="Arial Narrow" w:hAnsi="Arial Narrow" w:cs="Frutiger LT Std 45 Light"/>
          <w:color w:val="000000" w:themeColor="text1"/>
          <w:vertAlign w:val="superscript"/>
          <w:lang w:val="es-ES_tradnl"/>
        </w:rPr>
        <w:footnoteReference w:id="27"/>
      </w:r>
      <w:r w:rsidRPr="00EE003F">
        <w:rPr>
          <w:rFonts w:ascii="Arial Narrow" w:hAnsi="Arial Narrow" w:cs="Frutiger LT Std 45 Light"/>
          <w:color w:val="000000" w:themeColor="text1"/>
          <w:lang w:val="es-ES_tradnl"/>
        </w:rPr>
        <w:t>, a lo que se suma la existencia de una gran heterogeneidad en la productividad en las diferentes áreas geográficas del país.</w:t>
      </w:r>
    </w:p>
    <w:p w:rsidR="00D336B5" w:rsidRPr="00EE003F" w:rsidRDefault="00D336B5" w:rsidP="00681365">
      <w:pPr>
        <w:suppressAutoHyphens/>
        <w:autoSpaceDE w:val="0"/>
        <w:autoSpaceDN w:val="0"/>
        <w:adjustRightInd w:val="0"/>
        <w:spacing w:before="113" w:after="0" w:line="240" w:lineRule="auto"/>
        <w:jc w:val="both"/>
        <w:textAlignment w:val="center"/>
        <w:rPr>
          <w:rFonts w:ascii="Arial Narrow" w:hAnsi="Arial Narrow" w:cs="Frutiger LT Std 45 Light"/>
          <w:lang w:val="es-ES_tradnl"/>
        </w:rPr>
      </w:pPr>
      <w:r w:rsidRPr="00EE003F">
        <w:rPr>
          <w:rFonts w:ascii="Arial Narrow" w:hAnsi="Arial Narrow" w:cs="Frutiger LT Std 45 Light"/>
          <w:color w:val="000000" w:themeColor="text1"/>
          <w:lang w:val="es-ES_tradnl"/>
        </w:rPr>
        <w:t xml:space="preserve">Los factores antes mencionados contribuyeron al crecimiento del país, pero existen también puntos importantes que deben ser considerados. Las políticas macroeconómicas, las políticas de atracción a las inversiones, así como </w:t>
      </w:r>
      <w:r w:rsidR="00B777F9" w:rsidRPr="00EE003F">
        <w:rPr>
          <w:rFonts w:ascii="Arial Narrow" w:hAnsi="Arial Narrow" w:cs="Frutiger LT Std 45 Light"/>
          <w:color w:val="000000" w:themeColor="text1"/>
          <w:lang w:val="es-ES_tradnl"/>
        </w:rPr>
        <w:t>la política comercial</w:t>
      </w:r>
      <w:r w:rsidRPr="00EE003F">
        <w:rPr>
          <w:rFonts w:ascii="Arial Narrow" w:hAnsi="Arial Narrow" w:cs="Frutiger LT Std 45 Light"/>
          <w:color w:val="000000" w:themeColor="text1"/>
          <w:lang w:val="es-ES_tradnl"/>
        </w:rPr>
        <w:t xml:space="preserve"> han sido necesarias, pero no serán suficientes para que el país siga creciendo. Para ello, el reto será buscar ser más competitivos y ello implica que el país debe ser más productivo. Es a través del incremento de la productividad que se mantiene un crecimiento económico sostenido, el cual genera bienestar en la población y la inclusión social. Esta es una tarea que debe involucrar no solo al sector público, sino también al se</w:t>
      </w:r>
      <w:r w:rsidRPr="00EE003F">
        <w:rPr>
          <w:rFonts w:ascii="Arial Narrow" w:hAnsi="Arial Narrow" w:cs="Frutiger LT Std 45 Light"/>
          <w:lang w:val="es-ES_tradnl"/>
        </w:rPr>
        <w:t>ctor privado, al sector no gubernamental y a toda la sociedad en su conjunto.</w:t>
      </w:r>
    </w:p>
    <w:p w:rsidR="00675BC3" w:rsidRPr="00EE003F" w:rsidRDefault="00675BC3" w:rsidP="00D336B5">
      <w:pPr>
        <w:suppressAutoHyphens/>
        <w:autoSpaceDE w:val="0"/>
        <w:autoSpaceDN w:val="0"/>
        <w:adjustRightInd w:val="0"/>
        <w:spacing w:before="113" w:after="0" w:line="288" w:lineRule="auto"/>
        <w:jc w:val="both"/>
        <w:textAlignment w:val="center"/>
        <w:rPr>
          <w:rFonts w:ascii="Arial Narrow" w:hAnsi="Arial Narrow" w:cs="Frutiger LT Std 45 Light"/>
          <w:lang w:val="es-ES_tradnl"/>
        </w:rPr>
      </w:pPr>
    </w:p>
    <w:tbl>
      <w:tblPr>
        <w:tblStyle w:val="Tablaconcuadrcula"/>
        <w:tblW w:w="0" w:type="auto"/>
        <w:tblInd w:w="283" w:type="dxa"/>
        <w:tblLook w:val="04A0" w:firstRow="1" w:lastRow="0" w:firstColumn="1" w:lastColumn="0" w:noHBand="0" w:noVBand="1"/>
      </w:tblPr>
      <w:tblGrid>
        <w:gridCol w:w="8438"/>
      </w:tblGrid>
      <w:tr w:rsidR="006E3336" w:rsidRPr="00EE003F" w:rsidTr="00DC3F82">
        <w:tc>
          <w:tcPr>
            <w:tcW w:w="8978" w:type="dxa"/>
          </w:tcPr>
          <w:p w:rsidR="00DC3F82" w:rsidRPr="00EE003F" w:rsidRDefault="00DC3F82" w:rsidP="00DC3F82">
            <w:pPr>
              <w:autoSpaceDE w:val="0"/>
              <w:autoSpaceDN w:val="0"/>
              <w:adjustRightInd w:val="0"/>
              <w:spacing w:before="397" w:line="288" w:lineRule="auto"/>
              <w:ind w:left="283"/>
              <w:jc w:val="both"/>
              <w:textAlignment w:val="center"/>
              <w:rPr>
                <w:rFonts w:ascii="Arial Narrow" w:hAnsi="Arial Narrow" w:cs="Frutiger LT Std 45 Light"/>
                <w:b/>
                <w:lang w:val="es-ES_tradnl"/>
              </w:rPr>
            </w:pPr>
            <w:r w:rsidRPr="00EE003F">
              <w:rPr>
                <w:rFonts w:ascii="Arial Narrow" w:hAnsi="Arial Narrow" w:cs="Frutiger LT Std 45 Light"/>
                <w:b/>
                <w:lang w:val="es-ES_tradnl"/>
              </w:rPr>
              <w:t xml:space="preserve">¿Qué pilares están detrás de la competitividad de un país?  </w:t>
            </w:r>
          </w:p>
          <w:p w:rsidR="00DC3F82" w:rsidRPr="00EE003F" w:rsidRDefault="00DC3F82" w:rsidP="00DC3F82">
            <w:pPr>
              <w:suppressAutoHyphens/>
              <w:autoSpaceDE w:val="0"/>
              <w:autoSpaceDN w:val="0"/>
              <w:adjustRightInd w:val="0"/>
              <w:spacing w:before="113" w:line="288" w:lineRule="auto"/>
              <w:ind w:left="283" w:right="283"/>
              <w:jc w:val="both"/>
              <w:textAlignment w:val="center"/>
              <w:rPr>
                <w:rFonts w:ascii="Arial Narrow" w:hAnsi="Arial Narrow" w:cs="Frutiger LT Std 45 Light"/>
                <w:b/>
                <w:lang w:val="es-ES_tradnl"/>
              </w:rPr>
            </w:pPr>
            <w:r w:rsidRPr="00EE003F">
              <w:rPr>
                <w:rFonts w:ascii="Arial Narrow" w:hAnsi="Arial Narrow" w:cs="Frutiger LT Std 45 Light"/>
                <w:b/>
                <w:lang w:val="es-ES_tradnl"/>
              </w:rPr>
              <w:t>De acuerdo a la literatura de crecimiento económico (Sala-i-Martín y Schwab, 2014), la competitividad de un país resulta de la conjunción de 12 pilares que se clasifican en tres grupos: (a) pilares básicos, (b) pilares aumentadores de eficiencia y (c) pilares de innovación y sofisticación.</w:t>
            </w:r>
          </w:p>
          <w:p w:rsidR="00DC3F82" w:rsidRPr="00EE003F" w:rsidRDefault="00DC3F82" w:rsidP="00DC3F82">
            <w:pPr>
              <w:suppressAutoHyphens/>
              <w:autoSpaceDE w:val="0"/>
              <w:autoSpaceDN w:val="0"/>
              <w:adjustRightInd w:val="0"/>
              <w:spacing w:before="227" w:line="288" w:lineRule="auto"/>
              <w:ind w:left="283" w:right="283"/>
              <w:jc w:val="both"/>
              <w:textAlignment w:val="center"/>
              <w:rPr>
                <w:rFonts w:ascii="Arial Narrow" w:hAnsi="Arial Narrow" w:cs="Frutiger LT Std 45 Light"/>
                <w:b/>
                <w:lang w:val="es-ES_tradnl"/>
              </w:rPr>
            </w:pPr>
            <w:r w:rsidRPr="00EE003F">
              <w:rPr>
                <w:rFonts w:ascii="Arial Narrow" w:hAnsi="Arial Narrow" w:cs="Frutiger LT Std 45 Light"/>
                <w:b/>
                <w:lang w:val="es-ES_tradnl"/>
              </w:rPr>
              <w:t xml:space="preserve">Los pilares básicos son: </w:t>
            </w:r>
          </w:p>
          <w:p w:rsidR="00DC3F82" w:rsidRPr="00EE003F" w:rsidRDefault="00DC3F82" w:rsidP="00DC3F82">
            <w:pPr>
              <w:suppressAutoHyphens/>
              <w:autoSpaceDE w:val="0"/>
              <w:autoSpaceDN w:val="0"/>
              <w:adjustRightInd w:val="0"/>
              <w:spacing w:before="113" w:line="288" w:lineRule="auto"/>
              <w:ind w:left="964" w:right="283" w:hanging="680"/>
              <w:textAlignment w:val="center"/>
              <w:rPr>
                <w:rFonts w:ascii="Arial Narrow" w:hAnsi="Arial Narrow" w:cs="Frutiger LT Std 45 Light"/>
                <w:b/>
                <w:lang w:val="es-ES_tradnl"/>
              </w:rPr>
            </w:pPr>
            <w:r w:rsidRPr="00EE003F">
              <w:rPr>
                <w:rFonts w:ascii="Arial Narrow" w:hAnsi="Arial Narrow" w:cs="Frutiger LT Std 45 Light"/>
                <w:b/>
                <w:lang w:val="es-ES_tradnl"/>
              </w:rPr>
              <w:t>Pilar 1: Instituciones (desarrollado en Eje 3: Estado y gobernabilidad).</w:t>
            </w:r>
          </w:p>
          <w:p w:rsidR="00DC3F82" w:rsidRPr="00EE003F" w:rsidRDefault="00DC3F82" w:rsidP="00DC3F82">
            <w:pPr>
              <w:suppressAutoHyphens/>
              <w:autoSpaceDE w:val="0"/>
              <w:autoSpaceDN w:val="0"/>
              <w:adjustRightInd w:val="0"/>
              <w:spacing w:before="113" w:line="288" w:lineRule="auto"/>
              <w:ind w:left="964" w:right="283" w:hanging="680"/>
              <w:textAlignment w:val="center"/>
              <w:rPr>
                <w:rFonts w:ascii="Arial Narrow" w:hAnsi="Arial Narrow" w:cs="Frutiger LT Std 45 Light"/>
                <w:b/>
                <w:lang w:val="es-ES_tradnl"/>
              </w:rPr>
            </w:pPr>
            <w:r w:rsidRPr="00EE003F">
              <w:rPr>
                <w:rFonts w:ascii="Arial Narrow" w:hAnsi="Arial Narrow" w:cs="Frutiger LT Std 45 Light"/>
                <w:b/>
                <w:lang w:val="es-ES_tradnl"/>
              </w:rPr>
              <w:t>Pilar 2: Infraestructura (desarrollado en Eje 5: Desarrollo territorial e infraestructura productiva).</w:t>
            </w:r>
          </w:p>
          <w:p w:rsidR="00DC3F82" w:rsidRPr="00EE003F" w:rsidRDefault="00DC3F82" w:rsidP="00DC3F82">
            <w:pPr>
              <w:suppressAutoHyphens/>
              <w:autoSpaceDE w:val="0"/>
              <w:autoSpaceDN w:val="0"/>
              <w:adjustRightInd w:val="0"/>
              <w:spacing w:before="113" w:line="288" w:lineRule="auto"/>
              <w:ind w:left="964" w:right="283" w:hanging="680"/>
              <w:textAlignment w:val="center"/>
              <w:rPr>
                <w:rFonts w:ascii="Arial Narrow" w:hAnsi="Arial Narrow" w:cs="Frutiger LT Std 45 Light"/>
                <w:b/>
                <w:lang w:val="es-ES_tradnl"/>
              </w:rPr>
            </w:pPr>
            <w:r w:rsidRPr="00EE003F">
              <w:rPr>
                <w:rFonts w:ascii="Arial Narrow" w:hAnsi="Arial Narrow" w:cs="Frutiger LT Std 45 Light"/>
                <w:b/>
                <w:lang w:val="es-ES_tradnl"/>
              </w:rPr>
              <w:t>Pilar 3: Ambiente macroeconómico (desarrollado en Eje 4: Economía diversificada, competitividad y empleo).</w:t>
            </w:r>
          </w:p>
          <w:p w:rsidR="00DC3F82" w:rsidRPr="00EE003F" w:rsidRDefault="00DC3F82" w:rsidP="00DC3F82">
            <w:pPr>
              <w:suppressAutoHyphens/>
              <w:autoSpaceDE w:val="0"/>
              <w:autoSpaceDN w:val="0"/>
              <w:adjustRightInd w:val="0"/>
              <w:spacing w:before="113" w:line="288" w:lineRule="auto"/>
              <w:ind w:left="964" w:right="283" w:hanging="680"/>
              <w:textAlignment w:val="center"/>
              <w:rPr>
                <w:rFonts w:ascii="Arial Narrow" w:hAnsi="Arial Narrow" w:cs="Frutiger LT Std 45 Light"/>
                <w:b/>
                <w:lang w:val="es-ES_tradnl"/>
              </w:rPr>
            </w:pPr>
            <w:r w:rsidRPr="00EE003F">
              <w:rPr>
                <w:rFonts w:ascii="Arial Narrow" w:hAnsi="Arial Narrow" w:cs="Frutiger LT Std 45 Light"/>
                <w:b/>
                <w:lang w:val="es-ES_tradnl"/>
              </w:rPr>
              <w:t>Pilar 4: Salud y educación primaria (desarrollado en Eje 2: Oportunidades y acceso a los servicios).</w:t>
            </w:r>
          </w:p>
          <w:p w:rsidR="00DC3F82" w:rsidRPr="00EE003F" w:rsidRDefault="00DC3F82" w:rsidP="00DC3F82">
            <w:pPr>
              <w:suppressAutoHyphens/>
              <w:autoSpaceDE w:val="0"/>
              <w:autoSpaceDN w:val="0"/>
              <w:adjustRightInd w:val="0"/>
              <w:spacing w:before="227" w:line="288" w:lineRule="auto"/>
              <w:ind w:left="283" w:right="283"/>
              <w:jc w:val="both"/>
              <w:textAlignment w:val="center"/>
              <w:rPr>
                <w:rFonts w:ascii="Arial Narrow" w:hAnsi="Arial Narrow" w:cs="Frutiger LT Std 45 Light"/>
                <w:b/>
                <w:lang w:val="es-ES_tradnl"/>
              </w:rPr>
            </w:pPr>
            <w:r w:rsidRPr="00EE003F">
              <w:rPr>
                <w:rFonts w:ascii="Arial Narrow" w:hAnsi="Arial Narrow" w:cs="Frutiger LT Std 45 Light"/>
                <w:b/>
                <w:lang w:val="es-ES_tradnl"/>
              </w:rPr>
              <w:t>Los pilares aumentadores de eficiencia son:</w:t>
            </w:r>
          </w:p>
          <w:p w:rsidR="00DC3F82" w:rsidRPr="00EE003F" w:rsidRDefault="00DC3F82" w:rsidP="00DC3F82">
            <w:pPr>
              <w:suppressAutoHyphens/>
              <w:autoSpaceDE w:val="0"/>
              <w:autoSpaceDN w:val="0"/>
              <w:adjustRightInd w:val="0"/>
              <w:spacing w:before="113" w:line="288" w:lineRule="auto"/>
              <w:ind w:left="964" w:right="283" w:hanging="680"/>
              <w:textAlignment w:val="center"/>
              <w:rPr>
                <w:rFonts w:ascii="Arial Narrow" w:hAnsi="Arial Narrow" w:cs="Frutiger LT Std 45 Light"/>
                <w:b/>
                <w:lang w:val="es-ES_tradnl"/>
              </w:rPr>
            </w:pPr>
            <w:r w:rsidRPr="00EE003F">
              <w:rPr>
                <w:rFonts w:ascii="Arial Narrow" w:hAnsi="Arial Narrow" w:cs="Frutiger LT Std 45 Light"/>
                <w:b/>
                <w:lang w:val="es-ES_tradnl"/>
              </w:rPr>
              <w:t>Pilar 5: Educación superior y capacitación (desarrollado en Eje 2: Oportunidades y acceso a los servicios).</w:t>
            </w:r>
          </w:p>
          <w:p w:rsidR="00DC3F82" w:rsidRPr="00EE003F" w:rsidRDefault="00DC3F82" w:rsidP="00DC3F82">
            <w:pPr>
              <w:suppressAutoHyphens/>
              <w:autoSpaceDE w:val="0"/>
              <w:autoSpaceDN w:val="0"/>
              <w:adjustRightInd w:val="0"/>
              <w:spacing w:before="113" w:line="288" w:lineRule="auto"/>
              <w:ind w:left="964" w:right="283" w:hanging="680"/>
              <w:textAlignment w:val="center"/>
              <w:rPr>
                <w:rFonts w:ascii="Arial Narrow" w:hAnsi="Arial Narrow" w:cs="Frutiger LT Std 45 Light"/>
                <w:b/>
                <w:lang w:val="es-ES_tradnl"/>
              </w:rPr>
            </w:pPr>
            <w:r w:rsidRPr="00EE003F">
              <w:rPr>
                <w:rFonts w:ascii="Arial Narrow" w:hAnsi="Arial Narrow" w:cs="Frutiger LT Std 45 Light"/>
                <w:b/>
                <w:lang w:val="es-ES_tradnl"/>
              </w:rPr>
              <w:t>Pilar 6: Eficiencia en el mercado de bienes y servicios (desarrollado en Eje 4: Economía diversificada, competitividad y empleo).</w:t>
            </w:r>
          </w:p>
          <w:p w:rsidR="00DC3F82" w:rsidRPr="00EE003F" w:rsidRDefault="00DC3F82" w:rsidP="00DC3F82">
            <w:pPr>
              <w:suppressAutoHyphens/>
              <w:autoSpaceDE w:val="0"/>
              <w:autoSpaceDN w:val="0"/>
              <w:adjustRightInd w:val="0"/>
              <w:spacing w:before="113" w:line="288" w:lineRule="auto"/>
              <w:ind w:left="964" w:right="283" w:hanging="680"/>
              <w:textAlignment w:val="center"/>
              <w:rPr>
                <w:rFonts w:ascii="Arial Narrow" w:hAnsi="Arial Narrow" w:cs="Frutiger LT Std 45 Light"/>
                <w:b/>
                <w:lang w:val="es-ES_tradnl"/>
              </w:rPr>
            </w:pPr>
            <w:r w:rsidRPr="00EE003F">
              <w:rPr>
                <w:rFonts w:ascii="Arial Narrow" w:hAnsi="Arial Narrow" w:cs="Frutiger LT Std 45 Light"/>
                <w:b/>
                <w:lang w:val="es-ES_tradnl"/>
              </w:rPr>
              <w:t>Pilar 7: Eficiencia en el mercado laboral (desarrollado en Eje 4: Economía diversificada, competitividad y empleo).</w:t>
            </w:r>
          </w:p>
          <w:p w:rsidR="00DC3F82" w:rsidRPr="00EE003F" w:rsidRDefault="00DC3F82" w:rsidP="00DC3F82">
            <w:pPr>
              <w:suppressAutoHyphens/>
              <w:autoSpaceDE w:val="0"/>
              <w:autoSpaceDN w:val="0"/>
              <w:adjustRightInd w:val="0"/>
              <w:spacing w:before="113" w:line="288" w:lineRule="auto"/>
              <w:ind w:left="964" w:right="283" w:hanging="680"/>
              <w:textAlignment w:val="center"/>
              <w:rPr>
                <w:rFonts w:ascii="Arial Narrow" w:hAnsi="Arial Narrow" w:cs="Frutiger LT Std 45 Light"/>
                <w:b/>
                <w:lang w:val="es-ES_tradnl"/>
              </w:rPr>
            </w:pPr>
            <w:r w:rsidRPr="00EE003F">
              <w:rPr>
                <w:rFonts w:ascii="Arial Narrow" w:hAnsi="Arial Narrow" w:cs="Frutiger LT Std 45 Light"/>
                <w:b/>
                <w:lang w:val="es-ES_tradnl"/>
              </w:rPr>
              <w:t>Pilar 8: Desarrollo de mercados financieros (desarrollado en Eje 4: Economía diversificada, competitividad y empleo).</w:t>
            </w:r>
          </w:p>
          <w:p w:rsidR="00DC3F82" w:rsidRPr="00EE003F" w:rsidRDefault="00DC3F82" w:rsidP="00DC3F82">
            <w:pPr>
              <w:suppressAutoHyphens/>
              <w:autoSpaceDE w:val="0"/>
              <w:autoSpaceDN w:val="0"/>
              <w:adjustRightInd w:val="0"/>
              <w:spacing w:before="170" w:line="288" w:lineRule="auto"/>
              <w:ind w:left="964" w:right="283" w:hanging="680"/>
              <w:textAlignment w:val="center"/>
              <w:rPr>
                <w:rFonts w:ascii="Arial Narrow" w:hAnsi="Arial Narrow" w:cs="Frutiger LT Std 45 Light"/>
                <w:b/>
                <w:lang w:val="es-ES_tradnl"/>
              </w:rPr>
            </w:pPr>
            <w:r w:rsidRPr="00EE003F">
              <w:rPr>
                <w:rFonts w:ascii="Arial Narrow" w:hAnsi="Arial Narrow" w:cs="Frutiger LT Std 45 Light"/>
                <w:b/>
                <w:lang w:val="es-ES_tradnl"/>
              </w:rPr>
              <w:t>Pilar 9: Acceso a la tecnología (desarrollado en Eje 4: Economía diversificada, competitividad y empleo, y Eje 5: Desarrollo territorial e infraestructura productiva).</w:t>
            </w:r>
          </w:p>
          <w:p w:rsidR="00DC3F82" w:rsidRPr="00EE003F" w:rsidRDefault="00DC3F82" w:rsidP="00DC3F82">
            <w:pPr>
              <w:autoSpaceDE w:val="0"/>
              <w:autoSpaceDN w:val="0"/>
              <w:adjustRightInd w:val="0"/>
              <w:spacing w:before="113" w:line="288" w:lineRule="auto"/>
              <w:ind w:left="1077" w:right="283" w:hanging="794"/>
              <w:textAlignment w:val="center"/>
              <w:rPr>
                <w:rFonts w:ascii="Arial Narrow" w:hAnsi="Arial Narrow" w:cs="Frutiger LT Std 45 Light"/>
                <w:b/>
                <w:lang w:val="es-ES_tradnl"/>
              </w:rPr>
            </w:pPr>
            <w:r w:rsidRPr="00EE003F">
              <w:rPr>
                <w:rFonts w:ascii="Arial Narrow" w:hAnsi="Arial Narrow" w:cs="Frutiger LT Std 45 Light"/>
                <w:b/>
                <w:lang w:val="es-ES_tradnl"/>
              </w:rPr>
              <w:t>Pilar 10: Tamaño del mercado (desarrollado en Eje 4: Economía diversificada, competitividad y empleo, y Eje 5: Desarrollo territorial e infraestructura productiva).</w:t>
            </w:r>
          </w:p>
          <w:p w:rsidR="00DC3F82" w:rsidRPr="00EE003F" w:rsidRDefault="00DC3F82" w:rsidP="00DC3F82">
            <w:pPr>
              <w:autoSpaceDE w:val="0"/>
              <w:autoSpaceDN w:val="0"/>
              <w:adjustRightInd w:val="0"/>
              <w:spacing w:before="227" w:line="288" w:lineRule="auto"/>
              <w:ind w:left="283" w:right="283"/>
              <w:textAlignment w:val="center"/>
              <w:rPr>
                <w:rFonts w:ascii="Arial Narrow" w:hAnsi="Arial Narrow" w:cs="Frutiger LT Std 45 Light"/>
                <w:b/>
                <w:lang w:val="es-ES_tradnl"/>
              </w:rPr>
            </w:pPr>
            <w:r w:rsidRPr="00EE003F">
              <w:rPr>
                <w:rFonts w:ascii="Arial Narrow" w:hAnsi="Arial Narrow" w:cs="Frutiger LT Std 45 Light"/>
                <w:b/>
                <w:lang w:val="es-ES_tradnl"/>
              </w:rPr>
              <w:t>Los pilares de sofisticación e innovación son:</w:t>
            </w:r>
          </w:p>
          <w:p w:rsidR="00DC3F82" w:rsidRPr="00EE003F" w:rsidRDefault="00DC3F82" w:rsidP="00DC3F82">
            <w:pPr>
              <w:autoSpaceDE w:val="0"/>
              <w:autoSpaceDN w:val="0"/>
              <w:adjustRightInd w:val="0"/>
              <w:spacing w:before="113" w:line="288" w:lineRule="auto"/>
              <w:ind w:left="1077" w:right="283" w:hanging="794"/>
              <w:textAlignment w:val="center"/>
              <w:rPr>
                <w:rFonts w:ascii="Arial Narrow" w:hAnsi="Arial Narrow" w:cs="Frutiger LT Std 45 Light"/>
                <w:b/>
                <w:lang w:val="es-ES_tradnl"/>
              </w:rPr>
            </w:pPr>
            <w:r w:rsidRPr="00EE003F">
              <w:rPr>
                <w:rFonts w:ascii="Arial Narrow" w:hAnsi="Arial Narrow" w:cs="Frutiger LT Std 45 Light"/>
                <w:b/>
                <w:lang w:val="es-ES_tradnl"/>
              </w:rPr>
              <w:t>Pilar 11: Sofisticación productiva (desarrollado en Eje 4: Economía diversificada, competitividad y empleo).</w:t>
            </w:r>
          </w:p>
          <w:p w:rsidR="00DC3F82" w:rsidRPr="00EE003F" w:rsidRDefault="00DC3F82" w:rsidP="00DC3F82">
            <w:pPr>
              <w:autoSpaceDE w:val="0"/>
              <w:autoSpaceDN w:val="0"/>
              <w:adjustRightInd w:val="0"/>
              <w:spacing w:before="113" w:line="288" w:lineRule="auto"/>
              <w:ind w:left="1077" w:right="283" w:hanging="794"/>
              <w:textAlignment w:val="center"/>
              <w:rPr>
                <w:rFonts w:ascii="Arial Narrow" w:hAnsi="Arial Narrow" w:cs="Frutiger LT Std 45 Light"/>
                <w:b/>
                <w:lang w:val="es-ES_tradnl"/>
              </w:rPr>
            </w:pPr>
            <w:r w:rsidRPr="00EE003F">
              <w:rPr>
                <w:rFonts w:ascii="Arial Narrow" w:hAnsi="Arial Narrow" w:cs="Frutiger LT Std 45 Light"/>
                <w:b/>
                <w:lang w:val="es-ES_tradnl"/>
              </w:rPr>
              <w:t>Pilar 12: Innovación (desarrollado en Eje 4: Economía diversificada, competitividad y empleo).</w:t>
            </w:r>
          </w:p>
        </w:tc>
      </w:tr>
    </w:tbl>
    <w:p w:rsidR="00D336B5" w:rsidRPr="00EE003F" w:rsidRDefault="00D336B5" w:rsidP="00D336B5">
      <w:pPr>
        <w:autoSpaceDE w:val="0"/>
        <w:autoSpaceDN w:val="0"/>
        <w:adjustRightInd w:val="0"/>
        <w:spacing w:before="113" w:after="0" w:line="288" w:lineRule="auto"/>
        <w:ind w:left="1077" w:right="283" w:hanging="794"/>
        <w:textAlignment w:val="center"/>
        <w:rPr>
          <w:rFonts w:ascii="Arial Narrow" w:hAnsi="Arial Narrow" w:cs="Frutiger LT Std 45 Light"/>
          <w:b/>
          <w:lang w:val="es-ES_tradnl"/>
        </w:rPr>
      </w:pPr>
    </w:p>
    <w:p w:rsidR="00D336B5" w:rsidRPr="00EE003F" w:rsidRDefault="00D336B5" w:rsidP="00681365">
      <w:pPr>
        <w:autoSpaceDE w:val="0"/>
        <w:autoSpaceDN w:val="0"/>
        <w:adjustRightInd w:val="0"/>
        <w:spacing w:before="113" w:after="0" w:line="240" w:lineRule="auto"/>
        <w:ind w:left="360"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Para establecer objetivos dentro de las políticas públicas se utilizan dos definiciones necesarias para el desarrollo: el desarrollo humano bajo el enfoque de capacidades (Sen, 1997) y el crecimiento verde. El concepto de desarrollo humano establece un enfoque de capacidades, donde se debe brindar a las personas la calidad de vida que valoran. Por otro lado, el concepto de crecimiento verde implica la sostenibilidad de los recursos naturales a lo largo del tiempo, debido a que el desempeño económico puede verse afectado por la explotación excesiva de los recursos y la contaminación.</w:t>
      </w:r>
    </w:p>
    <w:p w:rsidR="00D336B5" w:rsidRPr="00EE003F" w:rsidRDefault="00B31F90" w:rsidP="00681365">
      <w:pPr>
        <w:autoSpaceDE w:val="0"/>
        <w:autoSpaceDN w:val="0"/>
        <w:adjustRightInd w:val="0"/>
        <w:spacing w:before="113" w:after="0" w:line="240" w:lineRule="auto"/>
        <w:ind w:left="360"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Para acelerar el crecimiento económico en el largo plazo, se requiere una combinación de acumulación de conocimiento con diversificación productiva y exportadora, para esto es necesario establecer un proceso de mejoras educativas, a la par de un proceso de cambio de la matriz productiva, lo que a su vez hará posible que el Perú sea capaz de producir una mayor cantidad de bienes de alta calidad que cumplan con los estándares de la demanda mundial. Para ello se utiliza el concepto de complejidad económica (Hausman e Hidalgo, 2011), el cual sirve para analizar los conocimientos y capacidades productivas acumuladas que generan la producción de bienes con un alto grado de sofisticación. En ese sentido, el Plan Nacional de Diversificación Productiva (PNDP) y el Plan Estratégico Nacional Exportador (PENX 2025) contribuirán a aumentar el empleo formal y de calidad, reduciendo las diferencias en productividad y competitividad exportadora que existen entre las diferentes áreas geográficas y regiones del país, así como las que existen entre las empresas grandes con respecto a las micro, pequeñas y medianas empresas.</w:t>
      </w:r>
    </w:p>
    <w:p w:rsidR="00D336B5" w:rsidRPr="00EE003F" w:rsidRDefault="00D336B5" w:rsidP="00681365">
      <w:pPr>
        <w:autoSpaceDE w:val="0"/>
        <w:autoSpaceDN w:val="0"/>
        <w:adjustRightInd w:val="0"/>
        <w:spacing w:before="113" w:after="0" w:line="240" w:lineRule="auto"/>
        <w:ind w:left="360"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La acumulación del capital humano es el motor del crecimiento (Barro 1989). Ésta acumulación dependerá, no sólo de los años de escolaridad de la mano de obra, sino también de la calidad de las capacidades cognitivas y no cognitivas adquiridas en sus procesos de formación (Heckman y Carbeurim 2003). La formación de capital humano es un proceso dinámico que permite generar sinergias y eleva la eficiencia de la mano de obra (Lucas 1989, Heckma, 1999). En la era del conocimiento, el reto de dotar de un empleo digno a las peruanas y peruanos que ingresen a la fuerza laboral en los años venideros debe buscar una articulación de esfuerzos del mercado laboral con el mercado educativo, de modo que las competencias de la fuerza laboral estén basadas en el conocimiento (el que genera empleos de alta productividad), así como en la innovación en las habilidades duras y blandas, y en una constante aptitud para seguir aprendiendo.</w:t>
      </w:r>
    </w:p>
    <w:p w:rsidR="00D336B5" w:rsidRPr="00EE003F" w:rsidRDefault="00D336B5" w:rsidP="00681365">
      <w:pPr>
        <w:autoSpaceDE w:val="0"/>
        <w:autoSpaceDN w:val="0"/>
        <w:adjustRightInd w:val="0"/>
        <w:spacing w:before="113" w:after="0" w:line="240" w:lineRule="auto"/>
        <w:ind w:left="360"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El desarrollo tecnológico es crucial para el crecimiento en el largo plazo (Barro 1989). Por ello es necesario potenciar los niveles de inversión en investigación y desarrollo (I+D) (Romer 1986, Grossman y Helpman 1993) así como promover la transferencia y aprendizaje continuo.</w:t>
      </w:r>
    </w:p>
    <w:p w:rsidR="00D336B5" w:rsidRPr="00EE003F" w:rsidRDefault="00D336B5" w:rsidP="00681365">
      <w:pPr>
        <w:autoSpaceDE w:val="0"/>
        <w:autoSpaceDN w:val="0"/>
        <w:adjustRightInd w:val="0"/>
        <w:spacing w:before="113" w:after="0" w:line="240" w:lineRule="auto"/>
        <w:ind w:left="360"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En los últimos años, muchas investigaciones encuentran una alta dependencia entre desarrollo tecnológico y capital humano e inversión. En consecuencia, es necesario desarrollar una economía basada en conocimientos para así convertirnos progresivamente en un país que sea más atractivo a las inversiones, según su dotación de clase creativa (Florida 2014). Este concepto abarca no sólo el tema de capacidades de innovación, creatividad y emprendimiento sino que hace hincapié en el tipo de ocupaciones que deberían prevalecer. El capital humano es un factor relevante en la medida en que posea la capacidad de absorción tecnológica que permita la creación e innovación.</w:t>
      </w:r>
    </w:p>
    <w:p w:rsidR="00D336B5" w:rsidRPr="00EE003F" w:rsidRDefault="00D336B5" w:rsidP="00681365">
      <w:pPr>
        <w:autoSpaceDE w:val="0"/>
        <w:autoSpaceDN w:val="0"/>
        <w:adjustRightInd w:val="0"/>
        <w:spacing w:before="113" w:after="0" w:line="240" w:lineRule="auto"/>
        <w:ind w:left="360"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Según lo expuesto, se propone como objetivo “desarrollar una economía diversificada y sofisticada con crecimiento sostenible, en una estructura descentralizada, generadora de empleo digno”. Para hacer seguimiento a este objetivo se utiliza el PBI per cápita (PPP US$20</w:t>
      </w:r>
      <w:r w:rsidR="00BD6F53" w:rsidRPr="00EE003F">
        <w:rPr>
          <w:rFonts w:ascii="Arial Narrow" w:hAnsi="Arial Narrow" w:cs="Frutiger LT Std 45 Light"/>
          <w:lang w:val="es-ES_tradnl"/>
        </w:rPr>
        <w:t>11</w:t>
      </w:r>
      <w:r w:rsidRPr="00EE003F">
        <w:rPr>
          <w:rFonts w:ascii="Arial Narrow" w:hAnsi="Arial Narrow" w:cs="Frutiger LT Std 45 Light"/>
          <w:lang w:val="es-ES_tradnl"/>
        </w:rPr>
        <w:t>) como indicador proxy, que captura el desempeño económico a nivel agregado.</w:t>
      </w:r>
    </w:p>
    <w:p w:rsidR="00D336B5" w:rsidRPr="00EE003F" w:rsidRDefault="00D336B5" w:rsidP="00681365">
      <w:pPr>
        <w:autoSpaceDE w:val="0"/>
        <w:autoSpaceDN w:val="0"/>
        <w:adjustRightInd w:val="0"/>
        <w:spacing w:before="113" w:after="0" w:line="240" w:lineRule="auto"/>
        <w:ind w:left="360"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El reto planteado en el eje “Economía diversificada, competitividad y empleo” (Eje 4) propone que hacia el 2021 el Perú logre: i) tener una estructura productiva diversificada</w:t>
      </w:r>
      <w:r w:rsidR="001963C1" w:rsidRPr="00EE003F">
        <w:rPr>
          <w:rFonts w:ascii="Arial Narrow" w:hAnsi="Arial Narrow" w:cs="Frutiger LT Std 45 Light"/>
          <w:lang w:val="es-ES_tradnl"/>
        </w:rPr>
        <w:t>, sostenible</w:t>
      </w:r>
      <w:r w:rsidRPr="00EE003F">
        <w:rPr>
          <w:rFonts w:ascii="Arial Narrow" w:hAnsi="Arial Narrow" w:cs="Frutiger LT Std 45 Light"/>
          <w:lang w:val="es-ES_tradnl"/>
        </w:rPr>
        <w:t xml:space="preserve"> y pro-exportadora que participe en cadenas de valor global; ii) fortalecer competencias técnicas y de gestión que incrementen la competitividad del capital humano en los ámbitos público y privado; iii) generar incentivos y condiciones laborales que incrementen el acceso a un empleo formal; iv) mantener la estabilidad macroeconómica que permita el crecimiento económico sostenido; v) desarrollar los mercados financieros promoviendo la inclusión financiera; mejorar el ambiente de negocios</w:t>
      </w:r>
      <w:r w:rsidR="0060149C" w:rsidRPr="00EE003F">
        <w:rPr>
          <w:rFonts w:ascii="Arial Narrow" w:hAnsi="Arial Narrow" w:cs="Frutiger LT Std 45 Light"/>
          <w:lang w:val="es-ES_tradnl"/>
        </w:rPr>
        <w:t xml:space="preserve">, </w:t>
      </w:r>
      <w:r w:rsidRPr="00EE003F">
        <w:rPr>
          <w:rFonts w:ascii="Arial Narrow" w:hAnsi="Arial Narrow" w:cs="Frutiger LT Std 45 Light"/>
          <w:lang w:val="es-ES_tradnl"/>
        </w:rPr>
        <w:t xml:space="preserve"> desarrollo productivo</w:t>
      </w:r>
      <w:r w:rsidR="0060149C" w:rsidRPr="00EE003F">
        <w:rPr>
          <w:rFonts w:ascii="Arial Narrow" w:hAnsi="Arial Narrow" w:cs="Frutiger LT Std 45 Light"/>
          <w:lang w:val="es-ES_tradnl"/>
        </w:rPr>
        <w:t xml:space="preserve"> y competitividad exportadora</w:t>
      </w:r>
      <w:r w:rsidRPr="00EE003F">
        <w:rPr>
          <w:rFonts w:ascii="Arial Narrow" w:hAnsi="Arial Narrow" w:cs="Frutiger LT Std 45 Light"/>
          <w:lang w:val="es-ES_tradnl"/>
        </w:rPr>
        <w:t>; y finalmente vi) desarrollar un sistema de innovación que potencie la estructura económica hacia actividades intensivas en ciencia y tecnología</w:t>
      </w:r>
      <w:r w:rsidR="0060149C" w:rsidRPr="00EE003F">
        <w:rPr>
          <w:rFonts w:ascii="Arial Narrow" w:hAnsi="Arial Narrow" w:cs="Frutiger LT Std 45 Light"/>
          <w:lang w:val="es-ES_tradnl"/>
        </w:rPr>
        <w:t xml:space="preserve"> y que aproveche de manera sostenible la biodiversidad</w:t>
      </w:r>
      <w:r w:rsidRPr="00EE003F">
        <w:rPr>
          <w:rFonts w:ascii="Arial Narrow" w:hAnsi="Arial Narrow" w:cs="Frutiger LT Std 45 Light"/>
          <w:lang w:val="es-ES_tradnl"/>
        </w:rPr>
        <w:t>.</w:t>
      </w:r>
    </w:p>
    <w:p w:rsidR="00D336B5" w:rsidRPr="00EE003F" w:rsidRDefault="00D336B5" w:rsidP="00681365">
      <w:pPr>
        <w:autoSpaceDE w:val="0"/>
        <w:autoSpaceDN w:val="0"/>
        <w:adjustRightInd w:val="0"/>
        <w:spacing w:before="113" w:after="0" w:line="240" w:lineRule="auto"/>
        <w:ind w:left="360"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Para medir el avance de las múltiples dimensiones del reto planteado se detallan los objetivos específicos y sus respectivos indicadores de seguimiento:</w:t>
      </w:r>
    </w:p>
    <w:p w:rsidR="005B4BF8" w:rsidRPr="00EE003F" w:rsidRDefault="00D336B5" w:rsidP="00681365">
      <w:pPr>
        <w:pStyle w:val="Prrafodelista"/>
        <w:numPr>
          <w:ilvl w:val="0"/>
          <w:numId w:val="8"/>
        </w:numPr>
        <w:autoSpaceDE w:val="0"/>
        <w:autoSpaceDN w:val="0"/>
        <w:adjustRightInd w:val="0"/>
        <w:spacing w:before="113" w:after="0" w:line="240" w:lineRule="auto"/>
        <w:ind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Tener una estructura productiva diversificada y pro-exportadora que participe en las cadenas de valor global. Para medir este objetivo se utiliza el Índice de Complejidad Económica</w:t>
      </w:r>
      <w:r w:rsidR="003A614B" w:rsidRPr="00EE003F">
        <w:rPr>
          <w:rFonts w:ascii="Arial Narrow" w:hAnsi="Arial Narrow" w:cs="Frutiger LT Std 45 Light"/>
          <w:lang w:val="es-ES_tradnl"/>
        </w:rPr>
        <w:t xml:space="preserve"> (ICE)</w:t>
      </w:r>
      <w:r w:rsidR="003A614B" w:rsidRPr="00EE003F">
        <w:rPr>
          <w:rStyle w:val="Refdenotaalpie"/>
          <w:rFonts w:ascii="Arial Narrow" w:hAnsi="Arial Narrow" w:cs="Frutiger LT Std 45 Light"/>
          <w:lang w:val="es-ES_tradnl"/>
        </w:rPr>
        <w:footnoteReference w:id="28"/>
      </w:r>
      <w:r w:rsidRPr="00EE003F">
        <w:rPr>
          <w:rFonts w:ascii="Arial Narrow" w:hAnsi="Arial Narrow" w:cs="Frutiger LT Std 45 Light"/>
          <w:lang w:val="es-ES_tradnl"/>
        </w:rPr>
        <w:t xml:space="preserve">, el cual mide el grado de diversificación de la economía así como su grado de ubicuidad. El nivel más alto del indicador indica que la estructura productiva es más compleja, es decir, muestra la amplia diversidad de productos que un país produce y exporta. </w:t>
      </w:r>
    </w:p>
    <w:p w:rsidR="005B4BF8" w:rsidRPr="00EE003F" w:rsidRDefault="005B4BF8" w:rsidP="005B4BF8">
      <w:pPr>
        <w:pStyle w:val="Prrafodelista"/>
        <w:autoSpaceDE w:val="0"/>
        <w:autoSpaceDN w:val="0"/>
        <w:adjustRightInd w:val="0"/>
        <w:spacing w:before="113" w:after="0" w:line="240" w:lineRule="auto"/>
        <w:ind w:right="284"/>
        <w:jc w:val="both"/>
        <w:textAlignment w:val="center"/>
        <w:rPr>
          <w:rFonts w:ascii="Arial Narrow" w:hAnsi="Arial Narrow" w:cs="Frutiger LT Std 45 Light"/>
          <w:lang w:val="es-ES_tradnl"/>
        </w:rPr>
      </w:pPr>
    </w:p>
    <w:p w:rsidR="00D336B5" w:rsidRPr="00EE003F" w:rsidRDefault="003A614B" w:rsidP="005B4BF8">
      <w:pPr>
        <w:pStyle w:val="Prrafodelista"/>
        <w:autoSpaceDE w:val="0"/>
        <w:autoSpaceDN w:val="0"/>
        <w:adjustRightInd w:val="0"/>
        <w:spacing w:before="113" w:after="0" w:line="240" w:lineRule="auto"/>
        <w:ind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 xml:space="preserve">El alto crecimiento económico entre el 2009 -2012 estuvo acompañado de una mejora en el ICE. Esto coincidió con la entrada en vigencia de los acuerdos comerciales, lo que hizo posible el aprovechamiento de las ventajas comparativas y la ampliación del tamaño de los mercados (economías de escala). El </w:t>
      </w:r>
      <w:r w:rsidR="005B1B3E" w:rsidRPr="00EE003F">
        <w:rPr>
          <w:rFonts w:ascii="Arial Narrow" w:hAnsi="Arial Narrow" w:cs="Frutiger LT Std 45 Light"/>
          <w:lang w:val="es-ES_tradnl"/>
        </w:rPr>
        <w:t>PNDP</w:t>
      </w:r>
      <w:r w:rsidRPr="00EE003F">
        <w:rPr>
          <w:rFonts w:ascii="Arial Narrow" w:hAnsi="Arial Narrow" w:cs="Frutiger LT Std 45 Light"/>
          <w:lang w:val="es-ES_tradnl"/>
        </w:rPr>
        <w:t xml:space="preserve"> y el </w:t>
      </w:r>
      <w:r w:rsidR="005B1B3E" w:rsidRPr="00EE003F">
        <w:rPr>
          <w:rFonts w:ascii="Arial Narrow" w:hAnsi="Arial Narrow" w:cs="Frutiger LT Std 45 Light"/>
          <w:lang w:val="es-ES_tradnl"/>
        </w:rPr>
        <w:t xml:space="preserve">PENX 2025 </w:t>
      </w:r>
      <w:r w:rsidRPr="00EE003F">
        <w:rPr>
          <w:rFonts w:ascii="Arial Narrow" w:hAnsi="Arial Narrow" w:cs="Frutiger LT Std 45 Light"/>
          <w:lang w:val="es-ES_tradnl"/>
        </w:rPr>
        <w:t>contribuirán al cumplimiento de las metas trazadas para el 2016 y el 2021.</w:t>
      </w:r>
      <w:r w:rsidR="00D336B5" w:rsidRPr="00EE003F">
        <w:rPr>
          <w:rFonts w:ascii="Arial Narrow" w:hAnsi="Arial Narrow" w:cs="Frutiger LT Std 45 Light"/>
          <w:lang w:val="es-ES_tradnl"/>
        </w:rPr>
        <w:t xml:space="preserve"> </w:t>
      </w:r>
      <w:r w:rsidR="00FB2D68" w:rsidRPr="00EE003F">
        <w:rPr>
          <w:rFonts w:ascii="Arial Narrow" w:hAnsi="Arial Narrow" w:cs="Frutiger LT Std 45 Light"/>
          <w:lang w:val="es-ES_tradnl"/>
        </w:rPr>
        <w:t>Asimismo, este objetivo considera como segundo indicador las exportaciones no tradicionales.</w:t>
      </w:r>
      <w:r w:rsidR="00FB2D68" w:rsidRPr="00EE003F">
        <w:t xml:space="preserve"> </w:t>
      </w:r>
      <w:r w:rsidR="00631D50" w:rsidRPr="00EE003F">
        <w:rPr>
          <w:rFonts w:ascii="Arial Narrow" w:hAnsi="Arial Narrow" w:cs="Frutiger LT Std 45 Light"/>
          <w:lang w:val="es-ES_tradnl"/>
        </w:rPr>
        <w:t xml:space="preserve">Para los países en desarrollo, se define a las exportaciones no tradicionales como aquellos bienes que han sufrido cierto grado de transformación dentro de su proceso productivo y que históricamente no se transaban con el exterior en montos significativos. La implementación del </w:t>
      </w:r>
      <w:r w:rsidR="00FB2D68" w:rsidRPr="00EE003F">
        <w:rPr>
          <w:rFonts w:ascii="Arial Narrow" w:hAnsi="Arial Narrow" w:cs="Frutiger LT Std 45 Light"/>
          <w:lang w:val="es-ES_tradnl"/>
        </w:rPr>
        <w:t>PNDP</w:t>
      </w:r>
      <w:r w:rsidR="00631D50" w:rsidRPr="00EE003F">
        <w:rPr>
          <w:rFonts w:ascii="Arial Narrow" w:hAnsi="Arial Narrow" w:cs="Frutiger LT Std 45 Light"/>
          <w:lang w:val="es-ES_tradnl"/>
        </w:rPr>
        <w:t xml:space="preserve">, el </w:t>
      </w:r>
      <w:r w:rsidR="00FB2D68" w:rsidRPr="00EE003F">
        <w:rPr>
          <w:rFonts w:ascii="Arial Narrow" w:hAnsi="Arial Narrow" w:cs="Frutiger LT Std 45 Light"/>
          <w:lang w:val="es-ES_tradnl"/>
        </w:rPr>
        <w:t>PENX 2025</w:t>
      </w:r>
      <w:r w:rsidR="00631D50" w:rsidRPr="00EE003F">
        <w:rPr>
          <w:rFonts w:ascii="Arial Narrow" w:hAnsi="Arial Narrow" w:cs="Frutiger LT Std 45 Light"/>
          <w:lang w:val="es-ES_tradnl"/>
        </w:rPr>
        <w:t>, conjuntamente con la Agenda Nacional de Competitividad, fomentará</w:t>
      </w:r>
      <w:r w:rsidR="00FB2D68" w:rsidRPr="00EE003F">
        <w:rPr>
          <w:rFonts w:ascii="Arial Narrow" w:hAnsi="Arial Narrow" w:cs="Frutiger LT Std 45 Light"/>
          <w:lang w:val="es-ES_tradnl"/>
        </w:rPr>
        <w:t>n</w:t>
      </w:r>
      <w:r w:rsidR="00631D50" w:rsidRPr="00EE003F">
        <w:rPr>
          <w:rFonts w:ascii="Arial Narrow" w:hAnsi="Arial Narrow" w:cs="Frutiger LT Std 45 Light"/>
          <w:lang w:val="es-ES_tradnl"/>
        </w:rPr>
        <w:t xml:space="preserve"> la exportación de productos no tradicionales. De esta forma, se podrán alcanzar las metas establecidas para el 2016 y el 2021.</w:t>
      </w:r>
    </w:p>
    <w:p w:rsidR="005B4BF8" w:rsidRPr="00EE003F" w:rsidRDefault="005B4BF8" w:rsidP="005B4BF8">
      <w:pPr>
        <w:pStyle w:val="Prrafodelista"/>
        <w:autoSpaceDE w:val="0"/>
        <w:autoSpaceDN w:val="0"/>
        <w:adjustRightInd w:val="0"/>
        <w:spacing w:before="113" w:after="0" w:line="240" w:lineRule="auto"/>
        <w:ind w:right="284"/>
        <w:jc w:val="both"/>
        <w:textAlignment w:val="center"/>
        <w:rPr>
          <w:rFonts w:ascii="Arial Narrow" w:hAnsi="Arial Narrow" w:cs="Frutiger LT Std 45 Light"/>
          <w:lang w:val="es-ES_tradnl"/>
        </w:rPr>
      </w:pPr>
    </w:p>
    <w:p w:rsidR="00D336B5" w:rsidRPr="00EE003F" w:rsidRDefault="00D336B5" w:rsidP="00681365">
      <w:pPr>
        <w:pStyle w:val="Prrafodelista"/>
        <w:numPr>
          <w:ilvl w:val="0"/>
          <w:numId w:val="8"/>
        </w:numPr>
        <w:autoSpaceDE w:val="0"/>
        <w:autoSpaceDN w:val="0"/>
        <w:adjustRightInd w:val="0"/>
        <w:spacing w:before="113" w:after="0" w:line="240" w:lineRule="auto"/>
        <w:ind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Fortalecer competencias técnicas y de gestión que incrementen la competitividad del capital humano en los ámbitos público y privado (OE2). Generalmente, un nivel mayor de PBI per cápita está correlacionado a mayores niveles de educación, y, como consecuencia, a una economía más competitiva. En esta medida, utilizamos del índice de competitividad global el indicador de Educación superior y capacitación del Índice de Competitividad Global, pues este es, la mejor opción de un indicador internacionalmente comparable que servirá para el seguimiento en el avance del Plan a este respecto.</w:t>
      </w:r>
    </w:p>
    <w:p w:rsidR="005B4BF8" w:rsidRPr="00EE003F" w:rsidRDefault="005B4BF8" w:rsidP="005B4BF8">
      <w:pPr>
        <w:pStyle w:val="Prrafodelista"/>
        <w:autoSpaceDE w:val="0"/>
        <w:autoSpaceDN w:val="0"/>
        <w:adjustRightInd w:val="0"/>
        <w:spacing w:before="113" w:after="0" w:line="240" w:lineRule="auto"/>
        <w:ind w:right="284"/>
        <w:jc w:val="both"/>
        <w:textAlignment w:val="center"/>
        <w:rPr>
          <w:rFonts w:ascii="Arial Narrow" w:hAnsi="Arial Narrow" w:cs="Frutiger LT Std 45 Light"/>
          <w:lang w:val="es-ES_tradnl"/>
        </w:rPr>
      </w:pPr>
    </w:p>
    <w:p w:rsidR="00D336B5" w:rsidRPr="00EE003F" w:rsidRDefault="00D336B5" w:rsidP="00681365">
      <w:pPr>
        <w:pStyle w:val="Prrafodelista"/>
        <w:numPr>
          <w:ilvl w:val="0"/>
          <w:numId w:val="8"/>
        </w:numPr>
        <w:autoSpaceDE w:val="0"/>
        <w:autoSpaceDN w:val="0"/>
        <w:adjustRightInd w:val="0"/>
        <w:spacing w:before="113" w:after="0" w:line="240" w:lineRule="auto"/>
        <w:ind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Generar incentivos y condiciones laborales que incrementen el acceso a un empleo formal. En este objetivo se utiliza el indicador de informalidad del empleo de acuerdo a la definición de la OIT, medido por el porcentaje de la población que trabaja en informalidad, específicamente en actividades no agrícolas.</w:t>
      </w:r>
    </w:p>
    <w:p w:rsidR="005B4BF8" w:rsidRPr="00EE003F" w:rsidRDefault="005B4BF8" w:rsidP="005B4BF8">
      <w:pPr>
        <w:pStyle w:val="Prrafodelista"/>
        <w:rPr>
          <w:rFonts w:ascii="Arial Narrow" w:hAnsi="Arial Narrow" w:cs="Frutiger LT Std 45 Light"/>
          <w:lang w:val="es-ES_tradnl"/>
        </w:rPr>
      </w:pPr>
    </w:p>
    <w:p w:rsidR="00FA10BB" w:rsidRPr="00EE003F" w:rsidRDefault="00D336B5" w:rsidP="00681365">
      <w:pPr>
        <w:pStyle w:val="Prrafodelista"/>
        <w:numPr>
          <w:ilvl w:val="0"/>
          <w:numId w:val="8"/>
        </w:numPr>
        <w:autoSpaceDE w:val="0"/>
        <w:autoSpaceDN w:val="0"/>
        <w:adjustRightInd w:val="0"/>
        <w:spacing w:before="113" w:after="0" w:line="240" w:lineRule="auto"/>
        <w:ind w:right="284"/>
        <w:jc w:val="both"/>
        <w:textAlignment w:val="center"/>
        <w:rPr>
          <w:rFonts w:ascii="Arial Narrow" w:hAnsi="Arial Narrow" w:cs="Frutiger LT Std 45 Light"/>
          <w:color w:val="293941"/>
          <w:lang w:val="es-ES_tradnl"/>
        </w:rPr>
      </w:pPr>
      <w:r w:rsidRPr="00EE003F">
        <w:rPr>
          <w:rFonts w:ascii="Arial Narrow" w:hAnsi="Arial Narrow" w:cs="Frutiger LT Std 45 Light"/>
          <w:lang w:val="es-ES_tradnl"/>
        </w:rPr>
        <w:t>Mantener la estabilidad macroeconómica que permita el crecimiento económico sostenido. Para el seguimiento de este objetivo se utiliza el indicador del rating de la deuda</w:t>
      </w:r>
      <w:r w:rsidR="00C0679A" w:rsidRPr="00EE003F">
        <w:rPr>
          <w:rFonts w:ascii="Arial Narrow" w:hAnsi="Arial Narrow" w:cs="Frutiger LT Std 45 Light"/>
          <w:lang w:val="es-ES_tradnl"/>
        </w:rPr>
        <w:t xml:space="preserve"> soberana</w:t>
      </w:r>
      <w:r w:rsidRPr="00EE003F">
        <w:rPr>
          <w:rFonts w:ascii="Arial Narrow" w:hAnsi="Arial Narrow" w:cs="Frutiger LT Std 45 Light"/>
          <w:lang w:val="es-ES_tradnl"/>
        </w:rPr>
        <w:t xml:space="preserve">, de largo plazo en </w:t>
      </w:r>
      <w:r w:rsidR="00164324" w:rsidRPr="00EE003F">
        <w:rPr>
          <w:rFonts w:ascii="Arial Narrow" w:hAnsi="Arial Narrow" w:cs="Frutiger LT Std 45 Light"/>
          <w:lang w:val="es-ES_tradnl"/>
        </w:rPr>
        <w:t>moneda local</w:t>
      </w:r>
      <w:r w:rsidR="00FA10BB" w:rsidRPr="00EE003F">
        <w:rPr>
          <w:rFonts w:ascii="Arial Narrow" w:hAnsi="Arial Narrow" w:cs="Frutiger LT Std 45 Light"/>
          <w:color w:val="293941"/>
          <w:lang w:val="es-ES_tradnl"/>
        </w:rPr>
        <w:t xml:space="preserve">. </w:t>
      </w:r>
      <w:r w:rsidRPr="00EE003F">
        <w:rPr>
          <w:rFonts w:ascii="Arial Narrow" w:hAnsi="Arial Narrow" w:cs="Frutiger LT Std 45 Light"/>
          <w:lang w:val="es-ES_tradnl"/>
        </w:rPr>
        <w:t xml:space="preserve">En la última década, el Perú ha obtenido un aumento importante en la calificación de la deuda soberana. Una mejor calificación de la deuda implica poseer las condiciones necesarias para que la deuda y el riesgo </w:t>
      </w:r>
      <w:r w:rsidR="00C0679A" w:rsidRPr="00EE003F">
        <w:rPr>
          <w:rFonts w:ascii="Arial Narrow" w:hAnsi="Arial Narrow" w:cs="Frutiger LT Std 45 Light"/>
          <w:lang w:val="es-ES_tradnl"/>
        </w:rPr>
        <w:t>soberano</w:t>
      </w:r>
      <w:r w:rsidR="002F14EC" w:rsidRPr="00EE003F">
        <w:rPr>
          <w:rFonts w:ascii="Arial Narrow" w:hAnsi="Arial Narrow" w:cs="Frutiger LT Std 45 Light"/>
          <w:lang w:val="es-ES_tradnl"/>
        </w:rPr>
        <w:t xml:space="preserve"> </w:t>
      </w:r>
      <w:r w:rsidRPr="00EE003F">
        <w:rPr>
          <w:rFonts w:ascii="Arial Narrow" w:hAnsi="Arial Narrow" w:cs="Frutiger LT Std 45 Light"/>
          <w:lang w:val="es-ES_tradnl"/>
        </w:rPr>
        <w:t>se encuentren en niveles capaces de crear un clima óptimo para las inversiones y el desarrollo del mercado financiero.</w:t>
      </w:r>
      <w:r w:rsidR="00FA10BB" w:rsidRPr="00EE003F">
        <w:rPr>
          <w:rFonts w:ascii="Arial Narrow" w:hAnsi="Arial Narrow" w:cs="Frutiger LT Std 45 Light"/>
          <w:color w:val="293941"/>
          <w:lang w:val="es-ES_tradnl"/>
        </w:rPr>
        <w:t xml:space="preserve"> </w:t>
      </w:r>
    </w:p>
    <w:p w:rsidR="00A77D96" w:rsidRPr="00EE003F" w:rsidRDefault="00A77D96" w:rsidP="00A77D96">
      <w:pPr>
        <w:pStyle w:val="Prrafodelista"/>
        <w:rPr>
          <w:rFonts w:ascii="Arial Narrow" w:hAnsi="Arial Narrow" w:cs="Frutiger LT Std 45 Light"/>
          <w:color w:val="293941"/>
          <w:lang w:val="es-ES_tradnl"/>
        </w:rPr>
      </w:pPr>
    </w:p>
    <w:p w:rsidR="00D336B5" w:rsidRPr="00EE003F" w:rsidRDefault="00D336B5" w:rsidP="00681365">
      <w:pPr>
        <w:pStyle w:val="Prrafodelista"/>
        <w:numPr>
          <w:ilvl w:val="0"/>
          <w:numId w:val="8"/>
        </w:numPr>
        <w:autoSpaceDE w:val="0"/>
        <w:autoSpaceDN w:val="0"/>
        <w:adjustRightInd w:val="0"/>
        <w:spacing w:before="113" w:after="0" w:line="240" w:lineRule="auto"/>
        <w:ind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Desarrollar los mercados financieros promoviendo la inclusión financiera. Para medir y hacer seguimiento a este objetivo se utiliza el indicador de depósitos del sistema financiero como porcentaje del PBI</w:t>
      </w:r>
      <w:r w:rsidR="00924A7C" w:rsidRPr="00EE003F">
        <w:rPr>
          <w:rFonts w:ascii="Arial Narrow" w:hAnsi="Arial Narrow" w:cs="Frutiger LT Std 45 Light"/>
          <w:lang w:val="es-ES_tradnl"/>
        </w:rPr>
        <w:t xml:space="preserve">, la capacidad </w:t>
      </w:r>
      <w:r w:rsidR="002F242B" w:rsidRPr="00EE003F">
        <w:rPr>
          <w:rFonts w:ascii="Arial Narrow" w:hAnsi="Arial Narrow" w:cs="Frutiger LT Std 45 Light"/>
          <w:lang w:val="es-ES_tradnl"/>
        </w:rPr>
        <w:t>d</w:t>
      </w:r>
      <w:r w:rsidR="00924A7C" w:rsidRPr="00EE003F">
        <w:rPr>
          <w:rFonts w:ascii="Arial Narrow" w:hAnsi="Arial Narrow" w:cs="Frutiger LT Std 45 Light"/>
          <w:lang w:val="es-ES_tradnl"/>
        </w:rPr>
        <w:t>e pago de la deuda pública respecto a los ingresos y la deuda externa</w:t>
      </w:r>
      <w:r w:rsidRPr="00EE003F">
        <w:rPr>
          <w:rFonts w:ascii="Arial Narrow" w:hAnsi="Arial Narrow" w:cs="Frutiger LT Std 45 Light"/>
          <w:lang w:val="es-ES_tradnl"/>
        </w:rPr>
        <w:t xml:space="preserve">. El rol del sector financiero consiste en la provisión de servicios a las firmas en cuestiones de financiamiento y diversificación de riesgo. La profundización financiera genera beneficios en relación al combate de la pobreza y el desarrollo económico. </w:t>
      </w:r>
      <w:r w:rsidR="00FA10BB" w:rsidRPr="00EE003F">
        <w:rPr>
          <w:rFonts w:ascii="Arial Narrow" w:hAnsi="Arial Narrow" w:cs="Frutiger LT Std 45 Light"/>
          <w:lang w:val="es-ES_tradnl"/>
        </w:rPr>
        <w:t>Adicionalmente, para evitar pérdidas por incrementos en el tipo de cambio en un escenario de inestabilidad financiera internacional, un punto relevante es la profundización del mercado de valores de deuda en moneda local.</w:t>
      </w:r>
    </w:p>
    <w:p w:rsidR="005B4BF8" w:rsidRPr="00EE003F" w:rsidRDefault="005B4BF8" w:rsidP="005B4BF8">
      <w:pPr>
        <w:pStyle w:val="Prrafodelista"/>
        <w:autoSpaceDE w:val="0"/>
        <w:autoSpaceDN w:val="0"/>
        <w:adjustRightInd w:val="0"/>
        <w:spacing w:before="113" w:after="0" w:line="240" w:lineRule="auto"/>
        <w:ind w:right="284"/>
        <w:jc w:val="both"/>
        <w:textAlignment w:val="center"/>
        <w:rPr>
          <w:rFonts w:ascii="Arial Narrow" w:hAnsi="Arial Narrow" w:cs="Frutiger LT Std 45 Light"/>
          <w:lang w:val="es-ES_tradnl"/>
        </w:rPr>
      </w:pPr>
    </w:p>
    <w:p w:rsidR="00D336B5" w:rsidRPr="00EE003F" w:rsidRDefault="00D336B5" w:rsidP="00681365">
      <w:pPr>
        <w:pStyle w:val="Prrafodelista"/>
        <w:numPr>
          <w:ilvl w:val="0"/>
          <w:numId w:val="8"/>
        </w:numPr>
        <w:autoSpaceDE w:val="0"/>
        <w:autoSpaceDN w:val="0"/>
        <w:adjustRightInd w:val="0"/>
        <w:spacing w:before="113" w:after="0" w:line="240" w:lineRule="auto"/>
        <w:ind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M</w:t>
      </w:r>
      <w:r w:rsidR="009E4418" w:rsidRPr="00EE003F">
        <w:rPr>
          <w:rFonts w:ascii="Arial Narrow" w:hAnsi="Arial Narrow" w:cs="Frutiger LT Std 45 Light"/>
          <w:lang w:val="es-ES_tradnl"/>
        </w:rPr>
        <w:t>ejora</w:t>
      </w:r>
      <w:r w:rsidRPr="00EE003F">
        <w:rPr>
          <w:rFonts w:ascii="Arial Narrow" w:hAnsi="Arial Narrow" w:cs="Frutiger LT Std 45 Light"/>
          <w:lang w:val="es-ES_tradnl"/>
        </w:rPr>
        <w:t xml:space="preserve">r el ambiente de negocios y desarrollo productivo. El mejor indicador internacional que resumiría el objetivo específico es el Índice Doing Business del Banco Mundial, que mide la facilidad para hacer negocios en un país. Se basa en una encuesta realizada a las empresas del sector privado, las pequeñas y medianas empresas de diferentes países, acerca de las leyes y reglamentos en relación a los 10 subíndices que componen el indicador: apertura de una empresa, manejo de permisos de construcción, empleo de los trabajadores, registro de propiedades, obtención de crédito, protección de los inversores, pago de impuestos, comercio transfronterizo, cumplimiento de contratos y cierre de una empresa. </w:t>
      </w:r>
    </w:p>
    <w:p w:rsidR="005B4BF8" w:rsidRPr="00EE003F" w:rsidRDefault="005B4BF8" w:rsidP="005B4BF8">
      <w:pPr>
        <w:pStyle w:val="Prrafodelista"/>
        <w:rPr>
          <w:rFonts w:ascii="Arial Narrow" w:hAnsi="Arial Narrow" w:cs="Frutiger LT Std 45 Light"/>
          <w:lang w:val="es-ES_tradnl"/>
        </w:rPr>
      </w:pPr>
    </w:p>
    <w:p w:rsidR="00D336B5" w:rsidRPr="00EE003F" w:rsidRDefault="00D336B5" w:rsidP="00681365">
      <w:pPr>
        <w:pStyle w:val="Prrafodelista"/>
        <w:numPr>
          <w:ilvl w:val="0"/>
          <w:numId w:val="8"/>
        </w:numPr>
        <w:autoSpaceDE w:val="0"/>
        <w:autoSpaceDN w:val="0"/>
        <w:adjustRightInd w:val="0"/>
        <w:spacing w:before="113" w:after="0" w:line="240" w:lineRule="auto"/>
        <w:ind w:right="284"/>
        <w:jc w:val="both"/>
        <w:textAlignment w:val="center"/>
        <w:rPr>
          <w:rFonts w:ascii="Arial Narrow" w:hAnsi="Arial Narrow" w:cs="Frutiger LT Std 45 Light"/>
          <w:lang w:val="es-ES_tradnl"/>
        </w:rPr>
      </w:pPr>
      <w:r w:rsidRPr="00EE003F">
        <w:rPr>
          <w:rFonts w:ascii="Arial Narrow" w:hAnsi="Arial Narrow" w:cs="Frutiger LT Std 45 Light"/>
          <w:lang w:val="es-ES_tradnl"/>
        </w:rPr>
        <w:t>Desarrollar un ecosistema tecnológico que potencie la estructura económica hacia actividades intensivas en tecnología. Para la medición de este objetivo se utiliza el indicador de participación de las exportaciones de alta tecnología sobre el total de exportaciones de manufacturas del país. En los últimos años, el Perú ha presentado un avance importante en el ecosistema tecnológico con miras a un desarrollo de la capacidad productiva. Este avance se refleja en las exportaciones de productos de alta tecnología y altamente intensivos en I+D, como son los productos de las industrias aeroespacial, informática, farmacéutica y de maquinaria eléctrica; elementos presentes en el indicador considerado.</w:t>
      </w:r>
    </w:p>
    <w:p w:rsidR="00567C33" w:rsidRPr="00EE003F" w:rsidRDefault="00567C33" w:rsidP="00567C33">
      <w:pPr>
        <w:pStyle w:val="Prrafodelista"/>
        <w:rPr>
          <w:rFonts w:ascii="Arial Narrow" w:hAnsi="Arial Narrow" w:cs="Frutiger LT Std 45 Light"/>
          <w:lang w:val="es-ES_tradnl"/>
        </w:rPr>
      </w:pPr>
    </w:p>
    <w:p w:rsidR="00567C33" w:rsidRPr="00EE003F" w:rsidRDefault="00316C88" w:rsidP="00567C33">
      <w:pPr>
        <w:pStyle w:val="Prrafodelista"/>
        <w:autoSpaceDE w:val="0"/>
        <w:autoSpaceDN w:val="0"/>
        <w:adjustRightInd w:val="0"/>
        <w:spacing w:before="113" w:after="0" w:line="240" w:lineRule="auto"/>
        <w:ind w:right="284"/>
        <w:jc w:val="both"/>
        <w:textAlignment w:val="center"/>
        <w:rPr>
          <w:rFonts w:ascii="Arial Narrow" w:hAnsi="Arial Narrow" w:cs="Frutiger LT Std 45 Light"/>
          <w:lang w:val="es-ES_tradnl"/>
        </w:rPr>
      </w:pPr>
      <w:r w:rsidRPr="00EE003F">
        <w:rPr>
          <w:noProof/>
          <w:lang w:eastAsia="es-PE"/>
        </w:rPr>
        <mc:AlternateContent>
          <mc:Choice Requires="wps">
            <w:drawing>
              <wp:anchor distT="0" distB="0" distL="114300" distR="114300" simplePos="0" relativeHeight="251717120" behindDoc="0" locked="0" layoutInCell="1" allowOverlap="1" wp14:anchorId="26EF4EE6" wp14:editId="45B28E25">
                <wp:simplePos x="0" y="0"/>
                <wp:positionH relativeFrom="column">
                  <wp:posOffset>229286</wp:posOffset>
                </wp:positionH>
                <wp:positionV relativeFrom="paragraph">
                  <wp:posOffset>2346528</wp:posOffset>
                </wp:positionV>
                <wp:extent cx="8865870" cy="497434"/>
                <wp:effectExtent l="0" t="0" r="0" b="0"/>
                <wp:wrapNone/>
                <wp:docPr id="53" name="22 CuadroTexto"/>
                <wp:cNvGraphicFramePr/>
                <a:graphic xmlns:a="http://schemas.openxmlformats.org/drawingml/2006/main">
                  <a:graphicData uri="http://schemas.microsoft.com/office/word/2010/wordprocessingShape">
                    <wps:wsp>
                      <wps:cNvSpPr txBox="1"/>
                      <wps:spPr>
                        <a:xfrm>
                          <a:off x="0" y="0"/>
                          <a:ext cx="8865870" cy="497434"/>
                        </a:xfrm>
                        <a:prstGeom prst="rect">
                          <a:avLst/>
                        </a:prstGeom>
                        <a:noFill/>
                        <a:ln w="9525" cmpd="sng">
                          <a:noFill/>
                        </a:ln>
                        <a:effectLst/>
                      </wps:spPr>
                      <wps:txbx>
                        <w:txbxContent>
                          <w:p w:rsidR="00274AEA" w:rsidRPr="003768F3" w:rsidRDefault="00274AEA" w:rsidP="009D1B58">
                            <w:pPr>
                              <w:pStyle w:val="NormalWeb"/>
                              <w:spacing w:before="0" w:beforeAutospacing="0" w:after="0" w:afterAutospacing="0"/>
                              <w:ind w:right="4682"/>
                              <w:jc w:val="both"/>
                              <w:rPr>
                                <w:sz w:val="14"/>
                                <w:szCs w:val="14"/>
                              </w:rPr>
                            </w:pPr>
                            <w:r w:rsidRPr="003768F3">
                              <w:rPr>
                                <w:rFonts w:ascii="Calibri" w:eastAsia="+mn-ea" w:hAnsi="Calibri" w:cs="+mn-cs"/>
                                <w:b/>
                                <w:bCs/>
                                <w:color w:val="000000"/>
                                <w:sz w:val="14"/>
                                <w:szCs w:val="14"/>
                              </w:rPr>
                              <w:t>Nota: CAGR significa tasa de crecimiento anual compuesta</w:t>
                            </w:r>
                          </w:p>
                          <w:p w:rsidR="00274AEA" w:rsidRPr="003768F3" w:rsidRDefault="00274AEA" w:rsidP="009D1B58">
                            <w:pPr>
                              <w:pStyle w:val="NormalWeb"/>
                              <w:spacing w:before="0" w:beforeAutospacing="0" w:after="0" w:afterAutospacing="0"/>
                              <w:ind w:right="4682"/>
                              <w:jc w:val="both"/>
                              <w:rPr>
                                <w:rFonts w:ascii="Calibri" w:eastAsia="+mn-ea" w:hAnsi="Calibri" w:cs="+mn-cs"/>
                                <w:b/>
                                <w:bCs/>
                                <w:color w:val="000000"/>
                                <w:sz w:val="14"/>
                                <w:szCs w:val="14"/>
                              </w:rPr>
                            </w:pPr>
                            <w:r w:rsidRPr="003768F3">
                              <w:rPr>
                                <w:rFonts w:ascii="Calibri" w:eastAsia="+mn-ea" w:hAnsi="Calibri" w:cs="+mn-cs"/>
                                <w:b/>
                                <w:bCs/>
                                <w:color w:val="000000"/>
                                <w:sz w:val="14"/>
                                <w:szCs w:val="14"/>
                              </w:rPr>
                              <w:t xml:space="preserve">Fuente: Banco Mundial. CEPLAN - Modelo International </w:t>
                            </w:r>
                            <w:proofErr w:type="spellStart"/>
                            <w:r w:rsidRPr="003768F3">
                              <w:rPr>
                                <w:rFonts w:ascii="Calibri" w:eastAsia="+mn-ea" w:hAnsi="Calibri" w:cs="+mn-cs"/>
                                <w:b/>
                                <w:bCs/>
                                <w:color w:val="000000"/>
                                <w:sz w:val="14"/>
                                <w:szCs w:val="14"/>
                              </w:rPr>
                              <w:t>Futures</w:t>
                            </w:r>
                            <w:proofErr w:type="spellEnd"/>
                            <w:r w:rsidRPr="003768F3">
                              <w:rPr>
                                <w:rFonts w:ascii="Calibri" w:eastAsia="+mn-ea" w:hAnsi="Calibri" w:cs="+mn-cs"/>
                                <w:b/>
                                <w:bCs/>
                                <w:color w:val="000000"/>
                                <w:sz w:val="14"/>
                                <w:szCs w:val="14"/>
                              </w:rPr>
                              <w:t xml:space="preserve"> (</w:t>
                            </w:r>
                            <w:proofErr w:type="spellStart"/>
                            <w:r w:rsidRPr="003768F3">
                              <w:rPr>
                                <w:rFonts w:ascii="Calibri" w:eastAsia="+mn-ea" w:hAnsi="Calibri" w:cs="+mn-cs"/>
                                <w:b/>
                                <w:bCs/>
                                <w:color w:val="000000"/>
                                <w:sz w:val="14"/>
                                <w:szCs w:val="14"/>
                              </w:rPr>
                              <w:t>IFs</w:t>
                            </w:r>
                            <w:proofErr w:type="spellEnd"/>
                            <w:r w:rsidRPr="003768F3">
                              <w:rPr>
                                <w:rFonts w:ascii="Calibri" w:eastAsia="+mn-ea" w:hAnsi="Calibri" w:cs="+mn-cs"/>
                                <w:b/>
                                <w:bCs/>
                                <w:color w:val="000000"/>
                                <w:sz w:val="14"/>
                                <w:szCs w:val="14"/>
                              </w:rPr>
                              <w:t>).</w:t>
                            </w:r>
                          </w:p>
                          <w:p w:rsidR="00274AEA" w:rsidRPr="003768F3" w:rsidRDefault="00274AEA" w:rsidP="009D1B58">
                            <w:pPr>
                              <w:pStyle w:val="NormalWeb"/>
                              <w:spacing w:before="0" w:beforeAutospacing="0" w:after="0" w:afterAutospacing="0"/>
                              <w:ind w:right="4682"/>
                              <w:jc w:val="both"/>
                              <w:rPr>
                                <w:sz w:val="14"/>
                                <w:szCs w:val="14"/>
                              </w:rPr>
                            </w:pPr>
                            <w:r w:rsidRPr="003768F3">
                              <w:rPr>
                                <w:rFonts w:ascii="Calibri" w:eastAsia="+mn-ea" w:hAnsi="Calibri" w:cs="+mn-cs"/>
                                <w:b/>
                                <w:bCs/>
                                <w:color w:val="000000"/>
                                <w:sz w:val="14"/>
                                <w:szCs w:val="14"/>
                              </w:rPr>
                              <w:t>Se consideraron las tasas de crecimiento reportadas en el MEF - MMM 2017-2019.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05pt;margin-top:184.75pt;width:698.1pt;height:39.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" filled="f" stroked="f">
                <v:textbox>
                  <w:txbxContent>
                    <w:p w:rsidR="00274AEA" w:rsidRPr="003768F3" w:rsidRDefault="00274AEA" w:rsidP="009D1B58">
                      <w:pPr>
                        <w:pStyle w:val="NormalWeb"/>
                        <w:spacing w:before="0" w:beforeAutospacing="0" w:after="0" w:afterAutospacing="0"/>
                        <w:ind w:right="4682"/>
                        <w:jc w:val="both"/>
                        <w:rPr>
                          <w:sz w:val="14"/>
                          <w:szCs w:val="14"/>
                        </w:rPr>
                      </w:pPr>
                      <w:r w:rsidRPr="003768F3">
                        <w:rPr>
                          <w:rFonts w:ascii="Calibri" w:eastAsia="+mn-ea" w:hAnsi="Calibri" w:cs="+mn-cs"/>
                          <w:b/>
                          <w:bCs/>
                          <w:color w:val="000000"/>
                          <w:sz w:val="14"/>
                          <w:szCs w:val="14"/>
                        </w:rPr>
                        <w:t>Nota: CAGR significa tasa de crecimiento anual compuesta</w:t>
                      </w:r>
                    </w:p>
                    <w:p w:rsidR="00274AEA" w:rsidRPr="003768F3" w:rsidRDefault="00274AEA" w:rsidP="009D1B58">
                      <w:pPr>
                        <w:pStyle w:val="NormalWeb"/>
                        <w:spacing w:before="0" w:beforeAutospacing="0" w:after="0" w:afterAutospacing="0"/>
                        <w:ind w:right="4682"/>
                        <w:jc w:val="both"/>
                        <w:rPr>
                          <w:rFonts w:ascii="Calibri" w:eastAsia="+mn-ea" w:hAnsi="Calibri" w:cs="+mn-cs"/>
                          <w:b/>
                          <w:bCs/>
                          <w:color w:val="000000"/>
                          <w:sz w:val="14"/>
                          <w:szCs w:val="14"/>
                        </w:rPr>
                      </w:pPr>
                      <w:r w:rsidRPr="003768F3">
                        <w:rPr>
                          <w:rFonts w:ascii="Calibri" w:eastAsia="+mn-ea" w:hAnsi="Calibri" w:cs="+mn-cs"/>
                          <w:b/>
                          <w:bCs/>
                          <w:color w:val="000000"/>
                          <w:sz w:val="14"/>
                          <w:szCs w:val="14"/>
                        </w:rPr>
                        <w:t xml:space="preserve">Fuente: Banco Mundial. CEPLAN - Modelo International </w:t>
                      </w:r>
                      <w:proofErr w:type="spellStart"/>
                      <w:r w:rsidRPr="003768F3">
                        <w:rPr>
                          <w:rFonts w:ascii="Calibri" w:eastAsia="+mn-ea" w:hAnsi="Calibri" w:cs="+mn-cs"/>
                          <w:b/>
                          <w:bCs/>
                          <w:color w:val="000000"/>
                          <w:sz w:val="14"/>
                          <w:szCs w:val="14"/>
                        </w:rPr>
                        <w:t>Futures</w:t>
                      </w:r>
                      <w:proofErr w:type="spellEnd"/>
                      <w:r w:rsidRPr="003768F3">
                        <w:rPr>
                          <w:rFonts w:ascii="Calibri" w:eastAsia="+mn-ea" w:hAnsi="Calibri" w:cs="+mn-cs"/>
                          <w:b/>
                          <w:bCs/>
                          <w:color w:val="000000"/>
                          <w:sz w:val="14"/>
                          <w:szCs w:val="14"/>
                        </w:rPr>
                        <w:t xml:space="preserve"> (</w:t>
                      </w:r>
                      <w:proofErr w:type="spellStart"/>
                      <w:r w:rsidRPr="003768F3">
                        <w:rPr>
                          <w:rFonts w:ascii="Calibri" w:eastAsia="+mn-ea" w:hAnsi="Calibri" w:cs="+mn-cs"/>
                          <w:b/>
                          <w:bCs/>
                          <w:color w:val="000000"/>
                          <w:sz w:val="14"/>
                          <w:szCs w:val="14"/>
                        </w:rPr>
                        <w:t>IFs</w:t>
                      </w:r>
                      <w:proofErr w:type="spellEnd"/>
                      <w:r w:rsidRPr="003768F3">
                        <w:rPr>
                          <w:rFonts w:ascii="Calibri" w:eastAsia="+mn-ea" w:hAnsi="Calibri" w:cs="+mn-cs"/>
                          <w:b/>
                          <w:bCs/>
                          <w:color w:val="000000"/>
                          <w:sz w:val="14"/>
                          <w:szCs w:val="14"/>
                        </w:rPr>
                        <w:t>).</w:t>
                      </w:r>
                    </w:p>
                    <w:p w:rsidR="00274AEA" w:rsidRPr="003768F3" w:rsidRDefault="00274AEA" w:rsidP="009D1B58">
                      <w:pPr>
                        <w:pStyle w:val="NormalWeb"/>
                        <w:spacing w:before="0" w:beforeAutospacing="0" w:after="0" w:afterAutospacing="0"/>
                        <w:ind w:right="4682"/>
                        <w:jc w:val="both"/>
                        <w:rPr>
                          <w:sz w:val="14"/>
                          <w:szCs w:val="14"/>
                        </w:rPr>
                      </w:pPr>
                      <w:r w:rsidRPr="003768F3">
                        <w:rPr>
                          <w:rFonts w:ascii="Calibri" w:eastAsia="+mn-ea" w:hAnsi="Calibri" w:cs="+mn-cs"/>
                          <w:b/>
                          <w:bCs/>
                          <w:color w:val="000000"/>
                          <w:sz w:val="14"/>
                          <w:szCs w:val="14"/>
                        </w:rPr>
                        <w:t>Se consideraron las tasas de crecimiento reportadas en el MEF - MMM 2017-2019.</w:t>
                      </w:r>
                    </w:p>
                  </w:txbxContent>
                </v:textbox>
              </v:shape>
            </w:pict>
          </mc:Fallback>
        </mc:AlternateContent>
      </w:r>
      <w:r w:rsidR="009D1B58" w:rsidRPr="00EE003F">
        <w:rPr>
          <w:rFonts w:ascii="Arial Narrow" w:hAnsi="Arial Narrow" w:cs="Frutiger LT Std 45 Light"/>
          <w:noProof/>
          <w:lang w:eastAsia="es-PE"/>
        </w:rPr>
        <w:drawing>
          <wp:inline distT="0" distB="0" distL="0" distR="0" wp14:anchorId="6E03EAF2" wp14:editId="27592706">
            <wp:extent cx="4784140" cy="259761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83675" cy="2597359"/>
                    </a:xfrm>
                    <a:prstGeom prst="rect">
                      <a:avLst/>
                    </a:prstGeom>
                    <a:noFill/>
                  </pic:spPr>
                </pic:pic>
              </a:graphicData>
            </a:graphic>
          </wp:inline>
        </w:drawing>
      </w:r>
    </w:p>
    <w:p w:rsidR="00567C33" w:rsidRPr="00EE003F" w:rsidRDefault="00567C33" w:rsidP="00567C33">
      <w:pPr>
        <w:pStyle w:val="Prrafodelista"/>
        <w:autoSpaceDE w:val="0"/>
        <w:autoSpaceDN w:val="0"/>
        <w:adjustRightInd w:val="0"/>
        <w:spacing w:before="113" w:after="0" w:line="240" w:lineRule="auto"/>
        <w:ind w:right="284"/>
        <w:jc w:val="both"/>
        <w:textAlignment w:val="center"/>
        <w:rPr>
          <w:rFonts w:ascii="Arial Narrow" w:hAnsi="Arial Narrow" w:cs="Frutiger LT Std 45 Light"/>
          <w:lang w:val="es-ES_tradnl"/>
        </w:rPr>
      </w:pPr>
    </w:p>
    <w:p w:rsidR="00D336B5" w:rsidRPr="00EE003F" w:rsidRDefault="009D1B58" w:rsidP="000C7C48">
      <w:pPr>
        <w:autoSpaceDE w:val="0"/>
        <w:autoSpaceDN w:val="0"/>
        <w:adjustRightInd w:val="0"/>
        <w:spacing w:before="113" w:after="0" w:line="288" w:lineRule="auto"/>
        <w:ind w:right="283"/>
        <w:jc w:val="both"/>
        <w:textAlignment w:val="center"/>
        <w:rPr>
          <w:rFonts w:ascii="Arial Narrow" w:hAnsi="Arial Narrow" w:cs="Frutiger LT Std 45 Light"/>
          <w:sz w:val="20"/>
          <w:szCs w:val="20"/>
          <w:lang w:val="es-ES_tradnl"/>
        </w:rPr>
      </w:pPr>
      <w:r w:rsidRPr="00EE003F" w:rsidDel="00567C33">
        <w:rPr>
          <w:rFonts w:ascii="Arial Narrow" w:hAnsi="Arial Narrow" w:cs="Frutiger LT Std 45 Light"/>
          <w:noProof/>
          <w:sz w:val="20"/>
          <w:szCs w:val="20"/>
          <w:lang w:eastAsia="es-PE"/>
        </w:rPr>
        <w:t xml:space="preserve"> </w:t>
      </w:r>
      <w:r w:rsidR="000C7C48" w:rsidRPr="00EE003F">
        <w:rPr>
          <w:noProof/>
          <w:lang w:eastAsia="es-PE"/>
        </w:rPr>
        <w:drawing>
          <wp:inline distT="0" distB="0" distL="0" distR="0" wp14:anchorId="223AD43E" wp14:editId="45ED17CE">
            <wp:extent cx="5400675" cy="3621838"/>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400675" cy="3621838"/>
                    </a:xfrm>
                    <a:prstGeom prst="rect">
                      <a:avLst/>
                    </a:prstGeom>
                  </pic:spPr>
                </pic:pic>
              </a:graphicData>
            </a:graphic>
          </wp:inline>
        </w:drawing>
      </w:r>
    </w:p>
    <w:p w:rsidR="00D336B5" w:rsidRPr="00EE003F" w:rsidRDefault="00D336B5" w:rsidP="005B4BF8">
      <w:pPr>
        <w:spacing w:before="120" w:after="0" w:line="240" w:lineRule="auto"/>
        <w:rPr>
          <w:rFonts w:ascii="Arial Narrow" w:hAnsi="Arial Narrow" w:cs="Frutiger LT Std 45 Light"/>
          <w:b/>
          <w:sz w:val="24"/>
          <w:lang w:val="es-ES_tradnl"/>
        </w:rPr>
      </w:pPr>
      <w:r w:rsidRPr="00EE003F">
        <w:rPr>
          <w:rFonts w:ascii="Arial Narrow" w:hAnsi="Arial Narrow" w:cs="Frutiger LT Std 45 Light"/>
          <w:b/>
          <w:sz w:val="24"/>
          <w:lang w:val="es-ES_tradnl"/>
        </w:rPr>
        <w:t>Interpretación:</w:t>
      </w:r>
    </w:p>
    <w:p w:rsidR="00D336B5" w:rsidRPr="00EE003F" w:rsidRDefault="00D336B5" w:rsidP="005B4BF8">
      <w:pPr>
        <w:spacing w:before="120" w:after="0" w:line="240" w:lineRule="auto"/>
        <w:jc w:val="both"/>
        <w:rPr>
          <w:rFonts w:ascii="Arial Narrow" w:hAnsi="Arial Narrow" w:cs="Frutiger LT Std 45 Light"/>
          <w:sz w:val="24"/>
          <w:lang w:val="es-ES_tradnl"/>
        </w:rPr>
      </w:pPr>
      <w:r w:rsidRPr="00EE003F">
        <w:rPr>
          <w:rFonts w:ascii="Arial Narrow" w:hAnsi="Arial Narrow" w:cs="Frutiger LT Std 45 Light"/>
          <w:sz w:val="24"/>
          <w:lang w:val="es-ES_tradnl"/>
        </w:rPr>
        <w:t xml:space="preserve">Entre el </w:t>
      </w:r>
      <w:r w:rsidR="00833D24" w:rsidRPr="00EE003F">
        <w:rPr>
          <w:rFonts w:ascii="Arial Narrow" w:hAnsi="Arial Narrow" w:cs="Frutiger LT Std 45 Light"/>
          <w:sz w:val="24"/>
          <w:lang w:val="es-ES_tradnl"/>
        </w:rPr>
        <w:t xml:space="preserve">2010 </w:t>
      </w:r>
      <w:r w:rsidRPr="00EE003F">
        <w:rPr>
          <w:rFonts w:ascii="Arial Narrow" w:hAnsi="Arial Narrow" w:cs="Frutiger LT Std 45 Light"/>
          <w:sz w:val="24"/>
          <w:lang w:val="es-ES_tradnl"/>
        </w:rPr>
        <w:t xml:space="preserve">y el </w:t>
      </w:r>
      <w:r w:rsidR="00833D24" w:rsidRPr="00EE003F">
        <w:rPr>
          <w:rFonts w:ascii="Arial Narrow" w:hAnsi="Arial Narrow" w:cs="Frutiger LT Std 45 Light"/>
          <w:sz w:val="24"/>
          <w:lang w:val="es-ES_tradnl"/>
        </w:rPr>
        <w:t>2015</w:t>
      </w:r>
      <w:r w:rsidRPr="00EE003F">
        <w:rPr>
          <w:rFonts w:ascii="Arial Narrow" w:hAnsi="Arial Narrow" w:cs="Frutiger LT Std 45 Light"/>
          <w:sz w:val="24"/>
          <w:lang w:val="es-ES_tradnl"/>
        </w:rPr>
        <w:t xml:space="preserve">, el PBI per cápita aumentó a una tasa promedio anual </w:t>
      </w:r>
      <w:r w:rsidR="00833D24" w:rsidRPr="00EE003F">
        <w:rPr>
          <w:rFonts w:ascii="Arial Narrow" w:hAnsi="Arial Narrow" w:cs="Frutiger LT Std 45 Light"/>
          <w:sz w:val="24"/>
          <w:lang w:val="es-ES_tradnl"/>
        </w:rPr>
        <w:t>de 3.4%.</w:t>
      </w:r>
      <w:r w:rsidRPr="00EE003F">
        <w:rPr>
          <w:rFonts w:ascii="Arial Narrow" w:hAnsi="Arial Narrow" w:cs="Frutiger LT Std 45 Light"/>
          <w:sz w:val="24"/>
          <w:lang w:val="es-ES_tradnl"/>
        </w:rPr>
        <w:t xml:space="preserve"> Para cumplir las metas al 2016 y al 2021, se hace imperativo incrementar la productividad. Para ello será necesario mantener la estabilidad macroeconómica, invertir en infraestructura y capital humano, mejorar la institucionalidad y la eficiencia del mercado laboral, desarrollar los mercados financieros, promover el acceso a la tecnología, aprovechar inteligentemente los tratados de libre comercio, así como promover la innovación y la sofisticación productiva. En ese sentido, las políticas de educación y salud, articuladas con el Plan Nacional de Diversificación Productiva y complementadas con la </w:t>
      </w:r>
      <w:r w:rsidR="00774F76" w:rsidRPr="00EE003F">
        <w:rPr>
          <w:rFonts w:ascii="Arial Narrow" w:hAnsi="Arial Narrow" w:cs="Frutiger LT Std 45 Light"/>
          <w:sz w:val="24"/>
          <w:lang w:val="es-ES_tradnl"/>
        </w:rPr>
        <w:t>Estrategia Nacional para el Desarrollo de la Ciencia, Tecnología e Innovación</w:t>
      </w:r>
      <w:r w:rsidRPr="00EE003F">
        <w:rPr>
          <w:rFonts w:ascii="Arial Narrow" w:hAnsi="Arial Narrow" w:cs="Frutiger LT Std 45 Light"/>
          <w:sz w:val="24"/>
          <w:lang w:val="es-ES_tradnl"/>
        </w:rPr>
        <w:t xml:space="preserve"> “Crear para Crecer” de CONCYTEC harán posible el crecimiento económico con inclusión social.</w:t>
      </w:r>
    </w:p>
    <w:p w:rsidR="00D336B5" w:rsidRPr="00EE003F" w:rsidRDefault="00D336B5" w:rsidP="00D336B5">
      <w:pPr>
        <w:suppressAutoHyphens/>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r w:rsidRPr="00EE003F">
        <w:rPr>
          <w:rFonts w:ascii="Arial Narrow" w:hAnsi="Arial Narrow" w:cs="Frutiger LT Std 45 Light"/>
          <w:noProof/>
          <w:sz w:val="20"/>
          <w:szCs w:val="20"/>
          <w:lang w:eastAsia="es-PE"/>
        </w:rPr>
        <w:drawing>
          <wp:inline distT="0" distB="0" distL="0" distR="0" wp14:anchorId="33B7060A" wp14:editId="0F6F7D0F">
            <wp:extent cx="5170982" cy="2850077"/>
            <wp:effectExtent l="0" t="0" r="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77410" cy="2853620"/>
                    </a:xfrm>
                    <a:prstGeom prst="rect">
                      <a:avLst/>
                    </a:prstGeom>
                    <a:noFill/>
                    <a:ln>
                      <a:noFill/>
                    </a:ln>
                  </pic:spPr>
                </pic:pic>
              </a:graphicData>
            </a:graphic>
          </wp:inline>
        </w:drawing>
      </w:r>
    </w:p>
    <w:p w:rsidR="00D336B5" w:rsidRPr="00EE003F" w:rsidRDefault="00D336B5" w:rsidP="00D336B5">
      <w:pPr>
        <w:suppressAutoHyphens/>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r w:rsidRPr="00EE003F">
        <w:rPr>
          <w:rFonts w:ascii="Arial Narrow" w:hAnsi="Arial Narrow" w:cs="Frutiger LT Std 45 Light"/>
          <w:noProof/>
          <w:sz w:val="20"/>
          <w:szCs w:val="20"/>
          <w:lang w:eastAsia="es-PE"/>
        </w:rPr>
        <w:drawing>
          <wp:inline distT="0" distB="0" distL="0" distR="0" wp14:anchorId="431D709B" wp14:editId="5B75C113">
            <wp:extent cx="5817824" cy="2113807"/>
            <wp:effectExtent l="0" t="0" r="0" b="12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30399" cy="2118376"/>
                    </a:xfrm>
                    <a:prstGeom prst="rect">
                      <a:avLst/>
                    </a:prstGeom>
                    <a:noFill/>
                    <a:ln>
                      <a:noFill/>
                    </a:ln>
                  </pic:spPr>
                </pic:pic>
              </a:graphicData>
            </a:graphic>
          </wp:inline>
        </w:drawing>
      </w:r>
    </w:p>
    <w:p w:rsidR="00D336B5" w:rsidRPr="00EE003F" w:rsidRDefault="00D336B5" w:rsidP="00D336B5">
      <w:pPr>
        <w:suppressAutoHyphens/>
        <w:autoSpaceDE w:val="0"/>
        <w:autoSpaceDN w:val="0"/>
        <w:adjustRightInd w:val="0"/>
        <w:spacing w:before="567" w:after="113" w:line="288" w:lineRule="auto"/>
        <w:ind w:left="397" w:hanging="397"/>
        <w:textAlignment w:val="center"/>
        <w:rPr>
          <w:rFonts w:ascii="Arial Narrow" w:hAnsi="Arial Narrow" w:cs="RotisSemiSans"/>
          <w:sz w:val="40"/>
          <w:szCs w:val="40"/>
          <w:lang w:val="es-ES_tradnl"/>
        </w:rPr>
      </w:pPr>
      <w:r w:rsidRPr="00EE003F">
        <w:rPr>
          <w:rFonts w:ascii="Arial Narrow" w:hAnsi="Arial Narrow" w:cs="RotisSemiSans"/>
          <w:sz w:val="40"/>
          <w:szCs w:val="40"/>
          <w:lang w:val="es-ES_tradnl"/>
        </w:rPr>
        <w:t xml:space="preserve">Objetivo nacional, objetivos específicos </w:t>
      </w:r>
      <w:r w:rsidRPr="00EE003F">
        <w:rPr>
          <w:rFonts w:ascii="Arial Narrow" w:hAnsi="Arial Narrow" w:cs="RotisSemiSans"/>
          <w:sz w:val="40"/>
          <w:szCs w:val="40"/>
          <w:lang w:val="es-ES_tradnl"/>
        </w:rPr>
        <w:br/>
        <w:t>y acciones estratégicas</w:t>
      </w:r>
    </w:p>
    <w:p w:rsidR="00D336B5" w:rsidRPr="00EE003F" w:rsidRDefault="00D336B5" w:rsidP="00D336B5">
      <w:pPr>
        <w:suppressAutoHyphens/>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p>
    <w:tbl>
      <w:tblPr>
        <w:tblStyle w:val="Tablaconcuadrcula"/>
        <w:tblW w:w="8897" w:type="dxa"/>
        <w:tblLayout w:type="fixed"/>
        <w:tblLook w:val="0000" w:firstRow="0" w:lastRow="0" w:firstColumn="0" w:lastColumn="0" w:noHBand="0" w:noVBand="0"/>
      </w:tblPr>
      <w:tblGrid>
        <w:gridCol w:w="2093"/>
        <w:gridCol w:w="6804"/>
      </w:tblGrid>
      <w:tr w:rsidR="006E3336" w:rsidRPr="00EE003F" w:rsidTr="007C6A1E">
        <w:trPr>
          <w:trHeight w:val="60"/>
        </w:trPr>
        <w:tc>
          <w:tcPr>
            <w:tcW w:w="8897" w:type="dxa"/>
            <w:gridSpan w:val="2"/>
          </w:tcPr>
          <w:p w:rsidR="00D336B5" w:rsidRPr="00EE003F" w:rsidRDefault="00D336B5" w:rsidP="0096546A">
            <w:pPr>
              <w:suppressAutoHyphens/>
              <w:autoSpaceDE w:val="0"/>
              <w:autoSpaceDN w:val="0"/>
              <w:adjustRightInd w:val="0"/>
              <w:spacing w:after="200" w:line="288" w:lineRule="auto"/>
              <w:ind w:left="170"/>
              <w:textAlignment w:val="center"/>
              <w:rPr>
                <w:rStyle w:val="cuerpodetextotablas"/>
                <w:rFonts w:ascii="Arial Narrow" w:hAnsi="Arial Narrow"/>
                <w:b/>
                <w:sz w:val="22"/>
                <w:szCs w:val="22"/>
                <w:lang w:val="es-ES_tradnl"/>
              </w:rPr>
            </w:pPr>
            <w:r w:rsidRPr="00EE003F">
              <w:rPr>
                <w:rStyle w:val="cuerpodetextotablas"/>
                <w:rFonts w:ascii="Arial Narrow" w:hAnsi="Arial Narrow"/>
                <w:b/>
                <w:sz w:val="22"/>
                <w:szCs w:val="22"/>
                <w:lang w:val="es-ES_tradnl"/>
              </w:rPr>
              <w:t xml:space="preserve">OBJETIVO NACIONAL: </w:t>
            </w:r>
          </w:p>
          <w:p w:rsidR="00D336B5" w:rsidRPr="00EE003F" w:rsidRDefault="00D336B5" w:rsidP="0096546A">
            <w:pPr>
              <w:pStyle w:val="BasicParagraph"/>
              <w:tabs>
                <w:tab w:val="left" w:pos="227"/>
              </w:tabs>
              <w:suppressAutoHyphens/>
              <w:ind w:left="227" w:hanging="22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“Desarrollar una economía diversificada y sofisticada con crecimiento sostenible, en una estructura descentralizada, generadora de empleo digno.”</w:t>
            </w:r>
          </w:p>
        </w:tc>
      </w:tr>
      <w:tr w:rsidR="006E3336" w:rsidRPr="00EE003F" w:rsidTr="007C6A1E">
        <w:trPr>
          <w:trHeight w:val="60"/>
        </w:trPr>
        <w:tc>
          <w:tcPr>
            <w:tcW w:w="2093" w:type="dxa"/>
          </w:tcPr>
          <w:p w:rsidR="00D336B5" w:rsidRPr="00EE003F" w:rsidRDefault="00D336B5" w:rsidP="0096546A">
            <w:pPr>
              <w:autoSpaceDE w:val="0"/>
              <w:autoSpaceDN w:val="0"/>
              <w:adjustRightInd w:val="0"/>
              <w:spacing w:after="200" w:line="288" w:lineRule="auto"/>
              <w:jc w:val="center"/>
              <w:textAlignment w:val="center"/>
              <w:rPr>
                <w:rStyle w:val="cuerpodetextotablas"/>
                <w:rFonts w:ascii="Arial Narrow" w:hAnsi="Arial Narrow"/>
                <w:b/>
                <w:bCs/>
                <w:sz w:val="22"/>
                <w:szCs w:val="22"/>
                <w:lang w:val="es-ES_tradnl"/>
              </w:rPr>
            </w:pPr>
            <w:r w:rsidRPr="00EE003F">
              <w:rPr>
                <w:rStyle w:val="cuerpodetextotablas"/>
                <w:rFonts w:ascii="Arial Narrow" w:hAnsi="Arial Narrow"/>
                <w:b/>
                <w:sz w:val="22"/>
                <w:szCs w:val="22"/>
                <w:lang w:val="es-ES_tradnl"/>
              </w:rPr>
              <w:t>Objetivos Específicos</w:t>
            </w:r>
          </w:p>
        </w:tc>
        <w:tc>
          <w:tcPr>
            <w:tcW w:w="6804" w:type="dxa"/>
          </w:tcPr>
          <w:p w:rsidR="00D336B5" w:rsidRPr="00EE003F" w:rsidRDefault="00D336B5" w:rsidP="0096546A">
            <w:pPr>
              <w:autoSpaceDE w:val="0"/>
              <w:autoSpaceDN w:val="0"/>
              <w:adjustRightInd w:val="0"/>
              <w:spacing w:after="200" w:line="288" w:lineRule="auto"/>
              <w:jc w:val="center"/>
              <w:textAlignment w:val="center"/>
              <w:rPr>
                <w:rStyle w:val="cuerpodetextotablas"/>
                <w:rFonts w:ascii="Arial Narrow" w:hAnsi="Arial Narrow"/>
                <w:b/>
                <w:sz w:val="22"/>
                <w:szCs w:val="22"/>
                <w:lang w:val="es-ES_tradnl"/>
              </w:rPr>
            </w:pPr>
            <w:r w:rsidRPr="00EE003F">
              <w:rPr>
                <w:rStyle w:val="cuerpodetextotablas"/>
                <w:rFonts w:ascii="Arial Narrow" w:hAnsi="Arial Narrow"/>
                <w:b/>
                <w:sz w:val="22"/>
                <w:szCs w:val="22"/>
                <w:lang w:val="es-ES_tradnl"/>
              </w:rPr>
              <w:t>Acciones Estratégicas</w:t>
            </w:r>
          </w:p>
        </w:tc>
      </w:tr>
      <w:tr w:rsidR="006E3336" w:rsidRPr="00EE003F" w:rsidTr="007C6A1E">
        <w:trPr>
          <w:trHeight w:val="60"/>
        </w:trPr>
        <w:tc>
          <w:tcPr>
            <w:tcW w:w="2093" w:type="dxa"/>
            <w:vMerge w:val="restart"/>
          </w:tcPr>
          <w:p w:rsidR="00D336B5" w:rsidRPr="00EE003F" w:rsidRDefault="00D336B5" w:rsidP="00836132">
            <w:pPr>
              <w:pStyle w:val="BasicParagraph"/>
              <w:numPr>
                <w:ilvl w:val="0"/>
                <w:numId w:val="35"/>
              </w:numPr>
              <w:suppressAutoHyphens/>
              <w:spacing w:before="113"/>
              <w:ind w:left="142" w:hanging="142"/>
              <w:rPr>
                <w:rFonts w:ascii="Arial Narrow" w:hAnsi="Arial Narrow"/>
                <w:color w:val="auto"/>
                <w:sz w:val="22"/>
                <w:szCs w:val="22"/>
              </w:rPr>
            </w:pPr>
            <w:r w:rsidRPr="00EE003F">
              <w:rPr>
                <w:rStyle w:val="negritatablas"/>
                <w:rFonts w:ascii="Arial Narrow" w:hAnsi="Arial Narrow"/>
                <w:color w:val="auto"/>
                <w:sz w:val="22"/>
                <w:szCs w:val="22"/>
              </w:rPr>
              <w:t>Tener una estructura productiva diversificada y pro-exportadora que participe en cadenas de valor global</w:t>
            </w:r>
          </w:p>
        </w:tc>
        <w:tc>
          <w:tcPr>
            <w:tcW w:w="6804" w:type="dxa"/>
          </w:tcPr>
          <w:p w:rsidR="00D336B5" w:rsidRPr="00EE003F" w:rsidRDefault="00495BA9" w:rsidP="00836132">
            <w:pPr>
              <w:pStyle w:val="BasicParagraph"/>
              <w:numPr>
                <w:ilvl w:val="0"/>
                <w:numId w:val="20"/>
              </w:numPr>
              <w:tabs>
                <w:tab w:val="left" w:pos="227"/>
              </w:tabs>
              <w:suppressAutoHyphens/>
              <w:ind w:left="317"/>
              <w:jc w:val="both"/>
              <w:rPr>
                <w:rFonts w:ascii="Arial Narrow" w:hAnsi="Arial Narrow"/>
                <w:color w:val="auto"/>
                <w:sz w:val="22"/>
                <w:szCs w:val="22"/>
              </w:rPr>
            </w:pPr>
            <w:r w:rsidRPr="00EE003F">
              <w:rPr>
                <w:rStyle w:val="cuerpodetextotablas"/>
                <w:rFonts w:ascii="Arial Narrow" w:hAnsi="Arial Narrow"/>
                <w:color w:val="auto"/>
                <w:sz w:val="22"/>
                <w:szCs w:val="22"/>
              </w:rPr>
              <w:t>Identificar las limitaciones que impiden que la oferta peruana se inserte o participe en las cadenas globales de valor, así como realizar las acciones para superarlas</w:t>
            </w:r>
          </w:p>
        </w:tc>
      </w:tr>
      <w:tr w:rsidR="006E3336" w:rsidRPr="00EE003F" w:rsidTr="007C6A1E">
        <w:trPr>
          <w:trHeight w:val="60"/>
        </w:trPr>
        <w:tc>
          <w:tcPr>
            <w:tcW w:w="2093" w:type="dxa"/>
            <w:vMerge/>
          </w:tcPr>
          <w:p w:rsidR="00D336B5" w:rsidRPr="00EE003F" w:rsidRDefault="00D336B5"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36B5" w:rsidRPr="00EE003F" w:rsidRDefault="00D336B5" w:rsidP="005804C4">
            <w:pPr>
              <w:pStyle w:val="BasicParagraph"/>
              <w:numPr>
                <w:ilvl w:val="0"/>
                <w:numId w:val="20"/>
              </w:numPr>
              <w:tabs>
                <w:tab w:val="left" w:pos="227"/>
              </w:tabs>
              <w:suppressAutoHyphens/>
              <w:ind w:left="317"/>
              <w:jc w:val="both"/>
              <w:rPr>
                <w:rFonts w:ascii="Arial Narrow" w:hAnsi="Arial Narrow"/>
                <w:color w:val="auto"/>
                <w:sz w:val="22"/>
                <w:szCs w:val="22"/>
              </w:rPr>
            </w:pPr>
            <w:r w:rsidRPr="00EE003F">
              <w:rPr>
                <w:rStyle w:val="cuerpodetextotablas"/>
                <w:rFonts w:ascii="Arial Narrow" w:hAnsi="Arial Narrow"/>
                <w:color w:val="auto"/>
                <w:sz w:val="22"/>
                <w:szCs w:val="22"/>
              </w:rPr>
              <w:t>Establecer mecanismos de apoyo para el desarrollo de conglomerados, clústeres</w:t>
            </w:r>
            <w:r w:rsidR="005F72E8" w:rsidRPr="00EE003F">
              <w:rPr>
                <w:rStyle w:val="cuerpodetextotablas"/>
                <w:rFonts w:ascii="Arial Narrow" w:hAnsi="Arial Narrow"/>
                <w:color w:val="auto"/>
                <w:sz w:val="22"/>
                <w:szCs w:val="22"/>
              </w:rPr>
              <w:t>, CITES</w:t>
            </w:r>
            <w:r w:rsidRPr="00EE003F">
              <w:rPr>
                <w:rStyle w:val="cuerpodetextotablas"/>
                <w:rFonts w:ascii="Arial Narrow" w:hAnsi="Arial Narrow"/>
                <w:color w:val="auto"/>
                <w:sz w:val="22"/>
                <w:szCs w:val="22"/>
              </w:rPr>
              <w:t xml:space="preserve"> y parques tecnológicos que potencien el desarrollo empresarial enlazándolas a cadenas productivas.</w:t>
            </w:r>
          </w:p>
        </w:tc>
      </w:tr>
      <w:tr w:rsidR="006E3336" w:rsidRPr="00EE003F" w:rsidTr="007C6A1E">
        <w:trPr>
          <w:trHeight w:val="60"/>
        </w:trPr>
        <w:tc>
          <w:tcPr>
            <w:tcW w:w="2093" w:type="dxa"/>
            <w:vMerge/>
          </w:tcPr>
          <w:p w:rsidR="005F72E8" w:rsidRPr="00EE003F" w:rsidRDefault="005F72E8"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5F72E8" w:rsidRPr="00EE003F" w:rsidRDefault="005F72E8" w:rsidP="00CF35E4">
            <w:pPr>
              <w:pStyle w:val="BasicParagraph"/>
              <w:numPr>
                <w:ilvl w:val="0"/>
                <w:numId w:val="20"/>
              </w:numPr>
              <w:tabs>
                <w:tab w:val="left" w:pos="227"/>
              </w:tabs>
              <w:suppressAutoHyphens/>
              <w:ind w:left="317"/>
              <w:jc w:val="both"/>
              <w:rPr>
                <w:rStyle w:val="cuerpodetextotablas"/>
                <w:rFonts w:ascii="Arial Narrow" w:hAnsi="Arial Narrow"/>
                <w:color w:val="auto"/>
                <w:sz w:val="22"/>
                <w:szCs w:val="22"/>
                <w:lang w:val="es-PE"/>
              </w:rPr>
            </w:pPr>
            <w:r w:rsidRPr="00EE003F">
              <w:rPr>
                <w:rStyle w:val="cuerpodetextotablas"/>
                <w:rFonts w:ascii="Arial Narrow" w:hAnsi="Arial Narrow"/>
                <w:color w:val="auto"/>
                <w:sz w:val="22"/>
                <w:szCs w:val="22"/>
              </w:rPr>
              <w:t xml:space="preserve"> Establecer mecanismos de apoyo para el desarrollo de </w:t>
            </w:r>
            <w:r w:rsidR="00DB00AB" w:rsidRPr="00EE003F">
              <w:rPr>
                <w:rStyle w:val="cuerpodetextotablas"/>
                <w:rFonts w:ascii="Arial Narrow" w:hAnsi="Arial Narrow"/>
                <w:color w:val="auto"/>
                <w:sz w:val="22"/>
                <w:szCs w:val="22"/>
              </w:rPr>
              <w:t xml:space="preserve">la actividad </w:t>
            </w:r>
            <w:r w:rsidRPr="00EE003F">
              <w:rPr>
                <w:rStyle w:val="cuerpodetextotablas"/>
                <w:rFonts w:ascii="Arial Narrow" w:hAnsi="Arial Narrow"/>
                <w:color w:val="auto"/>
                <w:sz w:val="22"/>
                <w:szCs w:val="22"/>
              </w:rPr>
              <w:t>agraria</w:t>
            </w:r>
            <w:r w:rsidR="00DB00AB" w:rsidRPr="00EE003F">
              <w:rPr>
                <w:rStyle w:val="cuerpodetextotablas"/>
                <w:rFonts w:ascii="Arial Narrow" w:hAnsi="Arial Narrow"/>
                <w:color w:val="auto"/>
                <w:sz w:val="22"/>
                <w:szCs w:val="22"/>
              </w:rPr>
              <w:t xml:space="preserve">, ampliando </w:t>
            </w:r>
            <w:r w:rsidRPr="00EE003F">
              <w:rPr>
                <w:rStyle w:val="cuerpodetextotablas"/>
                <w:rFonts w:ascii="Arial Narrow" w:hAnsi="Arial Narrow"/>
                <w:color w:val="auto"/>
                <w:sz w:val="22"/>
                <w:szCs w:val="22"/>
              </w:rPr>
              <w:t xml:space="preserve">la gama de bienes de mayor valor añadido. </w:t>
            </w:r>
          </w:p>
        </w:tc>
      </w:tr>
      <w:tr w:rsidR="006E3336" w:rsidRPr="00EE003F" w:rsidTr="007C6A1E">
        <w:trPr>
          <w:trHeight w:val="60"/>
        </w:trPr>
        <w:tc>
          <w:tcPr>
            <w:tcW w:w="2093" w:type="dxa"/>
            <w:vMerge/>
          </w:tcPr>
          <w:p w:rsidR="00D336B5" w:rsidRPr="00EE003F" w:rsidRDefault="00D336B5"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36B5" w:rsidRPr="00EE003F" w:rsidRDefault="00D336B5" w:rsidP="00CF35E4">
            <w:pPr>
              <w:pStyle w:val="BasicParagraph"/>
              <w:numPr>
                <w:ilvl w:val="0"/>
                <w:numId w:val="20"/>
              </w:numPr>
              <w:tabs>
                <w:tab w:val="left" w:pos="227"/>
              </w:tabs>
              <w:suppressAutoHyphens/>
              <w:ind w:left="317"/>
              <w:jc w:val="both"/>
              <w:rPr>
                <w:rFonts w:ascii="Arial Narrow" w:hAnsi="Arial Narrow"/>
                <w:color w:val="auto"/>
                <w:sz w:val="22"/>
                <w:szCs w:val="22"/>
              </w:rPr>
            </w:pPr>
            <w:r w:rsidRPr="00EE003F">
              <w:rPr>
                <w:rStyle w:val="cuerpodetextotablas"/>
                <w:rFonts w:ascii="Arial Narrow" w:hAnsi="Arial Narrow"/>
                <w:color w:val="auto"/>
                <w:sz w:val="22"/>
                <w:szCs w:val="22"/>
              </w:rPr>
              <w:t>Impulsar el desarrollo de industrias de transformación de alto contenido tecnológico, con base en los sectores de producción exportable.</w:t>
            </w:r>
          </w:p>
        </w:tc>
      </w:tr>
      <w:tr w:rsidR="00D37795" w:rsidRPr="00EE003F" w:rsidTr="007C6A1E">
        <w:trPr>
          <w:trHeight w:val="60"/>
        </w:trPr>
        <w:tc>
          <w:tcPr>
            <w:tcW w:w="2093" w:type="dxa"/>
            <w:vMerge/>
          </w:tcPr>
          <w:p w:rsidR="00D37795" w:rsidRPr="00EE003F" w:rsidRDefault="00D37795">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7795" w:rsidRPr="00EE003F" w:rsidRDefault="00D37795" w:rsidP="00CF35E4">
            <w:pPr>
              <w:pStyle w:val="BasicParagraph"/>
              <w:numPr>
                <w:ilvl w:val="0"/>
                <w:numId w:val="20"/>
              </w:numPr>
              <w:tabs>
                <w:tab w:val="left" w:pos="227"/>
              </w:tabs>
              <w:suppressAutoHyphens/>
              <w:ind w:left="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Facilitar procesos y procedimientos que permiten el comercio eficiente.</w:t>
            </w:r>
          </w:p>
        </w:tc>
      </w:tr>
      <w:tr w:rsidR="00D37795" w:rsidRPr="00EE003F" w:rsidTr="007C6A1E">
        <w:trPr>
          <w:trHeight w:val="60"/>
        </w:trPr>
        <w:tc>
          <w:tcPr>
            <w:tcW w:w="2093" w:type="dxa"/>
            <w:vMerge/>
          </w:tcPr>
          <w:p w:rsidR="00D37795" w:rsidRPr="00EE003F" w:rsidRDefault="00D37795">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7795" w:rsidRPr="00EE003F" w:rsidRDefault="00D37795" w:rsidP="00D37795">
            <w:pPr>
              <w:pStyle w:val="BasicParagraph"/>
              <w:numPr>
                <w:ilvl w:val="0"/>
                <w:numId w:val="20"/>
              </w:numPr>
              <w:tabs>
                <w:tab w:val="left" w:pos="227"/>
              </w:tabs>
              <w:suppressAutoHyphens/>
              <w:ind w:left="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lang w:val="es-PE"/>
              </w:rPr>
              <w:t>Extender la presencia del país en el exterior con oficinas especializadas de promoción comercial para el aprovechamiento de oportunidades para las empresas.</w:t>
            </w:r>
          </w:p>
        </w:tc>
      </w:tr>
      <w:tr w:rsidR="006E3336" w:rsidRPr="00EE003F" w:rsidTr="007C6A1E">
        <w:trPr>
          <w:trHeight w:val="60"/>
        </w:trPr>
        <w:tc>
          <w:tcPr>
            <w:tcW w:w="2093" w:type="dxa"/>
            <w:vMerge/>
          </w:tcPr>
          <w:p w:rsidR="00D336B5" w:rsidRPr="00EE003F" w:rsidRDefault="00D336B5"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36B5" w:rsidRPr="00EE003F" w:rsidRDefault="00D336B5" w:rsidP="00CF35E4">
            <w:pPr>
              <w:pStyle w:val="BasicParagraph"/>
              <w:numPr>
                <w:ilvl w:val="0"/>
                <w:numId w:val="20"/>
              </w:numPr>
              <w:tabs>
                <w:tab w:val="left" w:pos="227"/>
              </w:tabs>
              <w:suppressAutoHyphens/>
              <w:ind w:left="317"/>
              <w:jc w:val="both"/>
              <w:rPr>
                <w:rFonts w:ascii="Arial Narrow" w:hAnsi="Arial Narrow"/>
                <w:color w:val="auto"/>
                <w:sz w:val="22"/>
                <w:szCs w:val="22"/>
              </w:rPr>
            </w:pPr>
            <w:r w:rsidRPr="00EE003F">
              <w:rPr>
                <w:rStyle w:val="cuerpodetextotablas"/>
                <w:rFonts w:ascii="Arial Narrow" w:hAnsi="Arial Narrow"/>
                <w:color w:val="auto"/>
                <w:sz w:val="22"/>
                <w:szCs w:val="22"/>
              </w:rPr>
              <w:t>Desarrollar un sistema eficiente de control y certificación de calidad, de bienes y servicios, acorde a las normas internacionales.</w:t>
            </w:r>
          </w:p>
        </w:tc>
      </w:tr>
      <w:tr w:rsidR="006E3336" w:rsidRPr="00EE003F" w:rsidTr="007C6A1E">
        <w:trPr>
          <w:trHeight w:val="707"/>
        </w:trPr>
        <w:tc>
          <w:tcPr>
            <w:tcW w:w="2093" w:type="dxa"/>
            <w:vMerge w:val="restart"/>
          </w:tcPr>
          <w:p w:rsidR="00D336B5" w:rsidRPr="00EE003F" w:rsidRDefault="00D336B5" w:rsidP="00CF35E4">
            <w:pPr>
              <w:pStyle w:val="BasicParagraph"/>
              <w:numPr>
                <w:ilvl w:val="0"/>
                <w:numId w:val="35"/>
              </w:numPr>
              <w:suppressAutoHyphens/>
              <w:spacing w:before="113"/>
              <w:ind w:left="142" w:hanging="142"/>
              <w:rPr>
                <w:rFonts w:ascii="Arial Narrow" w:hAnsi="Arial Narrow"/>
                <w:color w:val="auto"/>
                <w:sz w:val="22"/>
                <w:szCs w:val="22"/>
              </w:rPr>
            </w:pPr>
            <w:r w:rsidRPr="00EE003F">
              <w:rPr>
                <w:rStyle w:val="negritatablas"/>
                <w:rFonts w:ascii="Arial Narrow" w:hAnsi="Arial Narrow"/>
                <w:color w:val="auto"/>
                <w:sz w:val="22"/>
                <w:szCs w:val="22"/>
              </w:rPr>
              <w:t>Fortalecer competencias técnicas y de gestión  que incrementen la competitividad del capital humano en los ámbitos público y privado</w:t>
            </w:r>
          </w:p>
        </w:tc>
        <w:tc>
          <w:tcPr>
            <w:tcW w:w="6804" w:type="dxa"/>
          </w:tcPr>
          <w:p w:rsidR="00D336B5" w:rsidRPr="00EE003F" w:rsidRDefault="00D336B5" w:rsidP="00CF35E4">
            <w:pPr>
              <w:pStyle w:val="BasicParagraph"/>
              <w:numPr>
                <w:ilvl w:val="0"/>
                <w:numId w:val="21"/>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Diseñar e implementar un esquema de educación técnico-productiva</w:t>
            </w:r>
            <w:r w:rsidR="009D1FD8" w:rsidRPr="00EE003F">
              <w:rPr>
                <w:rStyle w:val="cuerpodetextotablas"/>
                <w:rFonts w:ascii="Arial Narrow" w:hAnsi="Arial Narrow"/>
                <w:color w:val="auto"/>
                <w:sz w:val="22"/>
                <w:szCs w:val="22"/>
              </w:rPr>
              <w:t xml:space="preserve"> y superior tecnológica</w:t>
            </w:r>
            <w:r w:rsidRPr="00EE003F">
              <w:rPr>
                <w:rStyle w:val="cuerpodetextotablas"/>
                <w:rFonts w:ascii="Arial Narrow" w:hAnsi="Arial Narrow"/>
                <w:color w:val="auto"/>
                <w:sz w:val="22"/>
                <w:szCs w:val="22"/>
              </w:rPr>
              <w:t xml:space="preserve"> acorde a las necesidades de la industria.</w:t>
            </w:r>
          </w:p>
        </w:tc>
      </w:tr>
      <w:tr w:rsidR="006E3336" w:rsidRPr="00EE003F" w:rsidTr="007C6A1E">
        <w:trPr>
          <w:trHeight w:val="60"/>
        </w:trPr>
        <w:tc>
          <w:tcPr>
            <w:tcW w:w="2093" w:type="dxa"/>
            <w:vMerge/>
          </w:tcPr>
          <w:p w:rsidR="00D336B5" w:rsidRPr="00EE003F" w:rsidRDefault="00D336B5"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36B5" w:rsidRPr="00EE003F" w:rsidRDefault="00D336B5" w:rsidP="00631573">
            <w:pPr>
              <w:pStyle w:val="BasicParagraph"/>
              <w:numPr>
                <w:ilvl w:val="0"/>
                <w:numId w:val="21"/>
              </w:numPr>
              <w:tabs>
                <w:tab w:val="left" w:pos="227"/>
              </w:tabs>
              <w:suppressAutoHyphens/>
              <w:ind w:left="317" w:hanging="317"/>
              <w:jc w:val="both"/>
              <w:rPr>
                <w:rFonts w:ascii="Arial Narrow" w:hAnsi="Arial Narrow"/>
                <w:color w:val="auto"/>
                <w:sz w:val="22"/>
                <w:szCs w:val="22"/>
              </w:rPr>
            </w:pPr>
            <w:r w:rsidRPr="00EE003F">
              <w:rPr>
                <w:rStyle w:val="cuerpodetextotablas"/>
                <w:rFonts w:ascii="Arial Narrow" w:hAnsi="Arial Narrow"/>
                <w:color w:val="auto"/>
                <w:sz w:val="22"/>
                <w:szCs w:val="22"/>
              </w:rPr>
              <w:t>Impulsar el desarrollo de una cultura emprendedora con altas capacidades de gestión.</w:t>
            </w:r>
          </w:p>
        </w:tc>
      </w:tr>
      <w:tr w:rsidR="006E3336" w:rsidRPr="00EE003F" w:rsidTr="007C6A1E">
        <w:trPr>
          <w:trHeight w:val="60"/>
        </w:trPr>
        <w:tc>
          <w:tcPr>
            <w:tcW w:w="2093" w:type="dxa"/>
            <w:vMerge/>
          </w:tcPr>
          <w:p w:rsidR="00D336B5" w:rsidRPr="00EE003F" w:rsidRDefault="00D336B5"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36B5" w:rsidRPr="00EE003F" w:rsidRDefault="00D336B5" w:rsidP="00631573">
            <w:pPr>
              <w:pStyle w:val="BasicParagraph"/>
              <w:numPr>
                <w:ilvl w:val="0"/>
                <w:numId w:val="21"/>
              </w:numPr>
              <w:tabs>
                <w:tab w:val="left" w:pos="227"/>
              </w:tabs>
              <w:suppressAutoHyphens/>
              <w:ind w:left="317" w:hanging="317"/>
              <w:jc w:val="both"/>
              <w:rPr>
                <w:rFonts w:ascii="Arial Narrow" w:hAnsi="Arial Narrow"/>
                <w:color w:val="auto"/>
                <w:sz w:val="22"/>
                <w:szCs w:val="22"/>
              </w:rPr>
            </w:pPr>
            <w:r w:rsidRPr="00EE003F">
              <w:rPr>
                <w:rStyle w:val="cuerpodetextotablas"/>
                <w:rFonts w:ascii="Arial Narrow" w:hAnsi="Arial Narrow"/>
                <w:color w:val="auto"/>
                <w:sz w:val="22"/>
                <w:szCs w:val="22"/>
              </w:rPr>
              <w:t>Promover capacitación especializada en actividades de transferencia tecnológica e innovación.</w:t>
            </w:r>
          </w:p>
        </w:tc>
      </w:tr>
      <w:tr w:rsidR="006E3336" w:rsidRPr="00EE003F" w:rsidTr="007C6A1E">
        <w:trPr>
          <w:trHeight w:val="60"/>
        </w:trPr>
        <w:tc>
          <w:tcPr>
            <w:tcW w:w="2093" w:type="dxa"/>
            <w:vMerge/>
          </w:tcPr>
          <w:p w:rsidR="00D336B5" w:rsidRPr="00EE003F" w:rsidRDefault="00D336B5"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36B5" w:rsidRPr="00EE003F" w:rsidRDefault="00D336B5" w:rsidP="00631573">
            <w:pPr>
              <w:pStyle w:val="BasicParagraph"/>
              <w:numPr>
                <w:ilvl w:val="0"/>
                <w:numId w:val="21"/>
              </w:numPr>
              <w:tabs>
                <w:tab w:val="left" w:pos="227"/>
              </w:tabs>
              <w:suppressAutoHyphens/>
              <w:ind w:left="317" w:hanging="317"/>
              <w:jc w:val="both"/>
              <w:rPr>
                <w:rFonts w:ascii="Arial Narrow" w:hAnsi="Arial Narrow"/>
                <w:color w:val="auto"/>
                <w:sz w:val="22"/>
                <w:szCs w:val="22"/>
              </w:rPr>
            </w:pPr>
            <w:r w:rsidRPr="00EE003F">
              <w:rPr>
                <w:rStyle w:val="cuerpodetextotablas"/>
                <w:rFonts w:ascii="Arial Narrow" w:hAnsi="Arial Narrow"/>
                <w:color w:val="auto"/>
                <w:sz w:val="22"/>
                <w:szCs w:val="22"/>
              </w:rPr>
              <w:t>Fomentar el uso de herramientas de planificación estratégica y prospectiva en los ámbitos privado y público.</w:t>
            </w:r>
          </w:p>
        </w:tc>
      </w:tr>
      <w:tr w:rsidR="006E3336" w:rsidRPr="00EE003F" w:rsidTr="007C6A1E">
        <w:trPr>
          <w:trHeight w:val="60"/>
        </w:trPr>
        <w:tc>
          <w:tcPr>
            <w:tcW w:w="2093" w:type="dxa"/>
            <w:vMerge w:val="restart"/>
          </w:tcPr>
          <w:p w:rsidR="00D336B5" w:rsidRPr="00EE003F" w:rsidRDefault="00D336B5" w:rsidP="00CF35E4">
            <w:pPr>
              <w:pStyle w:val="BasicParagraph"/>
              <w:numPr>
                <w:ilvl w:val="0"/>
                <w:numId w:val="35"/>
              </w:numPr>
              <w:suppressAutoHyphens/>
              <w:spacing w:before="113"/>
              <w:ind w:left="142" w:hanging="142"/>
              <w:rPr>
                <w:rFonts w:ascii="Arial Narrow" w:hAnsi="Arial Narrow"/>
                <w:color w:val="auto"/>
                <w:sz w:val="22"/>
                <w:szCs w:val="22"/>
              </w:rPr>
            </w:pPr>
            <w:r w:rsidRPr="00EE003F">
              <w:rPr>
                <w:rStyle w:val="negritatablas"/>
                <w:rFonts w:ascii="Arial Narrow" w:hAnsi="Arial Narrow"/>
                <w:color w:val="auto"/>
                <w:sz w:val="22"/>
                <w:szCs w:val="22"/>
              </w:rPr>
              <w:t>Generar incentivos y condiciones  laborales que incrementen el acceso a un empleo formal</w:t>
            </w:r>
          </w:p>
        </w:tc>
        <w:tc>
          <w:tcPr>
            <w:tcW w:w="6804" w:type="dxa"/>
          </w:tcPr>
          <w:p w:rsidR="00D336B5" w:rsidRPr="00EE003F" w:rsidRDefault="00D336B5" w:rsidP="00CF35E4">
            <w:pPr>
              <w:pStyle w:val="BasicParagraph"/>
              <w:numPr>
                <w:ilvl w:val="0"/>
                <w:numId w:val="22"/>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Formular políticas nacionales y estrategias que promuevan y garanticen la creación de empleos de calidad y que respondan a las condiciones del mercado.</w:t>
            </w:r>
          </w:p>
        </w:tc>
      </w:tr>
      <w:tr w:rsidR="006E3336" w:rsidRPr="00EE003F" w:rsidTr="007C6A1E">
        <w:trPr>
          <w:trHeight w:val="60"/>
        </w:trPr>
        <w:tc>
          <w:tcPr>
            <w:tcW w:w="2093" w:type="dxa"/>
            <w:vMerge/>
          </w:tcPr>
          <w:p w:rsidR="00D336B5" w:rsidRPr="00EE003F" w:rsidRDefault="00D336B5"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36B5" w:rsidRPr="00EE003F" w:rsidRDefault="00D336B5" w:rsidP="00631573">
            <w:pPr>
              <w:pStyle w:val="BasicParagraph"/>
              <w:numPr>
                <w:ilvl w:val="0"/>
                <w:numId w:val="22"/>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 xml:space="preserve">Coordinar el incremento progresivo del salario mínimo acorde con las mejoras en la productividad </w:t>
            </w:r>
            <w:r w:rsidR="00164665" w:rsidRPr="00EE003F">
              <w:rPr>
                <w:rStyle w:val="cuerpodetextotablas"/>
                <w:rFonts w:ascii="Arial Narrow" w:hAnsi="Arial Narrow"/>
                <w:color w:val="auto"/>
                <w:sz w:val="22"/>
                <w:szCs w:val="22"/>
              </w:rPr>
              <w:t>laboral</w:t>
            </w:r>
            <w:r w:rsidRPr="00EE003F">
              <w:rPr>
                <w:rStyle w:val="cuerpodetextotablas"/>
                <w:rFonts w:ascii="Arial Narrow" w:hAnsi="Arial Narrow"/>
                <w:color w:val="auto"/>
                <w:sz w:val="22"/>
                <w:szCs w:val="22"/>
              </w:rPr>
              <w:t>.</w:t>
            </w:r>
          </w:p>
        </w:tc>
      </w:tr>
      <w:tr w:rsidR="006E3336" w:rsidRPr="00EE003F" w:rsidTr="007C6A1E">
        <w:trPr>
          <w:trHeight w:val="60"/>
        </w:trPr>
        <w:tc>
          <w:tcPr>
            <w:tcW w:w="2093" w:type="dxa"/>
            <w:vMerge/>
          </w:tcPr>
          <w:p w:rsidR="00D336B5" w:rsidRPr="00EE003F" w:rsidRDefault="00D336B5"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36B5" w:rsidRPr="00EE003F" w:rsidRDefault="00D336B5" w:rsidP="00631573">
            <w:pPr>
              <w:pStyle w:val="BasicParagraph"/>
              <w:numPr>
                <w:ilvl w:val="0"/>
                <w:numId w:val="22"/>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 xml:space="preserve">Diseñar e implementar </w:t>
            </w:r>
            <w:r w:rsidR="00E1217C" w:rsidRPr="00EE003F">
              <w:rPr>
                <w:rStyle w:val="cuerpodetextotablas"/>
                <w:rFonts w:ascii="Arial Narrow" w:hAnsi="Arial Narrow"/>
                <w:color w:val="auto"/>
                <w:sz w:val="22"/>
                <w:szCs w:val="22"/>
              </w:rPr>
              <w:t>medidas laborales</w:t>
            </w:r>
            <w:r w:rsidRPr="00EE003F">
              <w:rPr>
                <w:rStyle w:val="cuerpodetextotablas"/>
                <w:rFonts w:ascii="Arial Narrow" w:hAnsi="Arial Narrow"/>
                <w:color w:val="auto"/>
                <w:sz w:val="22"/>
                <w:szCs w:val="22"/>
              </w:rPr>
              <w:t xml:space="preserve"> </w:t>
            </w:r>
            <w:r w:rsidR="00C755FE" w:rsidRPr="00EE003F">
              <w:rPr>
                <w:rStyle w:val="cuerpodetextotablas"/>
                <w:rFonts w:ascii="Arial Narrow" w:hAnsi="Arial Narrow"/>
                <w:color w:val="auto"/>
                <w:sz w:val="22"/>
                <w:szCs w:val="22"/>
              </w:rPr>
              <w:t>adecuadas</w:t>
            </w:r>
            <w:r w:rsidRPr="00EE003F">
              <w:rPr>
                <w:rStyle w:val="cuerpodetextotablas"/>
                <w:rFonts w:ascii="Arial Narrow" w:hAnsi="Arial Narrow"/>
                <w:color w:val="auto"/>
                <w:sz w:val="22"/>
                <w:szCs w:val="22"/>
              </w:rPr>
              <w:t xml:space="preserve"> que incentiven el empleo en las empresas de menor tamaño (MYPE).</w:t>
            </w:r>
            <w:r w:rsidR="0001607D" w:rsidRPr="00EE003F">
              <w:rPr>
                <w:rStyle w:val="cuerpodetextotablas"/>
                <w:rFonts w:ascii="Arial Narrow" w:hAnsi="Arial Narrow"/>
                <w:color w:val="auto"/>
                <w:sz w:val="22"/>
                <w:szCs w:val="22"/>
              </w:rPr>
              <w:t xml:space="preserve"> </w:t>
            </w:r>
          </w:p>
        </w:tc>
      </w:tr>
      <w:tr w:rsidR="006E3336" w:rsidRPr="00EE003F" w:rsidTr="007C6A1E">
        <w:trPr>
          <w:trHeight w:val="60"/>
        </w:trPr>
        <w:tc>
          <w:tcPr>
            <w:tcW w:w="2093" w:type="dxa"/>
            <w:vMerge/>
          </w:tcPr>
          <w:p w:rsidR="00D336B5" w:rsidRPr="00EE003F" w:rsidRDefault="00D336B5"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36B5" w:rsidRPr="00EE003F" w:rsidRDefault="00D336B5" w:rsidP="00631573">
            <w:pPr>
              <w:pStyle w:val="BasicParagraph"/>
              <w:numPr>
                <w:ilvl w:val="0"/>
                <w:numId w:val="22"/>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Fortalecer y simplificar los procesos del sistema de inspección del trabajo a fin de hacer eficiente el control de la informalidad laboral.</w:t>
            </w:r>
          </w:p>
        </w:tc>
      </w:tr>
      <w:tr w:rsidR="006E3336" w:rsidRPr="00EE003F" w:rsidTr="007C6A1E">
        <w:trPr>
          <w:trHeight w:val="60"/>
        </w:trPr>
        <w:tc>
          <w:tcPr>
            <w:tcW w:w="2093" w:type="dxa"/>
            <w:vMerge/>
          </w:tcPr>
          <w:p w:rsidR="00D336B5" w:rsidRPr="00EE003F" w:rsidRDefault="00D336B5"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D336B5" w:rsidRPr="00EE003F" w:rsidRDefault="00D336B5" w:rsidP="00631573">
            <w:pPr>
              <w:pStyle w:val="BasicParagraph"/>
              <w:numPr>
                <w:ilvl w:val="0"/>
                <w:numId w:val="22"/>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Potenciar el uso de instrumentos de disuasión ante el incumplimiento de la normatividad laboral de seguridad, salud en el trabajo y de seguridad social</w:t>
            </w:r>
            <w:r w:rsidR="004C6F68" w:rsidRPr="00EE003F">
              <w:rPr>
                <w:rStyle w:val="cuerpodetextotablas"/>
                <w:rFonts w:ascii="Arial Narrow" w:hAnsi="Arial Narrow"/>
                <w:color w:val="auto"/>
                <w:sz w:val="22"/>
                <w:szCs w:val="22"/>
              </w:rPr>
              <w:t>, a fin de consolidar una cultura de cumplimiento de los derechos laborales</w:t>
            </w:r>
            <w:r w:rsidRPr="00EE003F">
              <w:rPr>
                <w:rStyle w:val="cuerpodetextotablas"/>
                <w:rFonts w:ascii="Arial Narrow" w:hAnsi="Arial Narrow"/>
                <w:color w:val="auto"/>
                <w:sz w:val="22"/>
                <w:szCs w:val="22"/>
              </w:rPr>
              <w:t>.</w:t>
            </w:r>
          </w:p>
        </w:tc>
      </w:tr>
      <w:tr w:rsidR="00C0679A" w:rsidRPr="00EE003F" w:rsidTr="007C6A1E">
        <w:trPr>
          <w:trHeight w:val="60"/>
        </w:trPr>
        <w:tc>
          <w:tcPr>
            <w:tcW w:w="2093" w:type="dxa"/>
            <w:vMerge w:val="restart"/>
          </w:tcPr>
          <w:p w:rsidR="00C0679A" w:rsidRPr="00EE003F" w:rsidRDefault="00C0679A" w:rsidP="00CF35E4">
            <w:pPr>
              <w:pStyle w:val="BasicParagraph"/>
              <w:numPr>
                <w:ilvl w:val="0"/>
                <w:numId w:val="35"/>
              </w:numPr>
              <w:suppressAutoHyphens/>
              <w:spacing w:before="113"/>
              <w:ind w:left="142" w:hanging="142"/>
              <w:rPr>
                <w:rFonts w:ascii="Arial Narrow" w:hAnsi="Arial Narrow"/>
                <w:color w:val="auto"/>
                <w:sz w:val="22"/>
                <w:szCs w:val="22"/>
              </w:rPr>
            </w:pPr>
            <w:r w:rsidRPr="00EE003F">
              <w:rPr>
                <w:rStyle w:val="negritatablas"/>
                <w:rFonts w:ascii="Arial Narrow" w:hAnsi="Arial Narrow"/>
                <w:color w:val="auto"/>
                <w:sz w:val="22"/>
                <w:szCs w:val="22"/>
              </w:rPr>
              <w:t>Mantener la estabilidad macroeconómica que permita el crecimiento económico sostenido</w:t>
            </w:r>
          </w:p>
        </w:tc>
        <w:tc>
          <w:tcPr>
            <w:tcW w:w="6804" w:type="dxa"/>
          </w:tcPr>
          <w:p w:rsidR="00C0679A" w:rsidRPr="00EE003F" w:rsidRDefault="00C0679A" w:rsidP="00CF35E4">
            <w:pPr>
              <w:pStyle w:val="BasicParagraph"/>
              <w:numPr>
                <w:ilvl w:val="0"/>
                <w:numId w:val="23"/>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Diseñar e implementar mecanismos que permitan llevar adelante políticas fiscales y monetarias capaces de enfrentar los choques externos e internos.</w:t>
            </w:r>
          </w:p>
        </w:tc>
      </w:tr>
      <w:tr w:rsidR="00C0679A" w:rsidRPr="00EE003F" w:rsidTr="007C6A1E">
        <w:trPr>
          <w:trHeight w:val="60"/>
        </w:trPr>
        <w:tc>
          <w:tcPr>
            <w:tcW w:w="2093" w:type="dxa"/>
            <w:vMerge/>
          </w:tcPr>
          <w:p w:rsidR="00C0679A" w:rsidRPr="00EE003F" w:rsidRDefault="00C0679A"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631573">
            <w:pPr>
              <w:pStyle w:val="BasicParagraph"/>
              <w:numPr>
                <w:ilvl w:val="0"/>
                <w:numId w:val="23"/>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 xml:space="preserve">Mejorar la calidad de la inversión pública en los tres niveles de gobierno, con énfasis en infraestructura básica productiva. </w:t>
            </w:r>
          </w:p>
        </w:tc>
      </w:tr>
      <w:tr w:rsidR="00C0679A" w:rsidRPr="00EE003F" w:rsidTr="007C6A1E">
        <w:trPr>
          <w:trHeight w:val="60"/>
        </w:trPr>
        <w:tc>
          <w:tcPr>
            <w:tcW w:w="2093" w:type="dxa"/>
            <w:vMerge/>
          </w:tcPr>
          <w:p w:rsidR="00C0679A" w:rsidRPr="00EE003F" w:rsidRDefault="00C0679A"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631573">
            <w:pPr>
              <w:pStyle w:val="BasicParagraph"/>
              <w:numPr>
                <w:ilvl w:val="0"/>
                <w:numId w:val="23"/>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Ampliar la base tributaria y fortalecer el sistema de recaudación de impuestos para reducir la evasión y elusión.</w:t>
            </w:r>
          </w:p>
        </w:tc>
      </w:tr>
      <w:tr w:rsidR="00C0679A" w:rsidRPr="00EE003F" w:rsidTr="007C6A1E">
        <w:trPr>
          <w:trHeight w:val="60"/>
        </w:trPr>
        <w:tc>
          <w:tcPr>
            <w:tcW w:w="2093" w:type="dxa"/>
            <w:vMerge/>
          </w:tcPr>
          <w:p w:rsidR="00C0679A" w:rsidRPr="00EE003F" w:rsidRDefault="00C0679A"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631573">
            <w:pPr>
              <w:pStyle w:val="BasicParagraph"/>
              <w:numPr>
                <w:ilvl w:val="0"/>
                <w:numId w:val="23"/>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Coordinar adecuadamente todos los instrumentos de política monetaria, fiscal y regulatoria para reducir las distorsiones.</w:t>
            </w:r>
          </w:p>
        </w:tc>
      </w:tr>
      <w:tr w:rsidR="00C0679A" w:rsidRPr="00EE003F" w:rsidTr="007C6A1E">
        <w:trPr>
          <w:trHeight w:val="60"/>
        </w:trPr>
        <w:tc>
          <w:tcPr>
            <w:tcW w:w="2093" w:type="dxa"/>
            <w:vMerge/>
          </w:tcPr>
          <w:p w:rsidR="00C0679A" w:rsidRPr="00EE003F" w:rsidRDefault="00C0679A" w:rsidP="00C0679A">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7C6A1E">
            <w:pPr>
              <w:pStyle w:val="BasicParagraph"/>
              <w:numPr>
                <w:ilvl w:val="0"/>
                <w:numId w:val="23"/>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color w:val="auto"/>
                <w:sz w:val="22"/>
                <w:szCs w:val="22"/>
              </w:rPr>
              <w:t>Mantener un manejo responsable y sostenible de las finanzas públicas</w:t>
            </w:r>
            <w:r w:rsidR="00115CB4" w:rsidRPr="00EE003F">
              <w:rPr>
                <w:rStyle w:val="cuerpodetextotablas"/>
                <w:color w:val="auto"/>
                <w:sz w:val="22"/>
                <w:szCs w:val="22"/>
              </w:rPr>
              <w:t xml:space="preserve"> de acuerdo a las </w:t>
            </w:r>
            <w:r w:rsidR="007D25E5" w:rsidRPr="00EE003F">
              <w:rPr>
                <w:rStyle w:val="cuerpodetextotablas"/>
                <w:color w:val="auto"/>
                <w:sz w:val="22"/>
                <w:szCs w:val="22"/>
              </w:rPr>
              <w:t>r</w:t>
            </w:r>
            <w:r w:rsidR="00A648BE" w:rsidRPr="00EE003F">
              <w:rPr>
                <w:rStyle w:val="cuerpodetextotablas"/>
                <w:color w:val="auto"/>
                <w:sz w:val="22"/>
                <w:szCs w:val="22"/>
              </w:rPr>
              <w:t xml:space="preserve">eglas </w:t>
            </w:r>
            <w:r w:rsidR="007D25E5" w:rsidRPr="00EE003F">
              <w:rPr>
                <w:rStyle w:val="cuerpodetextotablas"/>
                <w:color w:val="auto"/>
                <w:sz w:val="22"/>
                <w:szCs w:val="22"/>
              </w:rPr>
              <w:t>macrofiscales</w:t>
            </w:r>
            <w:r w:rsidR="00A648BE" w:rsidRPr="00EE003F">
              <w:rPr>
                <w:rStyle w:val="cuerpodetextotablas"/>
                <w:color w:val="auto"/>
                <w:sz w:val="22"/>
                <w:szCs w:val="22"/>
              </w:rPr>
              <w:t xml:space="preserve"> para el Sector Público No Financiero.</w:t>
            </w:r>
          </w:p>
        </w:tc>
      </w:tr>
      <w:tr w:rsidR="00C0679A" w:rsidRPr="00EE003F" w:rsidTr="007C6A1E">
        <w:trPr>
          <w:trHeight w:val="60"/>
        </w:trPr>
        <w:tc>
          <w:tcPr>
            <w:tcW w:w="2093" w:type="dxa"/>
            <w:vMerge/>
          </w:tcPr>
          <w:p w:rsidR="00C0679A" w:rsidRPr="00EE003F" w:rsidRDefault="00C0679A" w:rsidP="00C0679A">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C0679A">
            <w:pPr>
              <w:pStyle w:val="BasicParagraph"/>
              <w:numPr>
                <w:ilvl w:val="0"/>
                <w:numId w:val="23"/>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color w:val="auto"/>
                <w:sz w:val="22"/>
                <w:szCs w:val="22"/>
              </w:rPr>
              <w:t>Reducir la prociclicidad de la deuda externa directa e indirecta como fuente de vulnerabilidad.</w:t>
            </w:r>
          </w:p>
        </w:tc>
      </w:tr>
      <w:tr w:rsidR="00C0679A" w:rsidRPr="00EE003F" w:rsidTr="007C6A1E">
        <w:trPr>
          <w:trHeight w:val="60"/>
        </w:trPr>
        <w:tc>
          <w:tcPr>
            <w:tcW w:w="2093" w:type="dxa"/>
            <w:vMerge/>
          </w:tcPr>
          <w:p w:rsidR="00C0679A" w:rsidRPr="00EE003F" w:rsidRDefault="00C0679A" w:rsidP="00C0679A">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C0679A">
            <w:pPr>
              <w:pStyle w:val="BasicParagraph"/>
              <w:numPr>
                <w:ilvl w:val="0"/>
                <w:numId w:val="23"/>
              </w:numPr>
              <w:tabs>
                <w:tab w:val="left" w:pos="227"/>
              </w:tabs>
              <w:suppressAutoHyphens/>
              <w:ind w:left="317" w:hanging="317"/>
              <w:jc w:val="both"/>
              <w:rPr>
                <w:rStyle w:val="cuerpodetextotablas"/>
                <w:rFonts w:ascii="Arial Narrow" w:hAnsi="Arial Narrow"/>
                <w:color w:val="auto"/>
                <w:sz w:val="22"/>
                <w:szCs w:val="22"/>
              </w:rPr>
            </w:pPr>
            <w:r w:rsidRPr="00EE003F">
              <w:rPr>
                <w:rStyle w:val="cuerpodetextotablas"/>
                <w:color w:val="auto"/>
                <w:sz w:val="22"/>
                <w:szCs w:val="22"/>
              </w:rPr>
              <w:t>Aumentar el nivel de desdolarización financiera para reducir la vulnerabilidad a crisis cambiarias y crisis crediticias.</w:t>
            </w:r>
          </w:p>
        </w:tc>
      </w:tr>
      <w:tr w:rsidR="00C0679A" w:rsidRPr="00EE003F" w:rsidTr="007C6A1E">
        <w:trPr>
          <w:trHeight w:val="60"/>
        </w:trPr>
        <w:tc>
          <w:tcPr>
            <w:tcW w:w="2093" w:type="dxa"/>
            <w:vMerge w:val="restart"/>
          </w:tcPr>
          <w:p w:rsidR="00C0679A" w:rsidRPr="00EE003F" w:rsidRDefault="00CF35E4" w:rsidP="00CF35E4">
            <w:pPr>
              <w:pStyle w:val="BasicParagraph"/>
              <w:numPr>
                <w:ilvl w:val="0"/>
                <w:numId w:val="35"/>
              </w:numPr>
              <w:suppressAutoHyphens/>
              <w:spacing w:before="113"/>
              <w:ind w:left="142" w:hanging="142"/>
              <w:rPr>
                <w:rFonts w:ascii="Arial Narrow" w:hAnsi="Arial Narrow"/>
                <w:color w:val="auto"/>
                <w:sz w:val="22"/>
                <w:szCs w:val="22"/>
              </w:rPr>
            </w:pPr>
            <w:r w:rsidRPr="00EE003F">
              <w:rPr>
                <w:rStyle w:val="negritatablas"/>
                <w:rFonts w:ascii="Arial Narrow" w:hAnsi="Arial Narrow"/>
                <w:color w:val="auto"/>
                <w:sz w:val="22"/>
                <w:szCs w:val="22"/>
              </w:rPr>
              <w:t xml:space="preserve"> </w:t>
            </w:r>
            <w:r w:rsidR="00C0679A" w:rsidRPr="00EE003F">
              <w:rPr>
                <w:rStyle w:val="negritatablas"/>
                <w:rFonts w:ascii="Arial Narrow" w:hAnsi="Arial Narrow"/>
                <w:color w:val="auto"/>
                <w:sz w:val="22"/>
                <w:szCs w:val="22"/>
              </w:rPr>
              <w:t>Desarrollar los mercados financieros promoviendo la inclusión financiera</w:t>
            </w:r>
          </w:p>
        </w:tc>
        <w:tc>
          <w:tcPr>
            <w:tcW w:w="6804" w:type="dxa"/>
          </w:tcPr>
          <w:p w:rsidR="00C0679A" w:rsidRPr="00EE003F" w:rsidRDefault="00C0679A" w:rsidP="00CF35E4">
            <w:pPr>
              <w:pStyle w:val="BasicParagraph"/>
              <w:numPr>
                <w:ilvl w:val="0"/>
                <w:numId w:val="24"/>
              </w:numPr>
              <w:tabs>
                <w:tab w:val="left" w:pos="317"/>
              </w:tabs>
              <w:suppressAutoHyphens/>
              <w:ind w:left="317" w:hanging="317"/>
              <w:jc w:val="both"/>
              <w:rPr>
                <w:rFonts w:ascii="Arial Narrow" w:hAnsi="Arial Narrow"/>
                <w:color w:val="auto"/>
                <w:sz w:val="22"/>
                <w:szCs w:val="22"/>
              </w:rPr>
            </w:pPr>
            <w:r w:rsidRPr="00EE003F">
              <w:rPr>
                <w:rStyle w:val="cuerpodetextotablas"/>
                <w:rFonts w:ascii="Arial Narrow" w:hAnsi="Arial Narrow"/>
                <w:color w:val="auto"/>
                <w:sz w:val="22"/>
                <w:szCs w:val="22"/>
              </w:rPr>
              <w:t>Profundizar el desarrollo del mercado financiero en moneda nacional, completando mercados e instrumentos financieros.</w:t>
            </w:r>
          </w:p>
        </w:tc>
      </w:tr>
      <w:tr w:rsidR="00C0679A" w:rsidRPr="00EE003F" w:rsidTr="007C6A1E">
        <w:trPr>
          <w:trHeight w:val="60"/>
        </w:trPr>
        <w:tc>
          <w:tcPr>
            <w:tcW w:w="2093" w:type="dxa"/>
            <w:vMerge/>
          </w:tcPr>
          <w:p w:rsidR="00C0679A" w:rsidRPr="00EE003F" w:rsidRDefault="00C0679A"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631573">
            <w:pPr>
              <w:pStyle w:val="BasicParagraph"/>
              <w:numPr>
                <w:ilvl w:val="0"/>
                <w:numId w:val="24"/>
              </w:numPr>
              <w:tabs>
                <w:tab w:val="left" w:pos="317"/>
              </w:tabs>
              <w:suppressAutoHyphens/>
              <w:ind w:left="317" w:hanging="317"/>
              <w:jc w:val="both"/>
              <w:rPr>
                <w:rFonts w:ascii="Arial Narrow" w:hAnsi="Arial Narrow"/>
                <w:color w:val="auto"/>
                <w:sz w:val="22"/>
                <w:szCs w:val="22"/>
              </w:rPr>
            </w:pPr>
            <w:r w:rsidRPr="00EE003F">
              <w:rPr>
                <w:rStyle w:val="cuerpodetextotablas"/>
                <w:rFonts w:ascii="Arial Narrow" w:hAnsi="Arial Narrow"/>
                <w:color w:val="auto"/>
                <w:sz w:val="22"/>
                <w:szCs w:val="22"/>
              </w:rPr>
              <w:t>Promover estructuras de inversión y financiamiento que incentiven el ingreso al mercado de capitales tanto de familias, como de empresas medianas y pequeñas.</w:t>
            </w:r>
          </w:p>
        </w:tc>
      </w:tr>
      <w:tr w:rsidR="00C0679A" w:rsidRPr="00EE003F" w:rsidTr="007C6A1E">
        <w:trPr>
          <w:trHeight w:val="60"/>
        </w:trPr>
        <w:tc>
          <w:tcPr>
            <w:tcW w:w="2093" w:type="dxa"/>
            <w:vMerge/>
          </w:tcPr>
          <w:p w:rsidR="00C0679A" w:rsidRPr="00EE003F" w:rsidRDefault="00C0679A" w:rsidP="00C0679A">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C0679A">
            <w:pPr>
              <w:pStyle w:val="BasicParagraph"/>
              <w:numPr>
                <w:ilvl w:val="0"/>
                <w:numId w:val="24"/>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Fortalecer la transparencia y competitividad de las operaciones en el mercado de valores de deuda pública bajo estándares internacionales.</w:t>
            </w:r>
          </w:p>
        </w:tc>
      </w:tr>
      <w:tr w:rsidR="00C0679A" w:rsidRPr="00EE003F" w:rsidTr="007C6A1E">
        <w:trPr>
          <w:trHeight w:val="60"/>
        </w:trPr>
        <w:tc>
          <w:tcPr>
            <w:tcW w:w="2093" w:type="dxa"/>
            <w:vMerge/>
          </w:tcPr>
          <w:p w:rsidR="00C0679A" w:rsidRPr="00EE003F" w:rsidRDefault="00C0679A"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631573">
            <w:pPr>
              <w:pStyle w:val="BasicParagraph"/>
              <w:numPr>
                <w:ilvl w:val="0"/>
                <w:numId w:val="24"/>
              </w:numPr>
              <w:tabs>
                <w:tab w:val="left" w:pos="317"/>
              </w:tabs>
              <w:suppressAutoHyphens/>
              <w:ind w:left="317" w:hanging="317"/>
              <w:jc w:val="both"/>
              <w:rPr>
                <w:rFonts w:ascii="Arial Narrow" w:hAnsi="Arial Narrow"/>
                <w:color w:val="auto"/>
                <w:sz w:val="22"/>
                <w:szCs w:val="22"/>
              </w:rPr>
            </w:pPr>
            <w:r w:rsidRPr="00EE003F">
              <w:rPr>
                <w:rStyle w:val="cuerpodetextotablas"/>
                <w:rFonts w:ascii="Arial Narrow" w:hAnsi="Arial Narrow"/>
                <w:color w:val="auto"/>
                <w:sz w:val="22"/>
                <w:szCs w:val="22"/>
              </w:rPr>
              <w:t xml:space="preserve">Promover en el sistema financiero, el diseño de productos y servicios financieros adecuados a la demanda. </w:t>
            </w:r>
          </w:p>
        </w:tc>
      </w:tr>
      <w:tr w:rsidR="00C0679A" w:rsidRPr="00EE003F" w:rsidTr="007C6A1E">
        <w:trPr>
          <w:trHeight w:val="60"/>
        </w:trPr>
        <w:tc>
          <w:tcPr>
            <w:tcW w:w="2093" w:type="dxa"/>
            <w:vMerge/>
          </w:tcPr>
          <w:p w:rsidR="00C0679A" w:rsidRPr="00EE003F" w:rsidRDefault="00C0679A"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631573">
            <w:pPr>
              <w:pStyle w:val="BasicParagraph"/>
              <w:numPr>
                <w:ilvl w:val="0"/>
                <w:numId w:val="24"/>
              </w:numPr>
              <w:tabs>
                <w:tab w:val="left" w:pos="317"/>
              </w:tabs>
              <w:suppressAutoHyphens/>
              <w:ind w:left="317" w:hanging="317"/>
              <w:jc w:val="both"/>
              <w:rPr>
                <w:rFonts w:ascii="Arial Narrow" w:hAnsi="Arial Narrow"/>
                <w:color w:val="auto"/>
                <w:sz w:val="22"/>
                <w:szCs w:val="22"/>
              </w:rPr>
            </w:pPr>
            <w:r w:rsidRPr="00EE003F">
              <w:rPr>
                <w:rStyle w:val="cuerpodetextotablas"/>
                <w:rFonts w:ascii="Arial Narrow" w:hAnsi="Arial Narrow"/>
                <w:color w:val="auto"/>
                <w:sz w:val="22"/>
                <w:szCs w:val="22"/>
              </w:rPr>
              <w:t>Fomentar el desarrollo del mercado de seguros y sistema privado de pensiones, impulsando nuevos productos y una mayor competencia, de manera tal que se amplíe la cobertura del mercado de seguros y el sistema privado de pensiones.</w:t>
            </w:r>
          </w:p>
        </w:tc>
      </w:tr>
      <w:tr w:rsidR="00C0679A" w:rsidRPr="00EE003F" w:rsidTr="007C6A1E">
        <w:trPr>
          <w:trHeight w:val="60"/>
        </w:trPr>
        <w:tc>
          <w:tcPr>
            <w:tcW w:w="2093" w:type="dxa"/>
            <w:vMerge/>
          </w:tcPr>
          <w:p w:rsidR="00C0679A" w:rsidRPr="00EE003F" w:rsidRDefault="00C0679A"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631573">
            <w:pPr>
              <w:pStyle w:val="BasicParagraph"/>
              <w:numPr>
                <w:ilvl w:val="0"/>
                <w:numId w:val="24"/>
              </w:numPr>
              <w:tabs>
                <w:tab w:val="left" w:pos="317"/>
              </w:tabs>
              <w:suppressAutoHyphens/>
              <w:ind w:left="317" w:hanging="317"/>
              <w:jc w:val="both"/>
              <w:rPr>
                <w:rFonts w:ascii="Arial Narrow" w:hAnsi="Arial Narrow"/>
                <w:color w:val="auto"/>
                <w:sz w:val="22"/>
                <w:szCs w:val="22"/>
              </w:rPr>
            </w:pPr>
            <w:r w:rsidRPr="00EE003F">
              <w:rPr>
                <w:rStyle w:val="cuerpodetextotablas"/>
                <w:rFonts w:ascii="Arial Narrow" w:hAnsi="Arial Narrow"/>
                <w:color w:val="auto"/>
                <w:sz w:val="22"/>
                <w:szCs w:val="22"/>
              </w:rPr>
              <w:t>Promover en los mercados financieros, el acceso y uso a productos y servicios financieros de calidad, mejorando las competencias y capacidades financieras de todos los segmentos de la población.</w:t>
            </w:r>
            <w:r w:rsidRPr="00EE003F" w:rsidDel="00DD2BE8">
              <w:rPr>
                <w:rStyle w:val="cuerpodetextotablas"/>
                <w:rFonts w:ascii="Arial Narrow" w:hAnsi="Arial Narrow"/>
                <w:color w:val="auto"/>
                <w:sz w:val="22"/>
                <w:szCs w:val="22"/>
              </w:rPr>
              <w:t xml:space="preserve"> </w:t>
            </w:r>
          </w:p>
        </w:tc>
      </w:tr>
      <w:tr w:rsidR="00C0679A" w:rsidRPr="00EE003F" w:rsidTr="007C6A1E">
        <w:trPr>
          <w:trHeight w:val="60"/>
        </w:trPr>
        <w:tc>
          <w:tcPr>
            <w:tcW w:w="2093" w:type="dxa"/>
            <w:vMerge w:val="restart"/>
          </w:tcPr>
          <w:p w:rsidR="00C0679A" w:rsidRPr="00EE003F" w:rsidRDefault="00C0679A" w:rsidP="00CF35E4">
            <w:pPr>
              <w:pStyle w:val="BasicParagraph"/>
              <w:numPr>
                <w:ilvl w:val="0"/>
                <w:numId w:val="35"/>
              </w:numPr>
              <w:suppressAutoHyphens/>
              <w:spacing w:before="113"/>
              <w:ind w:left="142" w:hanging="142"/>
              <w:rPr>
                <w:rFonts w:ascii="Arial Narrow" w:hAnsi="Arial Narrow"/>
                <w:color w:val="auto"/>
                <w:sz w:val="22"/>
                <w:szCs w:val="22"/>
              </w:rPr>
            </w:pPr>
            <w:r w:rsidRPr="00EE003F">
              <w:rPr>
                <w:rStyle w:val="negritatablas"/>
                <w:rFonts w:ascii="Arial Narrow" w:hAnsi="Arial Narrow"/>
                <w:color w:val="auto"/>
                <w:sz w:val="22"/>
                <w:szCs w:val="22"/>
              </w:rPr>
              <w:t>Mejorar el ambiente de negocios y desarrollo productivo</w:t>
            </w:r>
          </w:p>
        </w:tc>
        <w:tc>
          <w:tcPr>
            <w:tcW w:w="6804" w:type="dxa"/>
          </w:tcPr>
          <w:p w:rsidR="00C0679A" w:rsidRPr="00EE003F" w:rsidRDefault="00C0679A" w:rsidP="00CF35E4">
            <w:pPr>
              <w:pStyle w:val="BasicParagraph"/>
              <w:numPr>
                <w:ilvl w:val="0"/>
                <w:numId w:val="25"/>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Promover la simplificación de los procesos, procedimientos y la eficiencia en las regulaciones.</w:t>
            </w:r>
          </w:p>
        </w:tc>
      </w:tr>
      <w:tr w:rsidR="00C0679A" w:rsidRPr="00EE003F" w:rsidTr="007C6A1E">
        <w:trPr>
          <w:trHeight w:val="60"/>
        </w:trPr>
        <w:tc>
          <w:tcPr>
            <w:tcW w:w="2093" w:type="dxa"/>
            <w:vMerge/>
          </w:tcPr>
          <w:p w:rsidR="00C0679A" w:rsidRPr="00EE003F" w:rsidRDefault="00C0679A"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631573">
            <w:pPr>
              <w:pStyle w:val="BasicParagraph"/>
              <w:numPr>
                <w:ilvl w:val="0"/>
                <w:numId w:val="25"/>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Fomentar las inversiones público-privadas que permitan el incremento de la eficiencia en la provisión de bienes y servicios.</w:t>
            </w:r>
          </w:p>
        </w:tc>
      </w:tr>
      <w:tr w:rsidR="00785680" w:rsidRPr="00EE003F" w:rsidTr="007C6A1E">
        <w:trPr>
          <w:trHeight w:val="60"/>
        </w:trPr>
        <w:tc>
          <w:tcPr>
            <w:tcW w:w="2093" w:type="dxa"/>
            <w:vMerge/>
          </w:tcPr>
          <w:p w:rsidR="00785680" w:rsidRPr="00EE003F" w:rsidRDefault="00785680">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785680" w:rsidRPr="00EE003F" w:rsidRDefault="00785680">
            <w:pPr>
              <w:pStyle w:val="BasicParagraph"/>
              <w:numPr>
                <w:ilvl w:val="0"/>
                <w:numId w:val="25"/>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 xml:space="preserve">Fortalecer la infraestructura de la calidad en certificaciones de sistemas de gestión, normas técnicas y laboratorios acreditados. </w:t>
            </w:r>
          </w:p>
        </w:tc>
      </w:tr>
      <w:tr w:rsidR="00785680" w:rsidRPr="00EE003F" w:rsidTr="007C6A1E">
        <w:trPr>
          <w:trHeight w:val="60"/>
        </w:trPr>
        <w:tc>
          <w:tcPr>
            <w:tcW w:w="2093" w:type="dxa"/>
            <w:vMerge/>
          </w:tcPr>
          <w:p w:rsidR="00785680" w:rsidRPr="00EE003F" w:rsidRDefault="00785680">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785680" w:rsidRPr="00EE003F" w:rsidRDefault="00785680">
            <w:pPr>
              <w:pStyle w:val="BasicParagraph"/>
              <w:numPr>
                <w:ilvl w:val="0"/>
                <w:numId w:val="25"/>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 xml:space="preserve">Establecer una estratégica pública articulada para el apoyo al desarrollo productivo empresarial con enfoque de competitividad y desarrollo territorial. </w:t>
            </w:r>
          </w:p>
        </w:tc>
      </w:tr>
      <w:tr w:rsidR="00C0679A" w:rsidRPr="00EE003F" w:rsidTr="007C6A1E">
        <w:trPr>
          <w:trHeight w:val="60"/>
        </w:trPr>
        <w:tc>
          <w:tcPr>
            <w:tcW w:w="2093" w:type="dxa"/>
            <w:vMerge/>
          </w:tcPr>
          <w:p w:rsidR="00C0679A" w:rsidRPr="00EE003F" w:rsidRDefault="00C0679A" w:rsidP="00631573">
            <w:pPr>
              <w:pStyle w:val="NoParagraphStyle"/>
              <w:numPr>
                <w:ilvl w:val="0"/>
                <w:numId w:val="35"/>
              </w:numPr>
              <w:spacing w:line="240" w:lineRule="auto"/>
              <w:ind w:left="142" w:hanging="142"/>
              <w:textAlignment w:val="auto"/>
              <w:rPr>
                <w:rFonts w:ascii="Arial Narrow" w:hAnsi="Arial Narrow"/>
                <w:color w:val="auto"/>
                <w:sz w:val="22"/>
                <w:szCs w:val="22"/>
                <w:lang w:val="es-PE"/>
              </w:rPr>
            </w:pPr>
          </w:p>
        </w:tc>
        <w:tc>
          <w:tcPr>
            <w:tcW w:w="6804" w:type="dxa"/>
          </w:tcPr>
          <w:p w:rsidR="00C0679A" w:rsidRPr="00EE003F" w:rsidRDefault="00C0679A" w:rsidP="00631573">
            <w:pPr>
              <w:pStyle w:val="BasicParagraph"/>
              <w:numPr>
                <w:ilvl w:val="0"/>
                <w:numId w:val="25"/>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Fortalecer el funcionamiento de los organismos reguladores y supervisores.</w:t>
            </w:r>
          </w:p>
        </w:tc>
      </w:tr>
      <w:tr w:rsidR="00C0679A" w:rsidRPr="00EE003F" w:rsidTr="007C6A1E">
        <w:trPr>
          <w:trHeight w:val="60"/>
        </w:trPr>
        <w:tc>
          <w:tcPr>
            <w:tcW w:w="2093" w:type="dxa"/>
            <w:vMerge w:val="restart"/>
          </w:tcPr>
          <w:p w:rsidR="00C0679A" w:rsidRPr="00EE003F" w:rsidRDefault="00C0679A" w:rsidP="00CF35E4">
            <w:pPr>
              <w:pStyle w:val="BasicParagraph"/>
              <w:numPr>
                <w:ilvl w:val="0"/>
                <w:numId w:val="35"/>
              </w:numPr>
              <w:suppressAutoHyphens/>
              <w:spacing w:before="113"/>
              <w:ind w:left="142" w:hanging="142"/>
              <w:rPr>
                <w:rFonts w:ascii="Arial Narrow" w:hAnsi="Arial Narrow"/>
                <w:color w:val="auto"/>
                <w:sz w:val="22"/>
                <w:szCs w:val="22"/>
              </w:rPr>
            </w:pPr>
            <w:r w:rsidRPr="00EE003F">
              <w:rPr>
                <w:rStyle w:val="negritatablas"/>
                <w:rFonts w:ascii="Arial Narrow" w:hAnsi="Arial Narrow"/>
                <w:color w:val="auto"/>
                <w:sz w:val="22"/>
                <w:szCs w:val="22"/>
              </w:rPr>
              <w:t>Desarrollar un sistema de innovación que potencie la estructura económica hacia actividades intensivas en ciencia y tecnología</w:t>
            </w:r>
          </w:p>
        </w:tc>
        <w:tc>
          <w:tcPr>
            <w:tcW w:w="6804" w:type="dxa"/>
          </w:tcPr>
          <w:p w:rsidR="00C0679A" w:rsidRPr="00EE003F" w:rsidRDefault="00C0679A" w:rsidP="00CF35E4">
            <w:pPr>
              <w:pStyle w:val="BasicParagraph"/>
              <w:numPr>
                <w:ilvl w:val="0"/>
                <w:numId w:val="26"/>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Invertir de manera creciente y sostenida en I+D+i.</w:t>
            </w:r>
          </w:p>
        </w:tc>
      </w:tr>
      <w:tr w:rsidR="00D37795" w:rsidRPr="00EE003F" w:rsidTr="007C6A1E">
        <w:trPr>
          <w:trHeight w:val="60"/>
        </w:trPr>
        <w:tc>
          <w:tcPr>
            <w:tcW w:w="2093" w:type="dxa"/>
            <w:vMerge/>
          </w:tcPr>
          <w:p w:rsidR="00D37795" w:rsidRPr="00EE003F" w:rsidRDefault="00D37795" w:rsidP="00C0679A">
            <w:pPr>
              <w:pStyle w:val="NoParagraphStyle"/>
              <w:spacing w:line="240" w:lineRule="auto"/>
              <w:textAlignment w:val="auto"/>
              <w:rPr>
                <w:rFonts w:ascii="Arial Narrow" w:hAnsi="Arial Narrow"/>
                <w:color w:val="auto"/>
                <w:sz w:val="22"/>
                <w:szCs w:val="22"/>
                <w:lang w:val="es-PE"/>
              </w:rPr>
            </w:pPr>
          </w:p>
        </w:tc>
        <w:tc>
          <w:tcPr>
            <w:tcW w:w="6804" w:type="dxa"/>
          </w:tcPr>
          <w:p w:rsidR="00D37795" w:rsidRPr="00EE003F" w:rsidRDefault="00306B14" w:rsidP="00D37795">
            <w:pPr>
              <w:pStyle w:val="BasicParagraph"/>
              <w:numPr>
                <w:ilvl w:val="0"/>
                <w:numId w:val="26"/>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Aumentar la oferta de investigadores en el país y fomentar el desarrollo de ecosistemas de innovación.</w:t>
            </w:r>
          </w:p>
        </w:tc>
      </w:tr>
      <w:tr w:rsidR="00C0679A" w:rsidRPr="00EE003F" w:rsidTr="007C6A1E">
        <w:trPr>
          <w:trHeight w:val="60"/>
        </w:trPr>
        <w:tc>
          <w:tcPr>
            <w:tcW w:w="2093" w:type="dxa"/>
            <w:vMerge/>
          </w:tcPr>
          <w:p w:rsidR="00C0679A" w:rsidRPr="00EE003F" w:rsidRDefault="00C0679A" w:rsidP="00C0679A">
            <w:pPr>
              <w:pStyle w:val="NoParagraphStyle"/>
              <w:spacing w:line="240" w:lineRule="auto"/>
              <w:textAlignment w:val="auto"/>
              <w:rPr>
                <w:rFonts w:ascii="Arial Narrow" w:hAnsi="Arial Narrow"/>
                <w:color w:val="auto"/>
                <w:sz w:val="22"/>
                <w:szCs w:val="22"/>
                <w:lang w:val="es-PE"/>
              </w:rPr>
            </w:pPr>
          </w:p>
        </w:tc>
        <w:tc>
          <w:tcPr>
            <w:tcW w:w="6804" w:type="dxa"/>
          </w:tcPr>
          <w:p w:rsidR="00C0679A" w:rsidRPr="00EE003F" w:rsidRDefault="00C0679A" w:rsidP="00CF35E4">
            <w:pPr>
              <w:pStyle w:val="BasicParagraph"/>
              <w:numPr>
                <w:ilvl w:val="0"/>
                <w:numId w:val="26"/>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Implementar una estrategia nacional para el desarrollo de la ciencia, tecnología e innovación.</w:t>
            </w:r>
          </w:p>
        </w:tc>
      </w:tr>
      <w:tr w:rsidR="00C0679A" w:rsidRPr="00EE003F" w:rsidTr="007C6A1E">
        <w:trPr>
          <w:trHeight w:val="60"/>
        </w:trPr>
        <w:tc>
          <w:tcPr>
            <w:tcW w:w="2093" w:type="dxa"/>
            <w:vMerge/>
          </w:tcPr>
          <w:p w:rsidR="00C0679A" w:rsidRPr="00EE003F" w:rsidRDefault="00C0679A" w:rsidP="00C0679A">
            <w:pPr>
              <w:pStyle w:val="NoParagraphStyle"/>
              <w:spacing w:line="240" w:lineRule="auto"/>
              <w:textAlignment w:val="auto"/>
              <w:rPr>
                <w:rFonts w:ascii="Arial Narrow" w:hAnsi="Arial Narrow"/>
                <w:color w:val="auto"/>
                <w:sz w:val="22"/>
                <w:szCs w:val="22"/>
                <w:lang w:val="es-PE"/>
              </w:rPr>
            </w:pPr>
          </w:p>
        </w:tc>
        <w:tc>
          <w:tcPr>
            <w:tcW w:w="6804" w:type="dxa"/>
          </w:tcPr>
          <w:p w:rsidR="00C0679A" w:rsidRPr="00EE003F" w:rsidRDefault="00C0679A" w:rsidP="00CF35E4">
            <w:pPr>
              <w:pStyle w:val="BasicParagraph"/>
              <w:numPr>
                <w:ilvl w:val="0"/>
                <w:numId w:val="26"/>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Promover el desarrollo de herramientas que permitan monitorear  y adoptar las tendencias tecnológicas a nivel mundial.</w:t>
            </w:r>
          </w:p>
        </w:tc>
      </w:tr>
      <w:tr w:rsidR="00C0679A" w:rsidRPr="00EE003F" w:rsidTr="007C6A1E">
        <w:trPr>
          <w:trHeight w:val="60"/>
        </w:trPr>
        <w:tc>
          <w:tcPr>
            <w:tcW w:w="2093" w:type="dxa"/>
            <w:vMerge/>
          </w:tcPr>
          <w:p w:rsidR="00C0679A" w:rsidRPr="00EE003F" w:rsidRDefault="00C0679A" w:rsidP="00C0679A">
            <w:pPr>
              <w:pStyle w:val="NoParagraphStyle"/>
              <w:spacing w:line="240" w:lineRule="auto"/>
              <w:textAlignment w:val="auto"/>
              <w:rPr>
                <w:rFonts w:ascii="Arial Narrow" w:hAnsi="Arial Narrow"/>
                <w:color w:val="auto"/>
                <w:sz w:val="22"/>
                <w:szCs w:val="22"/>
                <w:lang w:val="es-PE"/>
              </w:rPr>
            </w:pPr>
          </w:p>
        </w:tc>
        <w:tc>
          <w:tcPr>
            <w:tcW w:w="6804" w:type="dxa"/>
          </w:tcPr>
          <w:p w:rsidR="00C0679A" w:rsidRPr="00EE003F" w:rsidRDefault="00C0679A" w:rsidP="00CF35E4">
            <w:pPr>
              <w:pStyle w:val="BasicParagraph"/>
              <w:numPr>
                <w:ilvl w:val="0"/>
                <w:numId w:val="26"/>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Diseñar e implementar los mecanismos necesarios que dinamicen la creación tecnológica a través de la cooperación gobierno-empresa-universidad.</w:t>
            </w:r>
          </w:p>
        </w:tc>
      </w:tr>
      <w:tr w:rsidR="00C0679A" w:rsidRPr="00EE003F" w:rsidTr="007C6A1E">
        <w:trPr>
          <w:trHeight w:val="60"/>
        </w:trPr>
        <w:tc>
          <w:tcPr>
            <w:tcW w:w="2093" w:type="dxa"/>
            <w:vMerge/>
          </w:tcPr>
          <w:p w:rsidR="00C0679A" w:rsidRPr="00EE003F" w:rsidRDefault="00C0679A" w:rsidP="00C0679A">
            <w:pPr>
              <w:pStyle w:val="NoParagraphStyle"/>
              <w:spacing w:line="240" w:lineRule="auto"/>
              <w:textAlignment w:val="auto"/>
              <w:rPr>
                <w:rFonts w:ascii="Arial Narrow" w:hAnsi="Arial Narrow"/>
                <w:color w:val="auto"/>
                <w:sz w:val="22"/>
                <w:szCs w:val="22"/>
                <w:lang w:val="es-PE"/>
              </w:rPr>
            </w:pPr>
          </w:p>
        </w:tc>
        <w:tc>
          <w:tcPr>
            <w:tcW w:w="6804" w:type="dxa"/>
          </w:tcPr>
          <w:p w:rsidR="00C0679A" w:rsidRPr="00EE003F" w:rsidRDefault="00C0679A" w:rsidP="00C76DAE">
            <w:pPr>
              <w:pStyle w:val="BasicParagraph"/>
              <w:numPr>
                <w:ilvl w:val="0"/>
                <w:numId w:val="26"/>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Promover y potenciar la innovación de procesos, de productos y de gestión en las empresas para incrementar su competitividad.</w:t>
            </w:r>
          </w:p>
        </w:tc>
      </w:tr>
      <w:tr w:rsidR="00C0679A" w:rsidRPr="00EE003F" w:rsidTr="007C6A1E">
        <w:trPr>
          <w:trHeight w:val="60"/>
        </w:trPr>
        <w:tc>
          <w:tcPr>
            <w:tcW w:w="2093" w:type="dxa"/>
            <w:vMerge/>
          </w:tcPr>
          <w:p w:rsidR="00C0679A" w:rsidRPr="00EE003F" w:rsidRDefault="00C0679A" w:rsidP="00C0679A">
            <w:pPr>
              <w:pStyle w:val="NoParagraphStyle"/>
              <w:spacing w:line="240" w:lineRule="auto"/>
              <w:textAlignment w:val="auto"/>
              <w:rPr>
                <w:rFonts w:ascii="Arial Narrow" w:hAnsi="Arial Narrow"/>
                <w:color w:val="auto"/>
                <w:sz w:val="22"/>
                <w:szCs w:val="22"/>
                <w:lang w:val="es-PE"/>
              </w:rPr>
            </w:pPr>
          </w:p>
        </w:tc>
        <w:tc>
          <w:tcPr>
            <w:tcW w:w="6804" w:type="dxa"/>
          </w:tcPr>
          <w:p w:rsidR="00C0679A" w:rsidRPr="00EE003F" w:rsidRDefault="00C0679A" w:rsidP="00C76DAE">
            <w:pPr>
              <w:pStyle w:val="BasicParagraph"/>
              <w:numPr>
                <w:ilvl w:val="0"/>
                <w:numId w:val="26"/>
              </w:numPr>
              <w:tabs>
                <w:tab w:val="left" w:pos="317"/>
              </w:tabs>
              <w:suppressAutoHyphens/>
              <w:ind w:left="317" w:hanging="317"/>
              <w:jc w:val="both"/>
              <w:rPr>
                <w:rStyle w:val="cuerpodetextotablas"/>
                <w:rFonts w:ascii="Arial Narrow" w:hAnsi="Arial Narrow"/>
                <w:color w:val="auto"/>
                <w:sz w:val="22"/>
                <w:szCs w:val="22"/>
              </w:rPr>
            </w:pPr>
            <w:r w:rsidRPr="00EE003F">
              <w:rPr>
                <w:rStyle w:val="cuerpodetextotablas"/>
                <w:rFonts w:ascii="Arial Narrow" w:hAnsi="Arial Narrow"/>
                <w:color w:val="auto"/>
                <w:sz w:val="22"/>
                <w:szCs w:val="22"/>
              </w:rPr>
              <w:t>Promover el desarrollo de la sociedad de la información a través de la masificación de las TIC.</w:t>
            </w:r>
          </w:p>
        </w:tc>
      </w:tr>
    </w:tbl>
    <w:p w:rsidR="00C755FE" w:rsidRPr="00EE003F" w:rsidRDefault="00C755FE" w:rsidP="005B4BF8">
      <w:pPr>
        <w:spacing w:before="120" w:after="0" w:line="240" w:lineRule="auto"/>
        <w:jc w:val="both"/>
        <w:rPr>
          <w:rFonts w:ascii="Arial Narrow" w:hAnsi="Arial Narrow" w:cs="Frutiger LT Std 45 Light"/>
          <w:sz w:val="24"/>
          <w:szCs w:val="24"/>
          <w:lang w:val="es-ES_tradnl"/>
        </w:rPr>
      </w:pPr>
    </w:p>
    <w:p w:rsidR="00D336B5" w:rsidRPr="00EE003F" w:rsidRDefault="00D336B5" w:rsidP="005B4BF8">
      <w:pPr>
        <w:spacing w:before="120" w:after="0" w:line="240" w:lineRule="auto"/>
        <w:jc w:val="both"/>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Las acciones planteadas permitirán llegar al 2021 con una estructura productiva diversificada, con bienes y servicios innovadores e intensivos en el uso de tecnología, capaces de insertarse en cadenas globales de valor y con iguales oportunidades de acceso a un empleo digno.</w:t>
      </w:r>
    </w:p>
    <w:p w:rsidR="00652FBF" w:rsidRPr="00EE003F" w:rsidRDefault="00652FBF">
      <w:pPr>
        <w:rPr>
          <w:rFonts w:ascii="Arial Narrow" w:hAnsi="Arial Narrow" w:cs="RotisSemiSans"/>
          <w:sz w:val="40"/>
          <w:szCs w:val="40"/>
          <w:lang w:val="es-ES_tradnl"/>
        </w:rPr>
      </w:pPr>
      <w:r w:rsidRPr="00EE003F">
        <w:rPr>
          <w:rFonts w:ascii="Arial Narrow" w:hAnsi="Arial Narrow" w:cs="RotisSemiSans"/>
          <w:sz w:val="40"/>
          <w:szCs w:val="40"/>
          <w:lang w:val="es-ES_tradnl"/>
        </w:rPr>
        <w:br w:type="page"/>
      </w:r>
    </w:p>
    <w:p w:rsidR="00D336B5" w:rsidRPr="00EE003F" w:rsidRDefault="00D336B5" w:rsidP="00D336B5">
      <w:pPr>
        <w:suppressAutoHyphens/>
        <w:autoSpaceDE w:val="0"/>
        <w:autoSpaceDN w:val="0"/>
        <w:adjustRightInd w:val="0"/>
        <w:spacing w:before="567" w:after="113" w:line="288" w:lineRule="auto"/>
        <w:ind w:left="397" w:hanging="397"/>
        <w:textAlignment w:val="center"/>
        <w:rPr>
          <w:rFonts w:ascii="Arial Narrow" w:hAnsi="Arial Narrow" w:cs="Frutiger LT Std 45 Light"/>
          <w:sz w:val="20"/>
          <w:szCs w:val="20"/>
          <w:lang w:val="es-ES_tradnl"/>
        </w:rPr>
      </w:pPr>
      <w:r w:rsidRPr="00EE003F">
        <w:rPr>
          <w:rFonts w:ascii="Arial Narrow" w:hAnsi="Arial Narrow" w:cs="RotisSemiSans"/>
          <w:sz w:val="40"/>
          <w:szCs w:val="40"/>
          <w:lang w:val="es-ES_tradnl"/>
        </w:rPr>
        <w:t>Indicadores y metas</w:t>
      </w:r>
    </w:p>
    <w:tbl>
      <w:tblPr>
        <w:tblStyle w:val="Tablaconcuadrcula"/>
        <w:tblW w:w="9629" w:type="dxa"/>
        <w:tblLayout w:type="fixed"/>
        <w:tblLook w:val="0000" w:firstRow="0" w:lastRow="0" w:firstColumn="0" w:lastColumn="0" w:noHBand="0" w:noVBand="0"/>
      </w:tblPr>
      <w:tblGrid>
        <w:gridCol w:w="444"/>
        <w:gridCol w:w="2532"/>
        <w:gridCol w:w="352"/>
        <w:gridCol w:w="2127"/>
        <w:gridCol w:w="1163"/>
        <w:gridCol w:w="1041"/>
        <w:gridCol w:w="1032"/>
        <w:gridCol w:w="938"/>
      </w:tblGrid>
      <w:tr w:rsidR="006E3336" w:rsidRPr="00EE003F" w:rsidTr="007C6A1E">
        <w:trPr>
          <w:trHeight w:val="809"/>
        </w:trPr>
        <w:tc>
          <w:tcPr>
            <w:tcW w:w="9629" w:type="dxa"/>
            <w:gridSpan w:val="8"/>
          </w:tcPr>
          <w:p w:rsidR="00D336B5" w:rsidRPr="00EE003F" w:rsidRDefault="00D336B5" w:rsidP="0096546A">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EJE 4: ECONOMÍA DIVERSIFICADA, COMPETITIVIDAD Y EMPLEO</w:t>
            </w:r>
          </w:p>
          <w:p w:rsidR="00D336B5" w:rsidRPr="00EE003F" w:rsidRDefault="00D336B5" w:rsidP="0096546A">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 xml:space="preserve">OBJETIVO NACIONAL: </w:t>
            </w:r>
          </w:p>
          <w:p w:rsidR="00D336B5" w:rsidRPr="00EE003F" w:rsidRDefault="00D336B5" w:rsidP="0096546A">
            <w:pPr>
              <w:pStyle w:val="BasicParagraph"/>
              <w:suppressAutoHyphens/>
              <w:ind w:left="170"/>
              <w:rPr>
                <w:rFonts w:ascii="Arial Narrow" w:hAnsi="Arial Narrow"/>
                <w:color w:val="auto"/>
              </w:rPr>
            </w:pPr>
            <w:r w:rsidRPr="00EE003F">
              <w:rPr>
                <w:rStyle w:val="negritatablas"/>
                <w:rFonts w:ascii="Arial Narrow" w:hAnsi="Arial Narrow"/>
                <w:color w:val="auto"/>
              </w:rPr>
              <w:t>Desarrollar una economía diversificada y sofisticada con crecimiento sostenible, en una estructura descentralizada, generadora de empleo digno.</w:t>
            </w:r>
          </w:p>
        </w:tc>
      </w:tr>
      <w:tr w:rsidR="006E3336" w:rsidRPr="00EE003F" w:rsidTr="00BD478F">
        <w:trPr>
          <w:trHeight w:val="60"/>
        </w:trPr>
        <w:tc>
          <w:tcPr>
            <w:tcW w:w="5455" w:type="dxa"/>
            <w:gridSpan w:val="4"/>
          </w:tcPr>
          <w:p w:rsidR="00D336B5" w:rsidRPr="00EE003F" w:rsidRDefault="00D336B5" w:rsidP="0096546A">
            <w:pPr>
              <w:pStyle w:val="BasicParagraph"/>
              <w:suppressAutoHyphens/>
              <w:rPr>
                <w:rFonts w:ascii="Arial Narrow" w:hAnsi="Arial Narrow"/>
                <w:color w:val="auto"/>
              </w:rPr>
            </w:pPr>
            <w:r w:rsidRPr="00EE003F">
              <w:rPr>
                <w:rStyle w:val="negritatablas"/>
                <w:rFonts w:ascii="Arial Narrow" w:hAnsi="Arial Narrow"/>
                <w:color w:val="auto"/>
              </w:rPr>
              <w:t>Indicador líder</w:t>
            </w:r>
          </w:p>
        </w:tc>
        <w:tc>
          <w:tcPr>
            <w:tcW w:w="1163" w:type="dxa"/>
          </w:tcPr>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1041" w:type="dxa"/>
          </w:tcPr>
          <w:p w:rsidR="00D336B5" w:rsidRPr="00EE003F" w:rsidRDefault="00D336B5" w:rsidP="0096546A">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w:t>
            </w:r>
          </w:p>
          <w:p w:rsidR="00D336B5" w:rsidRPr="00EE003F" w:rsidRDefault="00D336B5" w:rsidP="0006589F">
            <w:pPr>
              <w:pStyle w:val="BasicParagraph"/>
              <w:suppressAutoHyphens/>
              <w:jc w:val="center"/>
              <w:rPr>
                <w:rFonts w:ascii="Arial Narrow" w:hAnsi="Arial Narrow"/>
                <w:color w:val="auto"/>
              </w:rPr>
            </w:pPr>
            <w:r w:rsidRPr="00EE003F">
              <w:rPr>
                <w:rStyle w:val="negritatablas"/>
                <w:rFonts w:ascii="Arial Narrow" w:hAnsi="Arial Narrow"/>
                <w:color w:val="auto"/>
              </w:rPr>
              <w:t>(201</w:t>
            </w:r>
            <w:r w:rsidR="0006589F" w:rsidRPr="00EE003F">
              <w:rPr>
                <w:rStyle w:val="negritatablas"/>
                <w:rFonts w:ascii="Arial Narrow" w:hAnsi="Arial Narrow"/>
                <w:color w:val="auto"/>
              </w:rPr>
              <w:t>5</w:t>
            </w:r>
            <w:r w:rsidRPr="00EE003F">
              <w:rPr>
                <w:rStyle w:val="negritatablas"/>
                <w:rFonts w:ascii="Arial Narrow" w:hAnsi="Arial Narrow"/>
                <w:color w:val="auto"/>
              </w:rPr>
              <w:t>)</w:t>
            </w:r>
          </w:p>
        </w:tc>
        <w:tc>
          <w:tcPr>
            <w:tcW w:w="1032" w:type="dxa"/>
          </w:tcPr>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938" w:type="dxa"/>
          </w:tcPr>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BD478F">
        <w:trPr>
          <w:trHeight w:val="60"/>
        </w:trPr>
        <w:tc>
          <w:tcPr>
            <w:tcW w:w="5455" w:type="dxa"/>
            <w:gridSpan w:val="4"/>
          </w:tcPr>
          <w:p w:rsidR="00D336B5" w:rsidRPr="00EE003F" w:rsidRDefault="00D336B5">
            <w:pPr>
              <w:pStyle w:val="BasicParagraph"/>
              <w:suppressAutoHyphens/>
              <w:rPr>
                <w:rFonts w:ascii="Arial Narrow" w:hAnsi="Arial Narrow"/>
                <w:color w:val="auto"/>
              </w:rPr>
            </w:pPr>
            <w:r w:rsidRPr="00EE003F">
              <w:rPr>
                <w:rStyle w:val="cuerpodetextotablas"/>
                <w:rFonts w:ascii="Arial Narrow" w:hAnsi="Arial Narrow"/>
                <w:color w:val="auto"/>
              </w:rPr>
              <w:t xml:space="preserve">PBI per cápita (Paridad de poder de compra, dólares constantes del </w:t>
            </w:r>
            <w:r w:rsidR="000374A1" w:rsidRPr="00EE003F">
              <w:rPr>
                <w:rStyle w:val="cuerpodetextotablas"/>
                <w:rFonts w:ascii="Arial Narrow" w:hAnsi="Arial Narrow"/>
                <w:color w:val="auto"/>
              </w:rPr>
              <w:t>2011</w:t>
            </w:r>
            <w:r w:rsidRPr="00EE003F">
              <w:rPr>
                <w:rStyle w:val="cuerpodetextotablas"/>
                <w:rFonts w:ascii="Arial Narrow" w:hAnsi="Arial Narrow"/>
                <w:color w:val="auto"/>
              </w:rPr>
              <w:t>)</w:t>
            </w:r>
          </w:p>
        </w:tc>
        <w:tc>
          <w:tcPr>
            <w:tcW w:w="1163"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Banco Mundial MEF CEPLAN</w:t>
            </w:r>
          </w:p>
        </w:tc>
        <w:tc>
          <w:tcPr>
            <w:tcW w:w="1041" w:type="dxa"/>
          </w:tcPr>
          <w:p w:rsidR="00D336B5" w:rsidRPr="00EE003F" w:rsidRDefault="00D4119A" w:rsidP="009C0BEC">
            <w:pPr>
              <w:pStyle w:val="BasicParagraph"/>
              <w:suppressAutoHyphens/>
              <w:jc w:val="center"/>
              <w:rPr>
                <w:rFonts w:ascii="Arial Narrow" w:hAnsi="Arial Narrow"/>
                <w:color w:val="auto"/>
              </w:rPr>
            </w:pPr>
            <w:r w:rsidRPr="00EE003F">
              <w:rPr>
                <w:rStyle w:val="cuerpodetextotablas"/>
                <w:rFonts w:ascii="Arial Narrow" w:hAnsi="Arial Narrow"/>
                <w:color w:val="auto"/>
              </w:rPr>
              <w:t>116</w:t>
            </w:r>
            <w:r w:rsidR="009C0BEC" w:rsidRPr="00EE003F">
              <w:rPr>
                <w:rStyle w:val="cuerpodetextotablas"/>
                <w:rFonts w:ascii="Arial Narrow" w:hAnsi="Arial Narrow"/>
                <w:color w:val="auto"/>
              </w:rPr>
              <w:t>56</w:t>
            </w:r>
          </w:p>
        </w:tc>
        <w:tc>
          <w:tcPr>
            <w:tcW w:w="1032" w:type="dxa"/>
          </w:tcPr>
          <w:p w:rsidR="00D336B5" w:rsidRPr="00EE003F" w:rsidRDefault="00D4119A" w:rsidP="009C0BEC">
            <w:pPr>
              <w:pStyle w:val="BasicParagraph"/>
              <w:suppressAutoHyphens/>
              <w:jc w:val="center"/>
              <w:rPr>
                <w:rFonts w:ascii="Arial Narrow" w:hAnsi="Arial Narrow"/>
                <w:color w:val="auto"/>
              </w:rPr>
            </w:pPr>
            <w:r w:rsidRPr="00EE003F">
              <w:rPr>
                <w:rStyle w:val="cuerpodetextotablas"/>
                <w:rFonts w:ascii="Arial Narrow" w:hAnsi="Arial Narrow"/>
                <w:color w:val="auto"/>
              </w:rPr>
              <w:t>119</w:t>
            </w:r>
            <w:r w:rsidR="009C0BEC" w:rsidRPr="00EE003F">
              <w:rPr>
                <w:rStyle w:val="cuerpodetextotablas"/>
                <w:rFonts w:ascii="Arial Narrow" w:hAnsi="Arial Narrow"/>
                <w:color w:val="auto"/>
              </w:rPr>
              <w:t>50</w:t>
            </w:r>
          </w:p>
        </w:tc>
        <w:tc>
          <w:tcPr>
            <w:tcW w:w="938" w:type="dxa"/>
          </w:tcPr>
          <w:p w:rsidR="00D336B5" w:rsidRPr="00EE003F" w:rsidRDefault="00D4119A" w:rsidP="009C0BEC">
            <w:pPr>
              <w:pStyle w:val="BasicParagraph"/>
              <w:suppressAutoHyphens/>
              <w:jc w:val="center"/>
              <w:rPr>
                <w:rFonts w:ascii="Arial Narrow" w:hAnsi="Arial Narrow"/>
                <w:color w:val="auto"/>
              </w:rPr>
            </w:pPr>
            <w:r w:rsidRPr="00EE003F">
              <w:rPr>
                <w:rStyle w:val="cuerpodetextotablas"/>
                <w:rFonts w:ascii="Arial Narrow" w:hAnsi="Arial Narrow"/>
                <w:color w:val="auto"/>
              </w:rPr>
              <w:t>141</w:t>
            </w:r>
            <w:r w:rsidR="009C0BEC" w:rsidRPr="00EE003F">
              <w:rPr>
                <w:rStyle w:val="cuerpodetextotablas"/>
                <w:rFonts w:ascii="Arial Narrow" w:hAnsi="Arial Narrow"/>
                <w:color w:val="auto"/>
              </w:rPr>
              <w:t>26</w:t>
            </w:r>
          </w:p>
        </w:tc>
      </w:tr>
      <w:tr w:rsidR="006E3336" w:rsidRPr="00EE003F" w:rsidTr="00BD478F">
        <w:trPr>
          <w:trHeight w:val="60"/>
        </w:trPr>
        <w:tc>
          <w:tcPr>
            <w:tcW w:w="2976" w:type="dxa"/>
            <w:gridSpan w:val="2"/>
            <w:vMerge w:val="restart"/>
          </w:tcPr>
          <w:p w:rsidR="00D336B5" w:rsidRPr="00EE003F" w:rsidRDefault="00D336B5" w:rsidP="0096546A">
            <w:pPr>
              <w:pStyle w:val="BasicParagraph"/>
              <w:suppressAutoHyphens/>
              <w:rPr>
                <w:rFonts w:ascii="Arial Narrow" w:hAnsi="Arial Narrow"/>
                <w:color w:val="auto"/>
              </w:rPr>
            </w:pPr>
            <w:r w:rsidRPr="00EE003F">
              <w:rPr>
                <w:rStyle w:val="negritatablas"/>
                <w:rFonts w:ascii="Arial Narrow" w:hAnsi="Arial Narrow"/>
                <w:color w:val="auto"/>
              </w:rPr>
              <w:t>Objetivos Específicos</w:t>
            </w:r>
          </w:p>
        </w:tc>
        <w:tc>
          <w:tcPr>
            <w:tcW w:w="6653" w:type="dxa"/>
            <w:gridSpan w:val="6"/>
          </w:tcPr>
          <w:p w:rsidR="00D336B5" w:rsidRPr="00EE003F" w:rsidRDefault="00D336B5" w:rsidP="0096546A">
            <w:pPr>
              <w:pStyle w:val="BasicParagraph"/>
              <w:suppressAutoHyphens/>
              <w:rPr>
                <w:rFonts w:ascii="Arial Narrow" w:hAnsi="Arial Narrow"/>
                <w:color w:val="auto"/>
              </w:rPr>
            </w:pPr>
            <w:r w:rsidRPr="00EE003F">
              <w:rPr>
                <w:rStyle w:val="negritatablas"/>
                <w:rFonts w:ascii="Arial Narrow" w:hAnsi="Arial Narrow"/>
                <w:color w:val="auto"/>
              </w:rPr>
              <w:t>Indicadores y metas</w:t>
            </w:r>
          </w:p>
        </w:tc>
      </w:tr>
      <w:tr w:rsidR="006E3336" w:rsidRPr="00EE003F" w:rsidTr="00BD478F">
        <w:trPr>
          <w:trHeight w:val="60"/>
        </w:trPr>
        <w:tc>
          <w:tcPr>
            <w:tcW w:w="2976" w:type="dxa"/>
            <w:gridSpan w:val="2"/>
            <w:vMerge/>
          </w:tcPr>
          <w:p w:rsidR="00D336B5" w:rsidRPr="00EE003F" w:rsidRDefault="00D336B5" w:rsidP="0096546A">
            <w:pPr>
              <w:pStyle w:val="NoParagraphStyle"/>
              <w:spacing w:line="240" w:lineRule="auto"/>
              <w:textAlignment w:val="auto"/>
              <w:rPr>
                <w:rFonts w:ascii="Arial Narrow" w:hAnsi="Arial Narrow"/>
                <w:color w:val="auto"/>
                <w:lang w:val="es-PE"/>
              </w:rPr>
            </w:pPr>
          </w:p>
        </w:tc>
        <w:tc>
          <w:tcPr>
            <w:tcW w:w="352" w:type="dxa"/>
          </w:tcPr>
          <w:p w:rsidR="00D336B5" w:rsidRPr="00EE003F" w:rsidRDefault="00D336B5" w:rsidP="0096546A">
            <w:pPr>
              <w:pStyle w:val="BasicParagraph"/>
              <w:suppressAutoHyphens/>
              <w:rPr>
                <w:rFonts w:ascii="Arial Narrow" w:hAnsi="Arial Narrow"/>
                <w:color w:val="auto"/>
              </w:rPr>
            </w:pPr>
            <w:r w:rsidRPr="00EE003F">
              <w:rPr>
                <w:rStyle w:val="negritatablas"/>
                <w:rFonts w:ascii="Arial Narrow" w:hAnsi="Arial Narrow"/>
                <w:color w:val="auto"/>
              </w:rPr>
              <w:t>N.°</w:t>
            </w:r>
          </w:p>
        </w:tc>
        <w:tc>
          <w:tcPr>
            <w:tcW w:w="2127" w:type="dxa"/>
          </w:tcPr>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Indicadores</w:t>
            </w:r>
          </w:p>
        </w:tc>
        <w:tc>
          <w:tcPr>
            <w:tcW w:w="1163" w:type="dxa"/>
          </w:tcPr>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1041" w:type="dxa"/>
          </w:tcPr>
          <w:p w:rsidR="00D336B5" w:rsidRPr="00EE003F" w:rsidRDefault="00D336B5" w:rsidP="0096546A">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 xml:space="preserve">de base </w:t>
            </w:r>
          </w:p>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(2014)</w:t>
            </w:r>
          </w:p>
        </w:tc>
        <w:tc>
          <w:tcPr>
            <w:tcW w:w="1032" w:type="dxa"/>
          </w:tcPr>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938" w:type="dxa"/>
          </w:tcPr>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BD478F">
        <w:trPr>
          <w:trHeight w:val="956"/>
        </w:trPr>
        <w:tc>
          <w:tcPr>
            <w:tcW w:w="444" w:type="dxa"/>
            <w:vMerge w:val="restart"/>
          </w:tcPr>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1</w:t>
            </w:r>
          </w:p>
        </w:tc>
        <w:tc>
          <w:tcPr>
            <w:tcW w:w="2532" w:type="dxa"/>
            <w:vMerge w:val="restart"/>
          </w:tcPr>
          <w:p w:rsidR="00D336B5" w:rsidRPr="00EE003F" w:rsidRDefault="00D336B5"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Tener una estructura productiva diversificada y pro-exportadora que participe en cadenas de valor global</w:t>
            </w:r>
          </w:p>
        </w:tc>
        <w:tc>
          <w:tcPr>
            <w:tcW w:w="352"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1</w:t>
            </w:r>
          </w:p>
        </w:tc>
        <w:tc>
          <w:tcPr>
            <w:tcW w:w="2127" w:type="dxa"/>
          </w:tcPr>
          <w:p w:rsidR="00D336B5" w:rsidRPr="00EE003F" w:rsidRDefault="00D336B5"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complejidad económica</w:t>
            </w:r>
          </w:p>
        </w:tc>
        <w:tc>
          <w:tcPr>
            <w:tcW w:w="1163"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MIT</w:t>
            </w:r>
          </w:p>
        </w:tc>
        <w:tc>
          <w:tcPr>
            <w:tcW w:w="1041" w:type="dxa"/>
          </w:tcPr>
          <w:p w:rsidR="00D336B5" w:rsidRPr="00EE003F" w:rsidRDefault="00D336B5"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-0,</w:t>
            </w:r>
            <w:r w:rsidR="00D90F07" w:rsidRPr="00EE003F">
              <w:rPr>
                <w:rStyle w:val="cuerpodetextotablas"/>
                <w:rFonts w:ascii="Arial Narrow" w:hAnsi="Arial Narrow"/>
                <w:color w:val="auto"/>
              </w:rPr>
              <w:t>43</w:t>
            </w:r>
          </w:p>
          <w:p w:rsidR="00D336B5" w:rsidRPr="00EE003F" w:rsidRDefault="00D336B5">
            <w:pPr>
              <w:pStyle w:val="BasicParagraph"/>
              <w:suppressAutoHyphens/>
              <w:jc w:val="center"/>
              <w:rPr>
                <w:rFonts w:ascii="Arial Narrow" w:hAnsi="Arial Narrow"/>
                <w:color w:val="auto"/>
              </w:rPr>
            </w:pPr>
            <w:r w:rsidRPr="00EE003F">
              <w:rPr>
                <w:rStyle w:val="cuerpodetextotablas"/>
                <w:rFonts w:ascii="Arial Narrow" w:hAnsi="Arial Narrow"/>
                <w:color w:val="auto"/>
              </w:rPr>
              <w:t>(</w:t>
            </w:r>
            <w:r w:rsidR="00BD478F" w:rsidRPr="00EE003F">
              <w:rPr>
                <w:rStyle w:val="cuerpodetextotablas"/>
                <w:rFonts w:ascii="Arial Narrow" w:hAnsi="Arial Narrow"/>
                <w:color w:val="auto"/>
              </w:rPr>
              <w:t>201</w:t>
            </w:r>
            <w:r w:rsidR="00D90F07" w:rsidRPr="00EE003F">
              <w:rPr>
                <w:rStyle w:val="cuerpodetextotablas"/>
                <w:rFonts w:ascii="Arial Narrow" w:hAnsi="Arial Narrow"/>
                <w:color w:val="auto"/>
              </w:rPr>
              <w:t>4</w:t>
            </w:r>
            <w:r w:rsidRPr="00EE003F">
              <w:rPr>
                <w:rStyle w:val="cuerpodetextotablas"/>
                <w:rFonts w:ascii="Arial Narrow" w:hAnsi="Arial Narrow"/>
                <w:color w:val="auto"/>
              </w:rPr>
              <w:t>)</w:t>
            </w:r>
          </w:p>
        </w:tc>
        <w:tc>
          <w:tcPr>
            <w:tcW w:w="1032" w:type="dxa"/>
          </w:tcPr>
          <w:p w:rsidR="00D336B5" w:rsidRPr="00EE003F" w:rsidRDefault="00D336B5">
            <w:pPr>
              <w:pStyle w:val="BasicParagraph"/>
              <w:suppressAutoHyphens/>
              <w:jc w:val="center"/>
              <w:rPr>
                <w:rFonts w:ascii="Arial Narrow" w:hAnsi="Arial Narrow"/>
                <w:color w:val="auto"/>
              </w:rPr>
            </w:pPr>
            <w:r w:rsidRPr="00EE003F">
              <w:rPr>
                <w:rStyle w:val="cuerpodetextotablas"/>
                <w:rFonts w:ascii="Arial Narrow" w:hAnsi="Arial Narrow"/>
                <w:color w:val="auto"/>
              </w:rPr>
              <w:t>-0,</w:t>
            </w:r>
            <w:r w:rsidR="00BD478F" w:rsidRPr="00EE003F">
              <w:rPr>
                <w:rStyle w:val="cuerpodetextotablas"/>
                <w:rFonts w:ascii="Arial Narrow" w:hAnsi="Arial Narrow"/>
                <w:color w:val="auto"/>
              </w:rPr>
              <w:t>2</w:t>
            </w:r>
            <w:r w:rsidR="00A12C3F" w:rsidRPr="00EE003F">
              <w:rPr>
                <w:rStyle w:val="cuerpodetextotablas"/>
                <w:rFonts w:ascii="Arial Narrow" w:hAnsi="Arial Narrow"/>
                <w:color w:val="auto"/>
              </w:rPr>
              <w:t>7</w:t>
            </w:r>
          </w:p>
        </w:tc>
        <w:tc>
          <w:tcPr>
            <w:tcW w:w="938" w:type="dxa"/>
          </w:tcPr>
          <w:p w:rsidR="00D336B5" w:rsidRPr="00EE003F" w:rsidRDefault="00BD478F">
            <w:pPr>
              <w:pStyle w:val="BasicParagraph"/>
              <w:suppressAutoHyphens/>
              <w:jc w:val="center"/>
              <w:rPr>
                <w:rFonts w:ascii="Arial Narrow" w:hAnsi="Arial Narrow"/>
                <w:color w:val="auto"/>
              </w:rPr>
            </w:pPr>
            <w:r w:rsidRPr="00EE003F">
              <w:rPr>
                <w:rStyle w:val="cuerpodetextotablas"/>
                <w:rFonts w:ascii="Arial Narrow" w:hAnsi="Arial Narrow"/>
                <w:color w:val="auto"/>
              </w:rPr>
              <w:t>-</w:t>
            </w:r>
            <w:r w:rsidR="00D336B5" w:rsidRPr="00EE003F">
              <w:rPr>
                <w:rStyle w:val="cuerpodetextotablas"/>
                <w:rFonts w:ascii="Arial Narrow" w:hAnsi="Arial Narrow"/>
                <w:color w:val="auto"/>
              </w:rPr>
              <w:t>0,</w:t>
            </w:r>
            <w:r w:rsidRPr="00EE003F">
              <w:rPr>
                <w:rStyle w:val="cuerpodetextotablas"/>
                <w:rFonts w:ascii="Arial Narrow" w:hAnsi="Arial Narrow"/>
                <w:color w:val="auto"/>
              </w:rPr>
              <w:t>1</w:t>
            </w:r>
            <w:r w:rsidR="00A12C3F" w:rsidRPr="00EE003F">
              <w:rPr>
                <w:rStyle w:val="cuerpodetextotablas"/>
                <w:rFonts w:ascii="Arial Narrow" w:hAnsi="Arial Narrow"/>
                <w:color w:val="auto"/>
              </w:rPr>
              <w:t>5</w:t>
            </w:r>
          </w:p>
        </w:tc>
      </w:tr>
      <w:tr w:rsidR="006E3336" w:rsidRPr="00EE003F" w:rsidTr="00BD478F">
        <w:trPr>
          <w:trHeight w:val="680"/>
        </w:trPr>
        <w:tc>
          <w:tcPr>
            <w:tcW w:w="444" w:type="dxa"/>
            <w:vMerge/>
          </w:tcPr>
          <w:p w:rsidR="00D336B5" w:rsidRPr="00EE003F" w:rsidRDefault="00D336B5" w:rsidP="0096546A">
            <w:pPr>
              <w:pStyle w:val="NoParagraphStyle"/>
              <w:spacing w:line="240" w:lineRule="auto"/>
              <w:textAlignment w:val="auto"/>
              <w:rPr>
                <w:rFonts w:ascii="Arial Narrow" w:hAnsi="Arial Narrow"/>
                <w:color w:val="auto"/>
                <w:lang w:val="es-PE"/>
              </w:rPr>
            </w:pPr>
          </w:p>
        </w:tc>
        <w:tc>
          <w:tcPr>
            <w:tcW w:w="2532" w:type="dxa"/>
            <w:vMerge/>
          </w:tcPr>
          <w:p w:rsidR="00D336B5" w:rsidRPr="00EE003F" w:rsidRDefault="00D336B5" w:rsidP="0096546A">
            <w:pPr>
              <w:pStyle w:val="NoParagraphStyle"/>
              <w:spacing w:line="240" w:lineRule="auto"/>
              <w:textAlignment w:val="auto"/>
              <w:rPr>
                <w:rFonts w:ascii="Arial Narrow" w:hAnsi="Arial Narrow"/>
                <w:color w:val="auto"/>
                <w:lang w:val="es-PE"/>
              </w:rPr>
            </w:pPr>
          </w:p>
        </w:tc>
        <w:tc>
          <w:tcPr>
            <w:tcW w:w="352"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2</w:t>
            </w:r>
          </w:p>
        </w:tc>
        <w:tc>
          <w:tcPr>
            <w:tcW w:w="2127" w:type="dxa"/>
          </w:tcPr>
          <w:p w:rsidR="00D336B5" w:rsidRPr="00EE003F" w:rsidRDefault="00D336B5" w:rsidP="006A4E02">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 xml:space="preserve">Tasa de variación porcentual de las exportaciones no tradicionales </w:t>
            </w:r>
          </w:p>
        </w:tc>
        <w:tc>
          <w:tcPr>
            <w:tcW w:w="1163" w:type="dxa"/>
          </w:tcPr>
          <w:p w:rsidR="00D336B5" w:rsidRPr="00EE003F" w:rsidRDefault="006A4E02"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SUNAT</w:t>
            </w:r>
          </w:p>
        </w:tc>
        <w:tc>
          <w:tcPr>
            <w:tcW w:w="1041"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5,48%</w:t>
            </w:r>
          </w:p>
        </w:tc>
        <w:tc>
          <w:tcPr>
            <w:tcW w:w="1032" w:type="dxa"/>
          </w:tcPr>
          <w:p w:rsidR="00D336B5" w:rsidRPr="00EE003F" w:rsidRDefault="006722E4">
            <w:pPr>
              <w:pStyle w:val="BasicParagraph"/>
              <w:suppressAutoHyphens/>
              <w:jc w:val="center"/>
              <w:rPr>
                <w:rFonts w:ascii="Arial Narrow" w:hAnsi="Arial Narrow"/>
                <w:color w:val="auto"/>
              </w:rPr>
            </w:pPr>
            <w:r w:rsidRPr="00EE003F">
              <w:rPr>
                <w:rStyle w:val="cuerpodetextotablas"/>
                <w:rFonts w:ascii="Arial Narrow" w:hAnsi="Arial Narrow"/>
                <w:color w:val="auto"/>
              </w:rPr>
              <w:t>-</w:t>
            </w:r>
            <w:r w:rsidR="006A4E02" w:rsidRPr="00EE003F">
              <w:rPr>
                <w:rStyle w:val="cuerpodetextotablas"/>
                <w:rFonts w:ascii="Arial Narrow" w:hAnsi="Arial Narrow"/>
                <w:color w:val="auto"/>
              </w:rPr>
              <w:t>6,</w:t>
            </w:r>
            <w:r w:rsidRPr="00EE003F">
              <w:rPr>
                <w:rStyle w:val="cuerpodetextotablas"/>
                <w:rFonts w:ascii="Arial Narrow" w:hAnsi="Arial Narrow"/>
                <w:color w:val="auto"/>
              </w:rPr>
              <w:t>0</w:t>
            </w:r>
            <w:r w:rsidR="00D336B5" w:rsidRPr="00EE003F">
              <w:rPr>
                <w:rStyle w:val="cuerpodetextotablas"/>
                <w:rFonts w:ascii="Arial Narrow" w:hAnsi="Arial Narrow"/>
                <w:color w:val="auto"/>
              </w:rPr>
              <w:t>%</w:t>
            </w:r>
          </w:p>
        </w:tc>
        <w:tc>
          <w:tcPr>
            <w:tcW w:w="938" w:type="dxa"/>
          </w:tcPr>
          <w:p w:rsidR="00D336B5" w:rsidRPr="00EE003F" w:rsidRDefault="006A4E02" w:rsidP="005312B4">
            <w:pPr>
              <w:pStyle w:val="BasicParagraph"/>
              <w:suppressAutoHyphens/>
              <w:jc w:val="center"/>
              <w:rPr>
                <w:rFonts w:ascii="Arial Narrow" w:hAnsi="Arial Narrow"/>
                <w:color w:val="auto"/>
              </w:rPr>
            </w:pPr>
            <w:r w:rsidRPr="00EE003F">
              <w:rPr>
                <w:rStyle w:val="cuerpodetextotablas"/>
                <w:rFonts w:ascii="Arial Narrow" w:hAnsi="Arial Narrow"/>
                <w:color w:val="auto"/>
              </w:rPr>
              <w:t>4,7</w:t>
            </w:r>
            <w:r w:rsidR="00D336B5" w:rsidRPr="00EE003F">
              <w:rPr>
                <w:rStyle w:val="cuerpodetextotablas"/>
                <w:rFonts w:ascii="Arial Narrow" w:hAnsi="Arial Narrow"/>
                <w:color w:val="auto"/>
              </w:rPr>
              <w:t>%</w:t>
            </w:r>
          </w:p>
        </w:tc>
      </w:tr>
      <w:tr w:rsidR="006E3336" w:rsidRPr="00EE003F" w:rsidTr="00BD478F">
        <w:trPr>
          <w:trHeight w:val="1191"/>
        </w:trPr>
        <w:tc>
          <w:tcPr>
            <w:tcW w:w="444" w:type="dxa"/>
          </w:tcPr>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2</w:t>
            </w:r>
          </w:p>
        </w:tc>
        <w:tc>
          <w:tcPr>
            <w:tcW w:w="2532" w:type="dxa"/>
          </w:tcPr>
          <w:p w:rsidR="00D336B5" w:rsidRPr="00EE003F" w:rsidRDefault="00D336B5"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Fortalecer competencias técnicas y de gestión  que incrementen la competitividad del capital humano en los ámbitos público y privado</w:t>
            </w:r>
          </w:p>
        </w:tc>
        <w:tc>
          <w:tcPr>
            <w:tcW w:w="352"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3</w:t>
            </w:r>
          </w:p>
        </w:tc>
        <w:tc>
          <w:tcPr>
            <w:tcW w:w="2127" w:type="dxa"/>
          </w:tcPr>
          <w:p w:rsidR="00D336B5" w:rsidRPr="00EE003F" w:rsidRDefault="00D336B5"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Educación Superior</w:t>
            </w:r>
          </w:p>
        </w:tc>
        <w:tc>
          <w:tcPr>
            <w:tcW w:w="1163"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WEF</w:t>
            </w:r>
          </w:p>
        </w:tc>
        <w:tc>
          <w:tcPr>
            <w:tcW w:w="1041" w:type="dxa"/>
          </w:tcPr>
          <w:p w:rsidR="00D336B5" w:rsidRPr="00EE003F" w:rsidRDefault="00D336B5"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4,07</w:t>
            </w:r>
          </w:p>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(2015)</w:t>
            </w:r>
          </w:p>
        </w:tc>
        <w:tc>
          <w:tcPr>
            <w:tcW w:w="1032" w:type="dxa"/>
          </w:tcPr>
          <w:p w:rsidR="00D336B5" w:rsidRPr="00EE003F" w:rsidRDefault="00D336B5">
            <w:pPr>
              <w:pStyle w:val="BasicParagraph"/>
              <w:suppressAutoHyphens/>
              <w:jc w:val="center"/>
              <w:rPr>
                <w:rFonts w:ascii="Arial Narrow" w:hAnsi="Arial Narrow"/>
                <w:color w:val="auto"/>
              </w:rPr>
            </w:pPr>
            <w:r w:rsidRPr="00EE003F">
              <w:rPr>
                <w:rStyle w:val="cuerpodetextotablas"/>
                <w:rFonts w:ascii="Arial Narrow" w:hAnsi="Arial Narrow"/>
                <w:color w:val="auto"/>
              </w:rPr>
              <w:t>4,</w:t>
            </w:r>
            <w:r w:rsidR="00BD478F" w:rsidRPr="00EE003F">
              <w:rPr>
                <w:rStyle w:val="cuerpodetextotablas"/>
                <w:rFonts w:ascii="Arial Narrow" w:hAnsi="Arial Narrow"/>
                <w:color w:val="auto"/>
              </w:rPr>
              <w:t>12</w:t>
            </w:r>
          </w:p>
        </w:tc>
        <w:tc>
          <w:tcPr>
            <w:tcW w:w="938" w:type="dxa"/>
          </w:tcPr>
          <w:p w:rsidR="00D336B5" w:rsidRPr="00EE003F" w:rsidRDefault="00D336B5">
            <w:pPr>
              <w:pStyle w:val="BasicParagraph"/>
              <w:suppressAutoHyphens/>
              <w:jc w:val="center"/>
              <w:rPr>
                <w:rFonts w:ascii="Arial Narrow" w:hAnsi="Arial Narrow"/>
                <w:color w:val="auto"/>
              </w:rPr>
            </w:pPr>
            <w:r w:rsidRPr="00EE003F">
              <w:rPr>
                <w:rStyle w:val="cuerpodetextotablas"/>
                <w:rFonts w:ascii="Arial Narrow" w:hAnsi="Arial Narrow"/>
                <w:color w:val="auto"/>
              </w:rPr>
              <w:t>4,</w:t>
            </w:r>
            <w:r w:rsidR="00BD478F" w:rsidRPr="00EE003F">
              <w:rPr>
                <w:rStyle w:val="cuerpodetextotablas"/>
                <w:rFonts w:ascii="Arial Narrow" w:hAnsi="Arial Narrow"/>
                <w:color w:val="auto"/>
              </w:rPr>
              <w:t>38</w:t>
            </w:r>
          </w:p>
        </w:tc>
      </w:tr>
      <w:tr w:rsidR="006E3336" w:rsidRPr="00EE003F" w:rsidTr="00C40D81">
        <w:trPr>
          <w:trHeight w:val="841"/>
        </w:trPr>
        <w:tc>
          <w:tcPr>
            <w:tcW w:w="444" w:type="dxa"/>
          </w:tcPr>
          <w:p w:rsidR="00D336B5" w:rsidRPr="00EE003F" w:rsidRDefault="00D336B5"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3</w:t>
            </w:r>
          </w:p>
        </w:tc>
        <w:tc>
          <w:tcPr>
            <w:tcW w:w="2532" w:type="dxa"/>
          </w:tcPr>
          <w:p w:rsidR="00D336B5" w:rsidRPr="00EE003F" w:rsidRDefault="00D336B5"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Generar incentivos y condiciones  laborales que incrementen el acceso a un empleo formal</w:t>
            </w:r>
          </w:p>
        </w:tc>
        <w:tc>
          <w:tcPr>
            <w:tcW w:w="352"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4</w:t>
            </w:r>
          </w:p>
        </w:tc>
        <w:tc>
          <w:tcPr>
            <w:tcW w:w="2127" w:type="dxa"/>
          </w:tcPr>
          <w:p w:rsidR="00D336B5" w:rsidRPr="00EE003F" w:rsidRDefault="00D336B5"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Tasa de informalidad del empleo (no agrícola)</w:t>
            </w:r>
          </w:p>
        </w:tc>
        <w:tc>
          <w:tcPr>
            <w:tcW w:w="1163"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OIT</w:t>
            </w:r>
          </w:p>
        </w:tc>
        <w:tc>
          <w:tcPr>
            <w:tcW w:w="1041" w:type="dxa"/>
          </w:tcPr>
          <w:p w:rsidR="00D336B5" w:rsidRPr="00EE003F" w:rsidRDefault="00D336B5"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64,0%</w:t>
            </w:r>
          </w:p>
          <w:p w:rsidR="00D336B5" w:rsidRPr="00EE003F" w:rsidRDefault="00D336B5"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(2013)</w:t>
            </w:r>
          </w:p>
          <w:p w:rsidR="00D336B5" w:rsidRPr="00EE003F" w:rsidRDefault="00D336B5" w:rsidP="0096546A">
            <w:pPr>
              <w:pStyle w:val="BasicParagraph"/>
              <w:suppressAutoHyphens/>
              <w:jc w:val="center"/>
              <w:rPr>
                <w:rFonts w:ascii="Arial Narrow" w:hAnsi="Arial Narrow"/>
                <w:color w:val="auto"/>
              </w:rPr>
            </w:pPr>
          </w:p>
        </w:tc>
        <w:tc>
          <w:tcPr>
            <w:tcW w:w="1032"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62,50%</w:t>
            </w:r>
          </w:p>
        </w:tc>
        <w:tc>
          <w:tcPr>
            <w:tcW w:w="938" w:type="dxa"/>
          </w:tcPr>
          <w:p w:rsidR="00D336B5" w:rsidRPr="00EE003F" w:rsidRDefault="00D336B5"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60,00%</w:t>
            </w:r>
          </w:p>
        </w:tc>
      </w:tr>
      <w:tr w:rsidR="00613BB2" w:rsidRPr="00EE003F" w:rsidTr="00F42346">
        <w:trPr>
          <w:trHeight w:val="448"/>
        </w:trPr>
        <w:tc>
          <w:tcPr>
            <w:tcW w:w="444" w:type="dxa"/>
            <w:vMerge w:val="restart"/>
          </w:tcPr>
          <w:p w:rsidR="00613BB2" w:rsidRPr="00EE003F" w:rsidRDefault="00613BB2"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4</w:t>
            </w:r>
          </w:p>
        </w:tc>
        <w:tc>
          <w:tcPr>
            <w:tcW w:w="2532" w:type="dxa"/>
            <w:vMerge w:val="restart"/>
          </w:tcPr>
          <w:p w:rsidR="00613BB2" w:rsidRPr="00EE003F" w:rsidRDefault="00613BB2"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Mantener la estabilidad macroeconómica que permita el crecimiento económico sostenido</w:t>
            </w:r>
          </w:p>
        </w:tc>
        <w:tc>
          <w:tcPr>
            <w:tcW w:w="352" w:type="dxa"/>
            <w:vMerge w:val="restart"/>
          </w:tcPr>
          <w:p w:rsidR="00613BB2" w:rsidRPr="00EE003F" w:rsidRDefault="00613BB2"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5</w:t>
            </w:r>
          </w:p>
        </w:tc>
        <w:tc>
          <w:tcPr>
            <w:tcW w:w="2127" w:type="dxa"/>
            <w:vMerge w:val="restart"/>
          </w:tcPr>
          <w:p w:rsidR="00613BB2" w:rsidRPr="00EE003F" w:rsidRDefault="00613BB2"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Rating de la deuda</w:t>
            </w:r>
            <w:r w:rsidRPr="00EE003F">
              <w:rPr>
                <w:rStyle w:val="Refdenotaalpie"/>
                <w:rFonts w:ascii="Arial Narrow" w:hAnsi="Arial Narrow" w:cs="Swis721 LtCn BT"/>
                <w:color w:val="auto"/>
                <w:sz w:val="16"/>
                <w:szCs w:val="16"/>
              </w:rPr>
              <w:footnoteReference w:id="29"/>
            </w:r>
            <w:r w:rsidRPr="00EE003F">
              <w:rPr>
                <w:rStyle w:val="cuerpodetextotablas"/>
                <w:rFonts w:ascii="Arial Narrow" w:hAnsi="Arial Narrow"/>
                <w:color w:val="auto"/>
              </w:rPr>
              <w:t xml:space="preserve"> (de largo plazo en moneda nacional)</w:t>
            </w:r>
            <w:r w:rsidRPr="00EE003F">
              <w:rPr>
                <w:rStyle w:val="Refdenotaalpie"/>
                <w:rFonts w:ascii="Arial Narrow" w:hAnsi="Arial Narrow" w:cs="Swis721 LtCn BT"/>
                <w:color w:val="auto"/>
                <w:sz w:val="16"/>
                <w:szCs w:val="16"/>
              </w:rPr>
              <w:footnoteReference w:id="30"/>
            </w:r>
          </w:p>
        </w:tc>
        <w:tc>
          <w:tcPr>
            <w:tcW w:w="1163" w:type="dxa"/>
          </w:tcPr>
          <w:p w:rsidR="00613BB2" w:rsidRPr="00EE003F" w:rsidRDefault="00613BB2" w:rsidP="00390ED6">
            <w:pPr>
              <w:pStyle w:val="BasicParagraph"/>
              <w:suppressAutoHyphens/>
              <w:jc w:val="center"/>
              <w:rPr>
                <w:rFonts w:ascii="Arial Narrow" w:hAnsi="Arial Narrow"/>
                <w:color w:val="auto"/>
                <w:sz w:val="16"/>
                <w:szCs w:val="16"/>
                <w:lang w:val="en-US"/>
              </w:rPr>
            </w:pPr>
            <w:r w:rsidRPr="00EE003F">
              <w:rPr>
                <w:rStyle w:val="cuerpodetextotablas"/>
                <w:rFonts w:ascii="Arial Narrow" w:hAnsi="Arial Narrow"/>
                <w:color w:val="auto"/>
              </w:rPr>
              <w:t xml:space="preserve">Standard &amp; Poor’s </w:t>
            </w:r>
          </w:p>
        </w:tc>
        <w:tc>
          <w:tcPr>
            <w:tcW w:w="1041" w:type="dxa"/>
          </w:tcPr>
          <w:p w:rsidR="00291FD2" w:rsidRPr="00EE003F" w:rsidRDefault="00291FD2" w:rsidP="00274AEA">
            <w:pPr>
              <w:pStyle w:val="BasicParagraph"/>
              <w:suppressAutoHyphens/>
              <w:jc w:val="center"/>
              <w:rPr>
                <w:rStyle w:val="cuerpodetextotablas"/>
                <w:rFonts w:ascii="Arial Narrow" w:hAnsi="Arial Narrow"/>
                <w:color w:val="auto"/>
              </w:rPr>
            </w:pPr>
            <w:r w:rsidRPr="00EE003F">
              <w:rPr>
                <w:rFonts w:ascii="Arial Narrow" w:hAnsi="Arial Narrow" w:cs="Arial"/>
                <w:color w:val="333333"/>
                <w:sz w:val="16"/>
                <w:szCs w:val="16"/>
                <w:shd w:val="clear" w:color="auto" w:fill="FFFFFF"/>
              </w:rPr>
              <w:t>A-</w:t>
            </w:r>
            <w:r w:rsidR="00613BB2" w:rsidRPr="00EE003F" w:rsidDel="00274AEA">
              <w:rPr>
                <w:rStyle w:val="cuerpodetextotablas"/>
                <w:rFonts w:ascii="Arial Narrow" w:hAnsi="Arial Narrow"/>
                <w:color w:val="auto"/>
              </w:rPr>
              <w:t xml:space="preserve"> </w:t>
            </w:r>
          </w:p>
          <w:p w:rsidR="00613BB2" w:rsidRPr="00EE003F" w:rsidRDefault="00613BB2" w:rsidP="00274AEA">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(Mayo 2016)</w:t>
            </w:r>
          </w:p>
        </w:tc>
        <w:tc>
          <w:tcPr>
            <w:tcW w:w="1032" w:type="dxa"/>
            <w:vAlign w:val="center"/>
          </w:tcPr>
          <w:p w:rsidR="00613BB2" w:rsidRPr="00EE003F" w:rsidRDefault="00291FD2">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A-</w:t>
            </w:r>
          </w:p>
        </w:tc>
        <w:tc>
          <w:tcPr>
            <w:tcW w:w="938" w:type="dxa"/>
            <w:vAlign w:val="center"/>
          </w:tcPr>
          <w:p w:rsidR="00613BB2" w:rsidRPr="00EE003F" w:rsidRDefault="00613BB2" w:rsidP="00613BB2">
            <w:pPr>
              <w:pStyle w:val="BasicParagraph"/>
              <w:suppressAutoHyphens/>
              <w:jc w:val="center"/>
              <w:rPr>
                <w:rFonts w:ascii="Arial Narrow" w:hAnsi="Arial Narrow"/>
                <w:color w:val="auto"/>
                <w:sz w:val="16"/>
                <w:szCs w:val="16"/>
              </w:rPr>
            </w:pPr>
            <w:r w:rsidRPr="00EE003F">
              <w:rPr>
                <w:rStyle w:val="cuerpodetextotablas"/>
                <w:rFonts w:ascii="Arial Narrow" w:hAnsi="Arial Narrow"/>
                <w:color w:val="auto"/>
              </w:rPr>
              <w:t>A</w:t>
            </w:r>
          </w:p>
        </w:tc>
      </w:tr>
      <w:tr w:rsidR="00613BB2" w:rsidRPr="00EE003F" w:rsidTr="00274AEA">
        <w:trPr>
          <w:trHeight w:val="407"/>
        </w:trPr>
        <w:tc>
          <w:tcPr>
            <w:tcW w:w="444" w:type="dxa"/>
            <w:vMerge/>
          </w:tcPr>
          <w:p w:rsidR="00613BB2" w:rsidRPr="00EE003F" w:rsidRDefault="00613BB2" w:rsidP="0096546A">
            <w:pPr>
              <w:pStyle w:val="BasicParagraph"/>
              <w:suppressAutoHyphens/>
              <w:jc w:val="center"/>
              <w:rPr>
                <w:rStyle w:val="negritatablas"/>
                <w:rFonts w:ascii="Arial Narrow" w:hAnsi="Arial Narrow"/>
                <w:color w:val="auto"/>
              </w:rPr>
            </w:pPr>
          </w:p>
        </w:tc>
        <w:tc>
          <w:tcPr>
            <w:tcW w:w="2532" w:type="dxa"/>
            <w:vMerge/>
          </w:tcPr>
          <w:p w:rsidR="00613BB2" w:rsidRPr="00EE003F" w:rsidRDefault="00613BB2" w:rsidP="0096546A">
            <w:pPr>
              <w:pStyle w:val="BasicParagraph"/>
              <w:suppressAutoHyphens/>
              <w:ind w:left="113" w:right="57"/>
              <w:rPr>
                <w:rStyle w:val="cuerpodetextotablas"/>
                <w:rFonts w:ascii="Arial Narrow" w:hAnsi="Arial Narrow"/>
                <w:color w:val="auto"/>
              </w:rPr>
            </w:pPr>
          </w:p>
        </w:tc>
        <w:tc>
          <w:tcPr>
            <w:tcW w:w="352" w:type="dxa"/>
            <w:vMerge/>
          </w:tcPr>
          <w:p w:rsidR="00613BB2" w:rsidRPr="00EE003F" w:rsidRDefault="00613BB2" w:rsidP="0096546A">
            <w:pPr>
              <w:pStyle w:val="BasicParagraph"/>
              <w:suppressAutoHyphens/>
              <w:jc w:val="center"/>
              <w:rPr>
                <w:rStyle w:val="cuerpodetextotablas"/>
                <w:rFonts w:ascii="Arial Narrow" w:hAnsi="Arial Narrow"/>
                <w:color w:val="auto"/>
              </w:rPr>
            </w:pPr>
          </w:p>
        </w:tc>
        <w:tc>
          <w:tcPr>
            <w:tcW w:w="2127" w:type="dxa"/>
            <w:vMerge/>
          </w:tcPr>
          <w:p w:rsidR="00613BB2" w:rsidRPr="00EE003F" w:rsidRDefault="00613BB2" w:rsidP="0096546A">
            <w:pPr>
              <w:pStyle w:val="BasicParagraph"/>
              <w:suppressAutoHyphens/>
              <w:ind w:left="113" w:right="57"/>
              <w:rPr>
                <w:rStyle w:val="cuerpodetextotablas"/>
                <w:rFonts w:ascii="Arial Narrow" w:hAnsi="Arial Narrow"/>
                <w:color w:val="auto"/>
              </w:rPr>
            </w:pPr>
          </w:p>
        </w:tc>
        <w:tc>
          <w:tcPr>
            <w:tcW w:w="1163" w:type="dxa"/>
          </w:tcPr>
          <w:p w:rsidR="00613BB2" w:rsidRPr="00EE003F" w:rsidRDefault="00613BB2" w:rsidP="00274AEA">
            <w:pPr>
              <w:pStyle w:val="BasicParagraph"/>
              <w:suppressAutoHyphens/>
              <w:jc w:val="center"/>
              <w:rPr>
                <w:rStyle w:val="cuerpodetextotablas"/>
                <w:rFonts w:ascii="Arial Narrow" w:hAnsi="Arial Narrow"/>
                <w:color w:val="auto"/>
              </w:rPr>
            </w:pPr>
            <w:r w:rsidRPr="00EE003F">
              <w:rPr>
                <w:rFonts w:ascii="Arial Narrow" w:hAnsi="Arial Narrow"/>
                <w:color w:val="auto"/>
                <w:sz w:val="16"/>
                <w:szCs w:val="16"/>
                <w:lang w:val="en-US"/>
              </w:rPr>
              <w:t>MOODY´S</w:t>
            </w:r>
          </w:p>
        </w:tc>
        <w:tc>
          <w:tcPr>
            <w:tcW w:w="1041" w:type="dxa"/>
          </w:tcPr>
          <w:p w:rsidR="00613BB2" w:rsidRPr="00EE003F" w:rsidRDefault="00613BB2" w:rsidP="0096546A">
            <w:pPr>
              <w:pStyle w:val="BasicParagraph"/>
              <w:suppressAutoHyphens/>
              <w:jc w:val="center"/>
              <w:rPr>
                <w:rFonts w:ascii="Arial Narrow" w:hAnsi="Arial Narrow" w:cs="Arial"/>
                <w:color w:val="333333"/>
                <w:sz w:val="16"/>
                <w:szCs w:val="16"/>
                <w:shd w:val="clear" w:color="auto" w:fill="FFFFFF"/>
              </w:rPr>
            </w:pPr>
            <w:r w:rsidRPr="00EE003F">
              <w:rPr>
                <w:rFonts w:ascii="Arial Narrow" w:hAnsi="Arial Narrow" w:cs="Arial"/>
                <w:color w:val="333333"/>
                <w:sz w:val="16"/>
                <w:szCs w:val="16"/>
                <w:shd w:val="clear" w:color="auto" w:fill="FFFFFF"/>
              </w:rPr>
              <w:t>A3</w:t>
            </w:r>
          </w:p>
          <w:p w:rsidR="00613BB2" w:rsidRPr="00EE003F" w:rsidRDefault="00613BB2"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(Mayo 2016)</w:t>
            </w:r>
          </w:p>
        </w:tc>
        <w:tc>
          <w:tcPr>
            <w:tcW w:w="1032" w:type="dxa"/>
          </w:tcPr>
          <w:p w:rsidR="00613BB2" w:rsidRPr="00EE003F" w:rsidRDefault="006569D0"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A3</w:t>
            </w:r>
          </w:p>
        </w:tc>
        <w:tc>
          <w:tcPr>
            <w:tcW w:w="938" w:type="dxa"/>
          </w:tcPr>
          <w:p w:rsidR="00613BB2" w:rsidRPr="00EE003F" w:rsidRDefault="006569D0"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A2</w:t>
            </w:r>
          </w:p>
        </w:tc>
      </w:tr>
      <w:tr w:rsidR="00613BB2" w:rsidRPr="00EE003F" w:rsidTr="00274AEA">
        <w:trPr>
          <w:trHeight w:val="339"/>
        </w:trPr>
        <w:tc>
          <w:tcPr>
            <w:tcW w:w="444" w:type="dxa"/>
            <w:vMerge/>
          </w:tcPr>
          <w:p w:rsidR="00613BB2" w:rsidRPr="00EE003F" w:rsidRDefault="00613BB2" w:rsidP="0096546A">
            <w:pPr>
              <w:pStyle w:val="BasicParagraph"/>
              <w:suppressAutoHyphens/>
              <w:jc w:val="center"/>
              <w:rPr>
                <w:rStyle w:val="negritatablas"/>
                <w:rFonts w:ascii="Arial Narrow" w:hAnsi="Arial Narrow"/>
                <w:color w:val="auto"/>
              </w:rPr>
            </w:pPr>
          </w:p>
        </w:tc>
        <w:tc>
          <w:tcPr>
            <w:tcW w:w="2532" w:type="dxa"/>
            <w:vMerge/>
          </w:tcPr>
          <w:p w:rsidR="00613BB2" w:rsidRPr="00EE003F" w:rsidRDefault="00613BB2" w:rsidP="0096546A">
            <w:pPr>
              <w:pStyle w:val="BasicParagraph"/>
              <w:suppressAutoHyphens/>
              <w:ind w:left="113" w:right="57"/>
              <w:rPr>
                <w:rStyle w:val="cuerpodetextotablas"/>
                <w:rFonts w:ascii="Arial Narrow" w:hAnsi="Arial Narrow"/>
                <w:color w:val="auto"/>
              </w:rPr>
            </w:pPr>
          </w:p>
        </w:tc>
        <w:tc>
          <w:tcPr>
            <w:tcW w:w="352" w:type="dxa"/>
            <w:vMerge/>
          </w:tcPr>
          <w:p w:rsidR="00613BB2" w:rsidRPr="00EE003F" w:rsidRDefault="00613BB2" w:rsidP="0096546A">
            <w:pPr>
              <w:pStyle w:val="BasicParagraph"/>
              <w:suppressAutoHyphens/>
              <w:jc w:val="center"/>
              <w:rPr>
                <w:rStyle w:val="cuerpodetextotablas"/>
                <w:rFonts w:ascii="Arial Narrow" w:hAnsi="Arial Narrow"/>
                <w:color w:val="auto"/>
              </w:rPr>
            </w:pPr>
          </w:p>
        </w:tc>
        <w:tc>
          <w:tcPr>
            <w:tcW w:w="2127" w:type="dxa"/>
            <w:vMerge/>
          </w:tcPr>
          <w:p w:rsidR="00613BB2" w:rsidRPr="00EE003F" w:rsidRDefault="00613BB2" w:rsidP="0096546A">
            <w:pPr>
              <w:pStyle w:val="BasicParagraph"/>
              <w:suppressAutoHyphens/>
              <w:ind w:left="113" w:right="57"/>
              <w:rPr>
                <w:rStyle w:val="cuerpodetextotablas"/>
                <w:rFonts w:ascii="Arial Narrow" w:hAnsi="Arial Narrow"/>
                <w:color w:val="auto"/>
              </w:rPr>
            </w:pPr>
          </w:p>
        </w:tc>
        <w:tc>
          <w:tcPr>
            <w:tcW w:w="1163" w:type="dxa"/>
          </w:tcPr>
          <w:p w:rsidR="00613BB2" w:rsidRPr="00EE003F" w:rsidRDefault="00613BB2" w:rsidP="00274AEA">
            <w:pPr>
              <w:pStyle w:val="BasicParagraph"/>
              <w:suppressAutoHyphens/>
              <w:jc w:val="center"/>
              <w:rPr>
                <w:rFonts w:ascii="Arial Narrow" w:hAnsi="Arial Narrow"/>
                <w:color w:val="auto"/>
                <w:sz w:val="16"/>
                <w:szCs w:val="16"/>
                <w:lang w:val="en-US"/>
              </w:rPr>
            </w:pPr>
            <w:r w:rsidRPr="00EE003F">
              <w:rPr>
                <w:rFonts w:ascii="Arial Narrow" w:hAnsi="Arial Narrow"/>
                <w:color w:val="auto"/>
                <w:sz w:val="16"/>
                <w:szCs w:val="16"/>
                <w:lang w:val="en-US"/>
              </w:rPr>
              <w:t>FITCH</w:t>
            </w:r>
          </w:p>
        </w:tc>
        <w:tc>
          <w:tcPr>
            <w:tcW w:w="1041" w:type="dxa"/>
          </w:tcPr>
          <w:p w:rsidR="00613BB2" w:rsidRPr="00EE003F" w:rsidRDefault="00291FD2" w:rsidP="0096546A">
            <w:pPr>
              <w:pStyle w:val="BasicParagraph"/>
              <w:suppressAutoHyphens/>
              <w:jc w:val="center"/>
              <w:rPr>
                <w:rStyle w:val="cuerpodetextotablas"/>
                <w:rFonts w:ascii="Arial Narrow" w:hAnsi="Arial Narrow"/>
                <w:color w:val="auto"/>
              </w:rPr>
            </w:pPr>
            <w:r w:rsidRPr="00EE003F">
              <w:rPr>
                <w:rFonts w:ascii="Arial Narrow" w:hAnsi="Arial Narrow" w:cs="Arial"/>
                <w:color w:val="333333"/>
                <w:sz w:val="16"/>
                <w:szCs w:val="16"/>
                <w:shd w:val="clear" w:color="auto" w:fill="FFFFFF"/>
              </w:rPr>
              <w:t>A-</w:t>
            </w:r>
          </w:p>
          <w:p w:rsidR="00613BB2" w:rsidRPr="00EE003F" w:rsidRDefault="00613BB2"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(Mayo 2016)</w:t>
            </w:r>
          </w:p>
        </w:tc>
        <w:tc>
          <w:tcPr>
            <w:tcW w:w="1032" w:type="dxa"/>
          </w:tcPr>
          <w:p w:rsidR="00613BB2" w:rsidRPr="00EE003F" w:rsidRDefault="00291FD2">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A-</w:t>
            </w:r>
          </w:p>
        </w:tc>
        <w:tc>
          <w:tcPr>
            <w:tcW w:w="938" w:type="dxa"/>
          </w:tcPr>
          <w:p w:rsidR="00613BB2" w:rsidRPr="00EE003F" w:rsidRDefault="00291FD2"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A</w:t>
            </w:r>
          </w:p>
        </w:tc>
      </w:tr>
      <w:tr w:rsidR="00613BB2" w:rsidRPr="00EE003F" w:rsidTr="00274AEA">
        <w:trPr>
          <w:trHeight w:val="388"/>
        </w:trPr>
        <w:tc>
          <w:tcPr>
            <w:tcW w:w="444" w:type="dxa"/>
            <w:vMerge/>
          </w:tcPr>
          <w:p w:rsidR="00613BB2" w:rsidRPr="00EE003F" w:rsidRDefault="00613BB2" w:rsidP="0096546A">
            <w:pPr>
              <w:pStyle w:val="BasicParagraph"/>
              <w:suppressAutoHyphens/>
              <w:jc w:val="center"/>
              <w:rPr>
                <w:rStyle w:val="negritatablas"/>
                <w:rFonts w:ascii="Arial Narrow" w:hAnsi="Arial Narrow"/>
                <w:color w:val="auto"/>
              </w:rPr>
            </w:pPr>
          </w:p>
        </w:tc>
        <w:tc>
          <w:tcPr>
            <w:tcW w:w="2532" w:type="dxa"/>
            <w:vMerge/>
          </w:tcPr>
          <w:p w:rsidR="00613BB2" w:rsidRPr="00EE003F" w:rsidRDefault="00613BB2" w:rsidP="0096546A">
            <w:pPr>
              <w:pStyle w:val="BasicParagraph"/>
              <w:suppressAutoHyphens/>
              <w:ind w:left="113" w:right="57"/>
              <w:rPr>
                <w:rStyle w:val="cuerpodetextotablas"/>
                <w:rFonts w:ascii="Arial Narrow" w:hAnsi="Arial Narrow"/>
                <w:color w:val="auto"/>
              </w:rPr>
            </w:pPr>
          </w:p>
        </w:tc>
        <w:tc>
          <w:tcPr>
            <w:tcW w:w="352" w:type="dxa"/>
            <w:vMerge/>
          </w:tcPr>
          <w:p w:rsidR="00613BB2" w:rsidRPr="00EE003F" w:rsidRDefault="00613BB2" w:rsidP="0096546A">
            <w:pPr>
              <w:pStyle w:val="BasicParagraph"/>
              <w:suppressAutoHyphens/>
              <w:jc w:val="center"/>
              <w:rPr>
                <w:rStyle w:val="cuerpodetextotablas"/>
                <w:rFonts w:ascii="Arial Narrow" w:hAnsi="Arial Narrow"/>
                <w:color w:val="auto"/>
              </w:rPr>
            </w:pPr>
          </w:p>
        </w:tc>
        <w:tc>
          <w:tcPr>
            <w:tcW w:w="2127" w:type="dxa"/>
            <w:vMerge/>
          </w:tcPr>
          <w:p w:rsidR="00613BB2" w:rsidRPr="00EE003F" w:rsidRDefault="00613BB2" w:rsidP="0096546A">
            <w:pPr>
              <w:pStyle w:val="BasicParagraph"/>
              <w:suppressAutoHyphens/>
              <w:ind w:left="113" w:right="57"/>
              <w:rPr>
                <w:rStyle w:val="cuerpodetextotablas"/>
                <w:rFonts w:ascii="Arial Narrow" w:hAnsi="Arial Narrow"/>
                <w:color w:val="auto"/>
              </w:rPr>
            </w:pPr>
          </w:p>
        </w:tc>
        <w:tc>
          <w:tcPr>
            <w:tcW w:w="1163" w:type="dxa"/>
          </w:tcPr>
          <w:p w:rsidR="00613BB2" w:rsidRPr="00EE003F" w:rsidRDefault="00613BB2" w:rsidP="00274AEA">
            <w:pPr>
              <w:pStyle w:val="BasicParagraph"/>
              <w:suppressAutoHyphens/>
              <w:jc w:val="center"/>
              <w:rPr>
                <w:rFonts w:ascii="Arial Narrow" w:hAnsi="Arial Narrow"/>
                <w:color w:val="auto"/>
                <w:sz w:val="16"/>
                <w:szCs w:val="16"/>
                <w:lang w:val="en-US"/>
              </w:rPr>
            </w:pPr>
            <w:r w:rsidRPr="00EE003F">
              <w:rPr>
                <w:rFonts w:ascii="Arial Narrow" w:hAnsi="Arial Narrow"/>
                <w:color w:val="auto"/>
                <w:sz w:val="16"/>
                <w:szCs w:val="16"/>
                <w:lang w:val="en-US"/>
              </w:rPr>
              <w:t xml:space="preserve">DBRS </w:t>
            </w:r>
          </w:p>
        </w:tc>
        <w:tc>
          <w:tcPr>
            <w:tcW w:w="1041" w:type="dxa"/>
          </w:tcPr>
          <w:p w:rsidR="00613BB2" w:rsidRPr="00EE003F" w:rsidRDefault="00613BB2" w:rsidP="0096546A">
            <w:pPr>
              <w:pStyle w:val="BasicParagraph"/>
              <w:suppressAutoHyphens/>
              <w:jc w:val="center"/>
              <w:rPr>
                <w:rStyle w:val="cuerpodetextotablas"/>
                <w:rFonts w:ascii="Arial Narrow" w:hAnsi="Arial Narrow"/>
                <w:color w:val="auto"/>
              </w:rPr>
            </w:pPr>
            <w:r w:rsidRPr="00EE003F">
              <w:rPr>
                <w:rFonts w:ascii="Arial Narrow" w:hAnsi="Arial Narrow" w:cs="Arial"/>
                <w:color w:val="333333"/>
                <w:sz w:val="16"/>
                <w:szCs w:val="16"/>
                <w:shd w:val="clear" w:color="auto" w:fill="FFFFFF"/>
              </w:rPr>
              <w:t>BBB(H)</w:t>
            </w:r>
          </w:p>
          <w:p w:rsidR="00613BB2" w:rsidRPr="00EE003F" w:rsidRDefault="00613BB2"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(Mayo 2016)</w:t>
            </w:r>
          </w:p>
        </w:tc>
        <w:tc>
          <w:tcPr>
            <w:tcW w:w="1032" w:type="dxa"/>
          </w:tcPr>
          <w:p w:rsidR="00613BB2" w:rsidRPr="00EE003F" w:rsidRDefault="006569D0"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BBB(H)</w:t>
            </w:r>
          </w:p>
        </w:tc>
        <w:tc>
          <w:tcPr>
            <w:tcW w:w="938" w:type="dxa"/>
          </w:tcPr>
          <w:p w:rsidR="00613BB2" w:rsidRPr="00EE003F" w:rsidRDefault="006569D0"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A(L)</w:t>
            </w:r>
          </w:p>
        </w:tc>
      </w:tr>
      <w:tr w:rsidR="00613BB2" w:rsidRPr="00EE003F" w:rsidTr="00BD478F">
        <w:trPr>
          <w:trHeight w:val="263"/>
        </w:trPr>
        <w:tc>
          <w:tcPr>
            <w:tcW w:w="444" w:type="dxa"/>
            <w:vMerge/>
          </w:tcPr>
          <w:p w:rsidR="00613BB2" w:rsidRPr="00EE003F" w:rsidRDefault="00613BB2" w:rsidP="0096546A">
            <w:pPr>
              <w:pStyle w:val="BasicParagraph"/>
              <w:suppressAutoHyphens/>
              <w:jc w:val="center"/>
              <w:rPr>
                <w:rStyle w:val="negritatablas"/>
                <w:rFonts w:ascii="Arial Narrow" w:hAnsi="Arial Narrow"/>
                <w:color w:val="auto"/>
              </w:rPr>
            </w:pPr>
          </w:p>
        </w:tc>
        <w:tc>
          <w:tcPr>
            <w:tcW w:w="2532" w:type="dxa"/>
            <w:vMerge/>
          </w:tcPr>
          <w:p w:rsidR="00613BB2" w:rsidRPr="00EE003F" w:rsidRDefault="00613BB2" w:rsidP="0096546A">
            <w:pPr>
              <w:pStyle w:val="BasicParagraph"/>
              <w:suppressAutoHyphens/>
              <w:ind w:left="113" w:right="57"/>
              <w:rPr>
                <w:rStyle w:val="cuerpodetextotablas"/>
                <w:rFonts w:ascii="Arial Narrow" w:hAnsi="Arial Narrow"/>
                <w:color w:val="auto"/>
              </w:rPr>
            </w:pPr>
          </w:p>
        </w:tc>
        <w:tc>
          <w:tcPr>
            <w:tcW w:w="352" w:type="dxa"/>
            <w:vMerge/>
          </w:tcPr>
          <w:p w:rsidR="00613BB2" w:rsidRPr="00EE003F" w:rsidRDefault="00613BB2" w:rsidP="0096546A">
            <w:pPr>
              <w:pStyle w:val="BasicParagraph"/>
              <w:suppressAutoHyphens/>
              <w:jc w:val="center"/>
              <w:rPr>
                <w:rStyle w:val="cuerpodetextotablas"/>
                <w:rFonts w:ascii="Arial Narrow" w:hAnsi="Arial Narrow"/>
                <w:color w:val="auto"/>
              </w:rPr>
            </w:pPr>
          </w:p>
        </w:tc>
        <w:tc>
          <w:tcPr>
            <w:tcW w:w="2127" w:type="dxa"/>
            <w:vMerge/>
          </w:tcPr>
          <w:p w:rsidR="00613BB2" w:rsidRPr="00EE003F" w:rsidRDefault="00613BB2" w:rsidP="0096546A">
            <w:pPr>
              <w:pStyle w:val="BasicParagraph"/>
              <w:suppressAutoHyphens/>
              <w:ind w:left="113" w:right="57"/>
              <w:rPr>
                <w:rStyle w:val="cuerpodetextotablas"/>
                <w:rFonts w:ascii="Arial Narrow" w:hAnsi="Arial Narrow"/>
                <w:color w:val="auto"/>
              </w:rPr>
            </w:pPr>
          </w:p>
        </w:tc>
        <w:tc>
          <w:tcPr>
            <w:tcW w:w="1163" w:type="dxa"/>
          </w:tcPr>
          <w:p w:rsidR="00613BB2" w:rsidRPr="00EE003F" w:rsidRDefault="00613BB2" w:rsidP="00274AEA">
            <w:pPr>
              <w:pStyle w:val="BasicParagraph"/>
              <w:suppressAutoHyphens/>
              <w:jc w:val="center"/>
              <w:rPr>
                <w:rFonts w:ascii="Arial Narrow" w:hAnsi="Arial Narrow"/>
                <w:color w:val="auto"/>
                <w:sz w:val="16"/>
                <w:szCs w:val="16"/>
                <w:lang w:val="en-US"/>
              </w:rPr>
            </w:pPr>
            <w:r w:rsidRPr="00EE003F">
              <w:rPr>
                <w:rFonts w:ascii="Arial Narrow" w:hAnsi="Arial Narrow"/>
                <w:color w:val="auto"/>
                <w:sz w:val="16"/>
                <w:szCs w:val="16"/>
                <w:lang w:val="en-US"/>
              </w:rPr>
              <w:t>NICE</w:t>
            </w:r>
          </w:p>
          <w:p w:rsidR="00613BB2" w:rsidRPr="00EE003F" w:rsidRDefault="00613BB2" w:rsidP="00274AEA">
            <w:pPr>
              <w:pStyle w:val="BasicParagraph"/>
              <w:suppressAutoHyphens/>
              <w:jc w:val="center"/>
              <w:rPr>
                <w:rFonts w:ascii="Arial Narrow" w:hAnsi="Arial Narrow"/>
                <w:color w:val="auto"/>
                <w:sz w:val="16"/>
                <w:szCs w:val="16"/>
                <w:lang w:val="en-US"/>
              </w:rPr>
            </w:pPr>
          </w:p>
          <w:p w:rsidR="00613BB2" w:rsidRPr="00EE003F" w:rsidRDefault="00613BB2" w:rsidP="00892E67">
            <w:pPr>
              <w:pStyle w:val="BasicParagraph"/>
              <w:suppressAutoHyphens/>
              <w:rPr>
                <w:rFonts w:ascii="Arial Narrow" w:hAnsi="Arial Narrow"/>
                <w:color w:val="auto"/>
                <w:sz w:val="16"/>
                <w:szCs w:val="16"/>
                <w:lang w:val="es-PE"/>
              </w:rPr>
            </w:pPr>
          </w:p>
        </w:tc>
        <w:tc>
          <w:tcPr>
            <w:tcW w:w="1041" w:type="dxa"/>
          </w:tcPr>
          <w:p w:rsidR="00613BB2" w:rsidRPr="00EE003F" w:rsidRDefault="00291FD2" w:rsidP="0096546A">
            <w:pPr>
              <w:pStyle w:val="BasicParagraph"/>
              <w:suppressAutoHyphens/>
              <w:jc w:val="center"/>
              <w:rPr>
                <w:rStyle w:val="cuerpodetextotablas"/>
                <w:rFonts w:ascii="Arial Narrow" w:hAnsi="Arial Narrow"/>
                <w:color w:val="auto"/>
              </w:rPr>
            </w:pPr>
            <w:r w:rsidRPr="00EE003F">
              <w:rPr>
                <w:rFonts w:ascii="Arial Narrow" w:hAnsi="Arial Narrow" w:cs="Arial"/>
                <w:color w:val="333333"/>
                <w:sz w:val="16"/>
                <w:szCs w:val="16"/>
                <w:shd w:val="clear" w:color="auto" w:fill="FFFFFF"/>
              </w:rPr>
              <w:t>A-</w:t>
            </w:r>
          </w:p>
          <w:p w:rsidR="00613BB2" w:rsidRPr="00EE003F" w:rsidRDefault="00613BB2"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(Mayo 2016)</w:t>
            </w:r>
          </w:p>
        </w:tc>
        <w:tc>
          <w:tcPr>
            <w:tcW w:w="1032" w:type="dxa"/>
          </w:tcPr>
          <w:p w:rsidR="00613BB2" w:rsidRPr="00EE003F" w:rsidRDefault="00291FD2"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A-</w:t>
            </w:r>
          </w:p>
        </w:tc>
        <w:tc>
          <w:tcPr>
            <w:tcW w:w="938" w:type="dxa"/>
          </w:tcPr>
          <w:p w:rsidR="00613BB2" w:rsidRPr="00EE003F" w:rsidRDefault="00761B49"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A</w:t>
            </w:r>
            <w:r w:rsidR="00291FD2" w:rsidRPr="00EE003F">
              <w:rPr>
                <w:rStyle w:val="cuerpodetextotablas"/>
                <w:rFonts w:ascii="Arial Narrow" w:hAnsi="Arial Narrow"/>
                <w:color w:val="auto"/>
              </w:rPr>
              <w:t>+</w:t>
            </w:r>
          </w:p>
        </w:tc>
      </w:tr>
      <w:tr w:rsidR="006E3336" w:rsidRPr="00EE003F" w:rsidTr="00BD478F">
        <w:trPr>
          <w:trHeight w:val="1105"/>
        </w:trPr>
        <w:tc>
          <w:tcPr>
            <w:tcW w:w="444" w:type="dxa"/>
            <w:vMerge w:val="restart"/>
          </w:tcPr>
          <w:p w:rsidR="00BD478F" w:rsidRPr="00EE003F" w:rsidRDefault="00BD478F"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5</w:t>
            </w:r>
          </w:p>
        </w:tc>
        <w:tc>
          <w:tcPr>
            <w:tcW w:w="2532" w:type="dxa"/>
            <w:vMerge w:val="restart"/>
          </w:tcPr>
          <w:p w:rsidR="00BD478F" w:rsidRPr="00EE003F" w:rsidRDefault="00BD478F"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Desarrollar los mercados financieros promoviendo la inclusión financiera</w:t>
            </w:r>
          </w:p>
        </w:tc>
        <w:tc>
          <w:tcPr>
            <w:tcW w:w="352" w:type="dxa"/>
          </w:tcPr>
          <w:p w:rsidR="00BD478F" w:rsidRPr="00EE003F" w:rsidRDefault="00BD478F"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6</w:t>
            </w:r>
          </w:p>
        </w:tc>
        <w:tc>
          <w:tcPr>
            <w:tcW w:w="2127" w:type="dxa"/>
          </w:tcPr>
          <w:p w:rsidR="00BD478F" w:rsidRPr="00EE003F" w:rsidRDefault="00BD478F" w:rsidP="0096546A">
            <w:pPr>
              <w:pStyle w:val="BasicParagraph"/>
              <w:suppressAutoHyphens/>
              <w:ind w:left="113" w:right="57"/>
              <w:rPr>
                <w:rStyle w:val="cuerpodetextotablas"/>
                <w:rFonts w:ascii="Arial Narrow" w:hAnsi="Arial Narrow"/>
                <w:color w:val="auto"/>
              </w:rPr>
            </w:pPr>
            <w:r w:rsidRPr="00EE003F">
              <w:rPr>
                <w:rStyle w:val="cuerpodetextotablas"/>
                <w:rFonts w:ascii="Arial Narrow" w:hAnsi="Arial Narrow"/>
                <w:color w:val="auto"/>
              </w:rPr>
              <w:t xml:space="preserve">Depósitos del sistema financiero </w:t>
            </w:r>
            <w:r w:rsidRPr="00EE003F">
              <w:rPr>
                <w:rStyle w:val="cuerpodetextotablas"/>
                <w:rFonts w:ascii="Arial Narrow" w:hAnsi="Arial Narrow"/>
                <w:color w:val="auto"/>
              </w:rPr>
              <w:br/>
              <w:t>(% del PBI)</w:t>
            </w:r>
          </w:p>
          <w:p w:rsidR="00C47D94" w:rsidRPr="00EE003F" w:rsidRDefault="00C47D94" w:rsidP="0096546A">
            <w:pPr>
              <w:pStyle w:val="BasicParagraph"/>
              <w:suppressAutoHyphens/>
              <w:ind w:left="113" w:right="57"/>
              <w:rPr>
                <w:rFonts w:ascii="Arial Narrow" w:hAnsi="Arial Narrow"/>
                <w:color w:val="auto"/>
              </w:rPr>
            </w:pPr>
          </w:p>
        </w:tc>
        <w:tc>
          <w:tcPr>
            <w:tcW w:w="1163" w:type="dxa"/>
          </w:tcPr>
          <w:p w:rsidR="00BD478F" w:rsidRPr="00EE003F" w:rsidRDefault="00BD478F"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SBS - INEI</w:t>
            </w:r>
          </w:p>
        </w:tc>
        <w:tc>
          <w:tcPr>
            <w:tcW w:w="1041" w:type="dxa"/>
          </w:tcPr>
          <w:p w:rsidR="00BD478F" w:rsidRPr="00EE003F" w:rsidRDefault="00BD478F"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38,72%</w:t>
            </w:r>
          </w:p>
        </w:tc>
        <w:tc>
          <w:tcPr>
            <w:tcW w:w="1032" w:type="dxa"/>
          </w:tcPr>
          <w:p w:rsidR="00BD478F" w:rsidRPr="00EE003F" w:rsidRDefault="00BD478F"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43,00%</w:t>
            </w:r>
          </w:p>
        </w:tc>
        <w:tc>
          <w:tcPr>
            <w:tcW w:w="938" w:type="dxa"/>
          </w:tcPr>
          <w:p w:rsidR="00BD478F" w:rsidRPr="00EE003F" w:rsidRDefault="00BD478F"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48,00%</w:t>
            </w:r>
          </w:p>
        </w:tc>
      </w:tr>
      <w:tr w:rsidR="00C47D94" w:rsidRPr="00EE003F" w:rsidTr="00BD478F">
        <w:trPr>
          <w:trHeight w:val="1105"/>
        </w:trPr>
        <w:tc>
          <w:tcPr>
            <w:tcW w:w="444" w:type="dxa"/>
            <w:vMerge/>
          </w:tcPr>
          <w:p w:rsidR="00C47D94" w:rsidRPr="00EE003F" w:rsidRDefault="00C47D94" w:rsidP="00C47D94">
            <w:pPr>
              <w:pStyle w:val="BasicParagraph"/>
              <w:suppressAutoHyphens/>
              <w:jc w:val="center"/>
              <w:rPr>
                <w:rStyle w:val="negritatablas"/>
                <w:rFonts w:ascii="Arial Narrow" w:hAnsi="Arial Narrow"/>
                <w:color w:val="auto"/>
              </w:rPr>
            </w:pPr>
          </w:p>
        </w:tc>
        <w:tc>
          <w:tcPr>
            <w:tcW w:w="2532" w:type="dxa"/>
            <w:vMerge/>
          </w:tcPr>
          <w:p w:rsidR="00C47D94" w:rsidRPr="00EE003F" w:rsidRDefault="00C47D94" w:rsidP="00C47D94">
            <w:pPr>
              <w:pStyle w:val="BasicParagraph"/>
              <w:suppressAutoHyphens/>
              <w:ind w:left="113" w:right="57"/>
              <w:rPr>
                <w:rStyle w:val="cuerpodetextotablas"/>
                <w:rFonts w:ascii="Arial Narrow" w:hAnsi="Arial Narrow"/>
                <w:color w:val="auto"/>
              </w:rPr>
            </w:pPr>
          </w:p>
        </w:tc>
        <w:tc>
          <w:tcPr>
            <w:tcW w:w="352" w:type="dxa"/>
          </w:tcPr>
          <w:p w:rsidR="00C47D94" w:rsidRPr="00EE003F" w:rsidRDefault="002A7756" w:rsidP="00C47D94">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7</w:t>
            </w:r>
          </w:p>
        </w:tc>
        <w:tc>
          <w:tcPr>
            <w:tcW w:w="2127" w:type="dxa"/>
          </w:tcPr>
          <w:p w:rsidR="00C47D94" w:rsidRPr="00EE003F" w:rsidRDefault="00C47D94" w:rsidP="00C47D94">
            <w:pPr>
              <w:pStyle w:val="BasicParagraph"/>
              <w:suppressAutoHyphens/>
              <w:ind w:left="113" w:right="57"/>
              <w:rPr>
                <w:rStyle w:val="cuerpodetextotablas"/>
                <w:rFonts w:ascii="Arial Narrow" w:hAnsi="Arial Narrow"/>
                <w:color w:val="auto"/>
              </w:rPr>
            </w:pPr>
            <w:r w:rsidRPr="00EE003F">
              <w:rPr>
                <w:rStyle w:val="cuerpodetextotablas"/>
                <w:color w:val="auto"/>
              </w:rPr>
              <w:t>Capacidad de pago de la deuda pública respecto de sus ingresos</w:t>
            </w:r>
          </w:p>
        </w:tc>
        <w:tc>
          <w:tcPr>
            <w:tcW w:w="1163" w:type="dxa"/>
          </w:tcPr>
          <w:p w:rsidR="00C47D94" w:rsidRPr="00EE003F" w:rsidRDefault="00C47D94" w:rsidP="00C47D94">
            <w:pPr>
              <w:pStyle w:val="BasicParagraph"/>
              <w:suppressAutoHyphens/>
              <w:jc w:val="center"/>
              <w:rPr>
                <w:rStyle w:val="cuerpodetextotablas"/>
                <w:rFonts w:ascii="Arial Narrow" w:hAnsi="Arial Narrow"/>
                <w:color w:val="auto"/>
              </w:rPr>
            </w:pPr>
            <w:r w:rsidRPr="00EE003F">
              <w:rPr>
                <w:rStyle w:val="cuerpodetextotablas"/>
                <w:color w:val="auto"/>
              </w:rPr>
              <w:t>MEF-BCRP-Moody´s</w:t>
            </w:r>
          </w:p>
        </w:tc>
        <w:tc>
          <w:tcPr>
            <w:tcW w:w="1041" w:type="dxa"/>
          </w:tcPr>
          <w:p w:rsidR="00C47D94" w:rsidRPr="00EE003F" w:rsidRDefault="00C47D94" w:rsidP="00C47D94">
            <w:pPr>
              <w:pStyle w:val="BasicParagraph"/>
              <w:suppressAutoHyphens/>
              <w:jc w:val="center"/>
              <w:rPr>
                <w:rStyle w:val="cuerpodetextotablas"/>
                <w:rFonts w:ascii="Arial Narrow" w:hAnsi="Arial Narrow"/>
                <w:color w:val="auto"/>
              </w:rPr>
            </w:pPr>
            <w:r w:rsidRPr="00EE003F">
              <w:rPr>
                <w:rStyle w:val="cuerpodetextotablas"/>
                <w:color w:val="auto"/>
              </w:rPr>
              <w:t>89,9%</w:t>
            </w:r>
          </w:p>
        </w:tc>
        <w:tc>
          <w:tcPr>
            <w:tcW w:w="1032" w:type="dxa"/>
          </w:tcPr>
          <w:p w:rsidR="00C47D94" w:rsidRPr="00EE003F" w:rsidRDefault="00C47D94" w:rsidP="00C47D94">
            <w:pPr>
              <w:pStyle w:val="BasicParagraph"/>
              <w:suppressAutoHyphens/>
              <w:jc w:val="center"/>
              <w:rPr>
                <w:rStyle w:val="cuerpodetextotablas"/>
                <w:rFonts w:ascii="Arial Narrow" w:hAnsi="Arial Narrow"/>
                <w:color w:val="auto"/>
              </w:rPr>
            </w:pPr>
            <w:r w:rsidRPr="00EE003F">
              <w:rPr>
                <w:rStyle w:val="cuerpodetextotablas"/>
                <w:color w:val="auto"/>
              </w:rPr>
              <w:t>104,0%</w:t>
            </w:r>
          </w:p>
        </w:tc>
        <w:tc>
          <w:tcPr>
            <w:tcW w:w="938" w:type="dxa"/>
          </w:tcPr>
          <w:p w:rsidR="00C47D94" w:rsidRPr="00EE003F" w:rsidRDefault="00C47D94" w:rsidP="00C47D94">
            <w:pPr>
              <w:pStyle w:val="BasicParagraph"/>
              <w:suppressAutoHyphens/>
              <w:jc w:val="center"/>
              <w:rPr>
                <w:rStyle w:val="cuerpodetextotablas"/>
                <w:rFonts w:ascii="Arial Narrow" w:hAnsi="Arial Narrow"/>
                <w:color w:val="auto"/>
              </w:rPr>
            </w:pPr>
            <w:r w:rsidRPr="00EE003F">
              <w:rPr>
                <w:rStyle w:val="cuerpodetextotablas"/>
                <w:color w:val="auto"/>
              </w:rPr>
              <w:t>82,0%</w:t>
            </w:r>
          </w:p>
        </w:tc>
      </w:tr>
      <w:tr w:rsidR="00C47D94" w:rsidRPr="00EE003F" w:rsidTr="00BD478F">
        <w:trPr>
          <w:trHeight w:val="963"/>
        </w:trPr>
        <w:tc>
          <w:tcPr>
            <w:tcW w:w="444" w:type="dxa"/>
            <w:vMerge/>
          </w:tcPr>
          <w:p w:rsidR="00C47D94" w:rsidRPr="00EE003F" w:rsidRDefault="00C47D94" w:rsidP="00C47D94">
            <w:pPr>
              <w:pStyle w:val="BasicParagraph"/>
              <w:suppressAutoHyphens/>
              <w:jc w:val="center"/>
              <w:rPr>
                <w:rStyle w:val="negritatablas"/>
                <w:rFonts w:ascii="Arial Narrow" w:hAnsi="Arial Narrow"/>
                <w:color w:val="auto"/>
              </w:rPr>
            </w:pPr>
          </w:p>
        </w:tc>
        <w:tc>
          <w:tcPr>
            <w:tcW w:w="2532" w:type="dxa"/>
            <w:vMerge/>
          </w:tcPr>
          <w:p w:rsidR="00C47D94" w:rsidRPr="00EE003F" w:rsidRDefault="00C47D94" w:rsidP="00C47D94">
            <w:pPr>
              <w:pStyle w:val="BasicParagraph"/>
              <w:suppressAutoHyphens/>
              <w:ind w:left="113" w:right="57"/>
              <w:rPr>
                <w:rStyle w:val="cuerpodetextotablas"/>
                <w:rFonts w:ascii="Arial Narrow" w:hAnsi="Arial Narrow"/>
                <w:color w:val="auto"/>
              </w:rPr>
            </w:pPr>
          </w:p>
        </w:tc>
        <w:tc>
          <w:tcPr>
            <w:tcW w:w="352" w:type="dxa"/>
          </w:tcPr>
          <w:p w:rsidR="00C47D94" w:rsidRPr="00EE003F" w:rsidRDefault="002A7756" w:rsidP="00C47D94">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8</w:t>
            </w:r>
          </w:p>
        </w:tc>
        <w:tc>
          <w:tcPr>
            <w:tcW w:w="2127" w:type="dxa"/>
          </w:tcPr>
          <w:p w:rsidR="00C47D94" w:rsidRPr="00EE003F" w:rsidRDefault="00C47D94" w:rsidP="00C47D94">
            <w:pPr>
              <w:pStyle w:val="BasicParagraph"/>
              <w:suppressAutoHyphens/>
              <w:ind w:left="113" w:right="57"/>
              <w:rPr>
                <w:rStyle w:val="cuerpodetextotablas"/>
                <w:rFonts w:ascii="Arial Narrow" w:hAnsi="Arial Narrow"/>
                <w:color w:val="auto"/>
              </w:rPr>
            </w:pPr>
            <w:r w:rsidRPr="00EE003F">
              <w:rPr>
                <w:rStyle w:val="cuerpodetextotablas"/>
                <w:rFonts w:ascii="Arial Narrow" w:hAnsi="Arial Narrow"/>
              </w:rPr>
              <w:t>Deuda externa (% de Deuda total)</w:t>
            </w:r>
          </w:p>
          <w:p w:rsidR="00C47D94" w:rsidRPr="00EE003F" w:rsidRDefault="00C47D94" w:rsidP="00C47D94">
            <w:pPr>
              <w:pStyle w:val="BasicParagraph"/>
              <w:suppressAutoHyphens/>
              <w:ind w:left="113" w:right="57"/>
              <w:rPr>
                <w:rStyle w:val="cuerpodetextotablas"/>
                <w:rFonts w:ascii="Arial Narrow" w:hAnsi="Arial Narrow"/>
                <w:color w:val="auto"/>
                <w:lang w:val="es-PE"/>
              </w:rPr>
            </w:pPr>
          </w:p>
        </w:tc>
        <w:tc>
          <w:tcPr>
            <w:tcW w:w="1163" w:type="dxa"/>
          </w:tcPr>
          <w:p w:rsidR="00C47D94" w:rsidRPr="00EE003F" w:rsidRDefault="00C47D94" w:rsidP="00C47D94">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BRCP-MEF</w:t>
            </w:r>
          </w:p>
        </w:tc>
        <w:tc>
          <w:tcPr>
            <w:tcW w:w="1041" w:type="dxa"/>
          </w:tcPr>
          <w:p w:rsidR="00C47D94" w:rsidRPr="00EE003F" w:rsidRDefault="000A3A8E" w:rsidP="00C47D94">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47,6.</w:t>
            </w:r>
            <w:r w:rsidR="00C47D94" w:rsidRPr="00EE003F">
              <w:rPr>
                <w:rStyle w:val="cuerpodetextotablas"/>
                <w:rFonts w:ascii="Arial Narrow" w:hAnsi="Arial Narrow"/>
                <w:color w:val="auto"/>
              </w:rPr>
              <w:t>%</w:t>
            </w:r>
          </w:p>
          <w:p w:rsidR="00D4119A" w:rsidRPr="00EE003F" w:rsidRDefault="00D4119A" w:rsidP="00C47D94">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(2015)</w:t>
            </w:r>
          </w:p>
        </w:tc>
        <w:tc>
          <w:tcPr>
            <w:tcW w:w="1032" w:type="dxa"/>
          </w:tcPr>
          <w:p w:rsidR="00C47D94" w:rsidRPr="00EE003F" w:rsidRDefault="000A3A8E" w:rsidP="00C47D94">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50.</w:t>
            </w:r>
            <w:r w:rsidR="00C47D94" w:rsidRPr="00EE003F">
              <w:rPr>
                <w:rStyle w:val="cuerpodetextotablas"/>
                <w:rFonts w:ascii="Arial Narrow" w:hAnsi="Arial Narrow"/>
                <w:color w:val="auto"/>
              </w:rPr>
              <w:t>%</w:t>
            </w:r>
          </w:p>
        </w:tc>
        <w:tc>
          <w:tcPr>
            <w:tcW w:w="938" w:type="dxa"/>
          </w:tcPr>
          <w:p w:rsidR="00C47D94" w:rsidRPr="00EE003F" w:rsidRDefault="000A3A8E" w:rsidP="00C47D94">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45.8</w:t>
            </w:r>
            <w:r w:rsidR="00C47D94" w:rsidRPr="00EE003F">
              <w:rPr>
                <w:rStyle w:val="cuerpodetextotablas"/>
                <w:rFonts w:ascii="Arial Narrow" w:hAnsi="Arial Narrow"/>
                <w:color w:val="auto"/>
              </w:rPr>
              <w:t>%</w:t>
            </w:r>
          </w:p>
        </w:tc>
      </w:tr>
      <w:tr w:rsidR="00C47D94" w:rsidRPr="00EE003F" w:rsidTr="00BD478F">
        <w:trPr>
          <w:trHeight w:val="963"/>
        </w:trPr>
        <w:tc>
          <w:tcPr>
            <w:tcW w:w="444" w:type="dxa"/>
          </w:tcPr>
          <w:p w:rsidR="00C47D94" w:rsidRPr="00EE003F" w:rsidRDefault="00C47D94" w:rsidP="00C47D94">
            <w:pPr>
              <w:pStyle w:val="BasicParagraph"/>
              <w:suppressAutoHyphens/>
              <w:jc w:val="center"/>
              <w:rPr>
                <w:rFonts w:ascii="Arial Narrow" w:hAnsi="Arial Narrow"/>
                <w:color w:val="auto"/>
              </w:rPr>
            </w:pPr>
            <w:r w:rsidRPr="00EE003F">
              <w:rPr>
                <w:rStyle w:val="negritatablas"/>
                <w:rFonts w:ascii="Arial Narrow" w:hAnsi="Arial Narrow"/>
                <w:color w:val="auto"/>
              </w:rPr>
              <w:t>6</w:t>
            </w:r>
          </w:p>
        </w:tc>
        <w:tc>
          <w:tcPr>
            <w:tcW w:w="2532" w:type="dxa"/>
          </w:tcPr>
          <w:p w:rsidR="00C47D94" w:rsidRPr="00EE003F" w:rsidRDefault="00C47D94" w:rsidP="00C47D94">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Mejorar el ambiente de negocios y desarrollo productivo</w:t>
            </w:r>
          </w:p>
        </w:tc>
        <w:tc>
          <w:tcPr>
            <w:tcW w:w="352" w:type="dxa"/>
          </w:tcPr>
          <w:p w:rsidR="00C47D94" w:rsidRPr="00EE003F" w:rsidRDefault="002A7756" w:rsidP="00C47D94">
            <w:pPr>
              <w:pStyle w:val="BasicParagraph"/>
              <w:suppressAutoHyphens/>
              <w:jc w:val="center"/>
              <w:rPr>
                <w:rFonts w:ascii="Arial Narrow" w:hAnsi="Arial Narrow"/>
                <w:color w:val="auto"/>
              </w:rPr>
            </w:pPr>
            <w:r w:rsidRPr="00EE003F">
              <w:rPr>
                <w:rStyle w:val="cuerpodetextotablas"/>
                <w:rFonts w:ascii="Arial Narrow" w:hAnsi="Arial Narrow"/>
                <w:color w:val="auto"/>
              </w:rPr>
              <w:t>9</w:t>
            </w:r>
          </w:p>
        </w:tc>
        <w:tc>
          <w:tcPr>
            <w:tcW w:w="2127" w:type="dxa"/>
          </w:tcPr>
          <w:p w:rsidR="00C47D94" w:rsidRPr="00EE003F" w:rsidRDefault="00C47D94" w:rsidP="00C47D94">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Doing Business (facilidad para hacer negocios)</w:t>
            </w:r>
          </w:p>
        </w:tc>
        <w:tc>
          <w:tcPr>
            <w:tcW w:w="1163" w:type="dxa"/>
          </w:tcPr>
          <w:p w:rsidR="00C47D94" w:rsidRPr="00EE003F" w:rsidRDefault="00C47D94" w:rsidP="00C47D94">
            <w:pPr>
              <w:pStyle w:val="BasicParagraph"/>
              <w:suppressAutoHyphens/>
              <w:jc w:val="center"/>
              <w:rPr>
                <w:rFonts w:ascii="Arial Narrow" w:hAnsi="Arial Narrow"/>
                <w:color w:val="auto"/>
              </w:rPr>
            </w:pPr>
            <w:r w:rsidRPr="00EE003F">
              <w:rPr>
                <w:rStyle w:val="cuerpodetextotablas"/>
                <w:rFonts w:ascii="Arial Narrow" w:hAnsi="Arial Narrow"/>
                <w:color w:val="auto"/>
              </w:rPr>
              <w:t>Banco Mundial</w:t>
            </w:r>
          </w:p>
        </w:tc>
        <w:tc>
          <w:tcPr>
            <w:tcW w:w="1041" w:type="dxa"/>
          </w:tcPr>
          <w:p w:rsidR="00C47D94" w:rsidRPr="00EE003F" w:rsidRDefault="00C47D94" w:rsidP="00C47D94">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50</w:t>
            </w:r>
          </w:p>
          <w:p w:rsidR="00C47D94" w:rsidRPr="00EE003F" w:rsidRDefault="00C47D94" w:rsidP="00C47D94">
            <w:pPr>
              <w:pStyle w:val="BasicParagraph"/>
              <w:suppressAutoHyphens/>
              <w:jc w:val="center"/>
              <w:rPr>
                <w:rFonts w:ascii="Arial Narrow" w:hAnsi="Arial Narrow"/>
                <w:color w:val="auto"/>
              </w:rPr>
            </w:pPr>
            <w:r w:rsidRPr="00EE003F">
              <w:rPr>
                <w:rStyle w:val="cuerpodetextotablas"/>
                <w:rFonts w:ascii="Arial Narrow" w:hAnsi="Arial Narrow"/>
                <w:color w:val="auto"/>
              </w:rPr>
              <w:t>(2015)</w:t>
            </w:r>
          </w:p>
        </w:tc>
        <w:tc>
          <w:tcPr>
            <w:tcW w:w="1032" w:type="dxa"/>
          </w:tcPr>
          <w:p w:rsidR="00C47D94" w:rsidRPr="00EE003F" w:rsidRDefault="00C47D94" w:rsidP="00C47D94">
            <w:pPr>
              <w:pStyle w:val="BasicParagraph"/>
              <w:suppressAutoHyphens/>
              <w:jc w:val="center"/>
              <w:rPr>
                <w:rFonts w:ascii="Arial Narrow" w:hAnsi="Arial Narrow"/>
                <w:color w:val="auto"/>
              </w:rPr>
            </w:pPr>
            <w:r w:rsidRPr="00EE003F">
              <w:rPr>
                <w:rStyle w:val="cuerpodetextotablas"/>
                <w:rFonts w:ascii="Arial Narrow" w:hAnsi="Arial Narrow"/>
                <w:color w:val="auto"/>
              </w:rPr>
              <w:t>48</w:t>
            </w:r>
          </w:p>
        </w:tc>
        <w:tc>
          <w:tcPr>
            <w:tcW w:w="938" w:type="dxa"/>
          </w:tcPr>
          <w:p w:rsidR="00C47D94" w:rsidRPr="00EE003F" w:rsidRDefault="00C47D94" w:rsidP="00C47D94">
            <w:pPr>
              <w:pStyle w:val="BasicParagraph"/>
              <w:suppressAutoHyphens/>
              <w:jc w:val="center"/>
              <w:rPr>
                <w:rFonts w:ascii="Arial Narrow" w:hAnsi="Arial Narrow"/>
                <w:color w:val="auto"/>
              </w:rPr>
            </w:pPr>
            <w:r w:rsidRPr="00EE003F">
              <w:rPr>
                <w:rStyle w:val="cuerpodetextotablas"/>
                <w:rFonts w:ascii="Arial Narrow" w:hAnsi="Arial Narrow"/>
                <w:color w:val="auto"/>
              </w:rPr>
              <w:t>38</w:t>
            </w:r>
          </w:p>
        </w:tc>
      </w:tr>
      <w:tr w:rsidR="00C47D94" w:rsidRPr="00EE003F" w:rsidTr="006C2E6B">
        <w:trPr>
          <w:trHeight w:val="1060"/>
        </w:trPr>
        <w:tc>
          <w:tcPr>
            <w:tcW w:w="444" w:type="dxa"/>
          </w:tcPr>
          <w:p w:rsidR="00C47D94" w:rsidRPr="00EE003F" w:rsidRDefault="00C47D94" w:rsidP="00C47D94">
            <w:pPr>
              <w:pStyle w:val="BasicParagraph"/>
              <w:suppressAutoHyphens/>
              <w:jc w:val="center"/>
              <w:rPr>
                <w:rFonts w:ascii="Arial Narrow" w:hAnsi="Arial Narrow"/>
                <w:color w:val="auto"/>
              </w:rPr>
            </w:pPr>
            <w:r w:rsidRPr="00EE003F">
              <w:rPr>
                <w:rStyle w:val="negritatablas"/>
                <w:rFonts w:ascii="Arial Narrow" w:hAnsi="Arial Narrow"/>
                <w:color w:val="auto"/>
              </w:rPr>
              <w:t>7</w:t>
            </w:r>
          </w:p>
        </w:tc>
        <w:tc>
          <w:tcPr>
            <w:tcW w:w="2532" w:type="dxa"/>
          </w:tcPr>
          <w:p w:rsidR="00C47D94" w:rsidRPr="00EE003F" w:rsidRDefault="00C47D94" w:rsidP="00C47D94">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Desarrollar un ecosistema tecnológico que potencie la estructura económica hacia actividades intensivas en tecnología</w:t>
            </w:r>
          </w:p>
        </w:tc>
        <w:tc>
          <w:tcPr>
            <w:tcW w:w="352" w:type="dxa"/>
          </w:tcPr>
          <w:p w:rsidR="00C47D94" w:rsidRPr="00EE003F" w:rsidRDefault="002A7756" w:rsidP="00C47D94">
            <w:pPr>
              <w:pStyle w:val="BasicParagraph"/>
              <w:suppressAutoHyphens/>
              <w:jc w:val="center"/>
              <w:rPr>
                <w:rFonts w:ascii="Arial Narrow" w:hAnsi="Arial Narrow"/>
                <w:color w:val="auto"/>
              </w:rPr>
            </w:pPr>
            <w:r w:rsidRPr="00EE003F">
              <w:rPr>
                <w:rStyle w:val="cuerpodetextotablas"/>
                <w:rFonts w:ascii="Arial Narrow" w:hAnsi="Arial Narrow"/>
                <w:color w:val="auto"/>
                <w:sz w:val="14"/>
              </w:rPr>
              <w:t>10</w:t>
            </w:r>
          </w:p>
        </w:tc>
        <w:tc>
          <w:tcPr>
            <w:tcW w:w="2127" w:type="dxa"/>
          </w:tcPr>
          <w:p w:rsidR="00C47D94" w:rsidRPr="00EE003F" w:rsidRDefault="00C47D94" w:rsidP="00C47D94">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Exportaciones de productos de alta tecnología (% de exportaciones manufacturadas)</w:t>
            </w:r>
          </w:p>
        </w:tc>
        <w:tc>
          <w:tcPr>
            <w:tcW w:w="1163" w:type="dxa"/>
          </w:tcPr>
          <w:p w:rsidR="00C47D94" w:rsidRPr="00EE003F" w:rsidRDefault="00C47D94" w:rsidP="00C47D94">
            <w:pPr>
              <w:pStyle w:val="BasicParagraph"/>
              <w:suppressAutoHyphens/>
              <w:jc w:val="center"/>
              <w:rPr>
                <w:rFonts w:ascii="Arial Narrow" w:hAnsi="Arial Narrow"/>
                <w:color w:val="auto"/>
              </w:rPr>
            </w:pPr>
            <w:r w:rsidRPr="00EE003F">
              <w:rPr>
                <w:rStyle w:val="cuerpodetextotablas"/>
                <w:rFonts w:ascii="Arial Narrow" w:hAnsi="Arial Narrow"/>
                <w:color w:val="auto"/>
              </w:rPr>
              <w:t>Banco Mundial</w:t>
            </w:r>
          </w:p>
        </w:tc>
        <w:tc>
          <w:tcPr>
            <w:tcW w:w="1041" w:type="dxa"/>
          </w:tcPr>
          <w:p w:rsidR="00C47D94" w:rsidRPr="00EE003F" w:rsidRDefault="00C47D94" w:rsidP="00C47D94">
            <w:pPr>
              <w:pStyle w:val="BasicParagraph"/>
              <w:suppressAutoHyphens/>
              <w:jc w:val="center"/>
              <w:rPr>
                <w:rFonts w:ascii="Arial Narrow" w:hAnsi="Arial Narrow"/>
                <w:color w:val="auto"/>
              </w:rPr>
            </w:pPr>
            <w:r w:rsidRPr="00EE003F">
              <w:rPr>
                <w:rStyle w:val="cuerpodetextotablas"/>
                <w:rFonts w:ascii="Arial Narrow" w:hAnsi="Arial Narrow"/>
                <w:color w:val="auto"/>
              </w:rPr>
              <w:t>3,57%</w:t>
            </w:r>
            <w:r w:rsidRPr="00EE003F">
              <w:rPr>
                <w:rStyle w:val="cuerpodetextotablas"/>
                <w:rFonts w:ascii="Arial Narrow" w:hAnsi="Arial Narrow"/>
                <w:color w:val="auto"/>
              </w:rPr>
              <w:br/>
              <w:t>(2013)</w:t>
            </w:r>
          </w:p>
        </w:tc>
        <w:tc>
          <w:tcPr>
            <w:tcW w:w="1032" w:type="dxa"/>
          </w:tcPr>
          <w:p w:rsidR="00C47D94" w:rsidRPr="00EE003F" w:rsidRDefault="00C47D94" w:rsidP="00C47D94">
            <w:pPr>
              <w:pStyle w:val="BasicParagraph"/>
              <w:suppressAutoHyphens/>
              <w:jc w:val="center"/>
              <w:rPr>
                <w:rFonts w:ascii="Arial Narrow" w:hAnsi="Arial Narrow"/>
                <w:color w:val="auto"/>
              </w:rPr>
            </w:pPr>
            <w:r w:rsidRPr="00EE003F">
              <w:rPr>
                <w:rStyle w:val="cuerpodetextotablas"/>
                <w:rFonts w:ascii="Arial Narrow" w:hAnsi="Arial Narrow"/>
                <w:color w:val="auto"/>
              </w:rPr>
              <w:t>3,88%</w:t>
            </w:r>
          </w:p>
        </w:tc>
        <w:tc>
          <w:tcPr>
            <w:tcW w:w="938" w:type="dxa"/>
          </w:tcPr>
          <w:p w:rsidR="00C47D94" w:rsidRPr="00EE003F" w:rsidRDefault="00C47D94" w:rsidP="00C47D94">
            <w:pPr>
              <w:pStyle w:val="BasicParagraph"/>
              <w:suppressAutoHyphens/>
              <w:jc w:val="center"/>
              <w:rPr>
                <w:rFonts w:ascii="Arial Narrow" w:hAnsi="Arial Narrow"/>
                <w:color w:val="auto"/>
              </w:rPr>
            </w:pPr>
            <w:r w:rsidRPr="00EE003F">
              <w:rPr>
                <w:rStyle w:val="cuerpodetextotablas"/>
                <w:rFonts w:ascii="Arial Narrow" w:hAnsi="Arial Narrow"/>
                <w:color w:val="auto"/>
              </w:rPr>
              <w:t>4,45%</w:t>
            </w:r>
          </w:p>
        </w:tc>
      </w:tr>
    </w:tbl>
    <w:p w:rsidR="003F54AD" w:rsidRPr="00EE003F" w:rsidRDefault="003F54AD" w:rsidP="001A4E17">
      <w:pPr>
        <w:rPr>
          <w:rFonts w:ascii="Arial Narrow" w:hAnsi="Arial Narrow"/>
        </w:rPr>
      </w:pPr>
    </w:p>
    <w:p w:rsidR="00D336B5" w:rsidRPr="00EE003F" w:rsidRDefault="00D336B5" w:rsidP="001A4E17">
      <w:pPr>
        <w:rPr>
          <w:rFonts w:ascii="Arial Narrow" w:hAnsi="Arial Narrow"/>
        </w:rPr>
      </w:pPr>
      <w:r w:rsidRPr="00EE003F">
        <w:rPr>
          <w:rFonts w:ascii="Arial Narrow" w:hAnsi="Arial Narrow"/>
          <w:noProof/>
          <w:lang w:eastAsia="es-PE"/>
        </w:rPr>
        <w:drawing>
          <wp:inline distT="0" distB="0" distL="0" distR="0" wp14:anchorId="4F7CDCC7" wp14:editId="042EA732">
            <wp:extent cx="5336275" cy="300251"/>
            <wp:effectExtent l="0" t="0" r="0" b="508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89908"/>
                    <a:stretch/>
                  </pic:blipFill>
                  <pic:spPr bwMode="auto">
                    <a:xfrm>
                      <a:off x="0" y="0"/>
                      <a:ext cx="5347549" cy="300885"/>
                    </a:xfrm>
                    <a:prstGeom prst="rect">
                      <a:avLst/>
                    </a:prstGeom>
                    <a:noFill/>
                    <a:ln>
                      <a:noFill/>
                    </a:ln>
                    <a:extLst>
                      <a:ext uri="{53640926-AAD7-44D8-BBD7-CCE9431645EC}">
                        <a14:shadowObscured xmlns:a14="http://schemas.microsoft.com/office/drawing/2010/main"/>
                      </a:ext>
                    </a:extLst>
                  </pic:spPr>
                </pic:pic>
              </a:graphicData>
            </a:graphic>
          </wp:inline>
        </w:drawing>
      </w:r>
    </w:p>
    <w:p w:rsidR="00A12C3F" w:rsidRPr="00EE003F" w:rsidRDefault="00A12C3F" w:rsidP="001A4E17">
      <w:pPr>
        <w:rPr>
          <w:rFonts w:ascii="Arial Narrow" w:hAnsi="Arial Narrow"/>
        </w:rPr>
      </w:pPr>
      <w:r w:rsidRPr="00EE003F">
        <w:rPr>
          <w:rFonts w:ascii="Arial Narrow" w:hAnsi="Arial Narrow"/>
          <w:noProof/>
          <w:lang w:eastAsia="es-PE"/>
        </w:rPr>
        <w:drawing>
          <wp:inline distT="0" distB="0" distL="0" distR="0" wp14:anchorId="0CD0E808" wp14:editId="45623D98">
            <wp:extent cx="5067245" cy="2565070"/>
            <wp:effectExtent l="0" t="0" r="635"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077570" cy="2570296"/>
                    </a:xfrm>
                    <a:prstGeom prst="rect">
                      <a:avLst/>
                    </a:prstGeom>
                    <a:noFill/>
                  </pic:spPr>
                </pic:pic>
              </a:graphicData>
            </a:graphic>
          </wp:inline>
        </w:drawing>
      </w:r>
    </w:p>
    <w:p w:rsidR="00D336B5" w:rsidRPr="00EE003F" w:rsidRDefault="000C7C48" w:rsidP="001A4E17">
      <w:pPr>
        <w:rPr>
          <w:rFonts w:ascii="Arial Narrow" w:hAnsi="Arial Narrow"/>
        </w:rPr>
      </w:pPr>
      <w:r w:rsidRPr="00EE003F">
        <w:rPr>
          <w:noProof/>
          <w:lang w:eastAsia="es-PE"/>
        </w:rPr>
        <w:drawing>
          <wp:inline distT="0" distB="0" distL="0" distR="0" wp14:anchorId="64E1BD05" wp14:editId="431D49A0">
            <wp:extent cx="5400675" cy="3499623"/>
            <wp:effectExtent l="0" t="0" r="0" b="571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400675" cy="3499623"/>
                    </a:xfrm>
                    <a:prstGeom prst="rect">
                      <a:avLst/>
                    </a:prstGeom>
                  </pic:spPr>
                </pic:pic>
              </a:graphicData>
            </a:graphic>
          </wp:inline>
        </w:drawing>
      </w:r>
    </w:p>
    <w:p w:rsidR="00D336B5" w:rsidRPr="00EE003F" w:rsidRDefault="00D336B5" w:rsidP="005B4BF8">
      <w:pPr>
        <w:spacing w:before="120" w:after="0" w:line="240" w:lineRule="auto"/>
        <w:rPr>
          <w:rFonts w:ascii="Arial Narrow" w:hAnsi="Arial Narrow" w:cs="Frutiger LT Std 45 Light"/>
          <w:b/>
          <w:sz w:val="24"/>
          <w:szCs w:val="24"/>
          <w:lang w:val="es-ES_tradnl"/>
        </w:rPr>
      </w:pPr>
      <w:r w:rsidRPr="00EE003F">
        <w:rPr>
          <w:rFonts w:ascii="Arial Narrow" w:hAnsi="Arial Narrow" w:cs="Frutiger LT Std 45 Light"/>
          <w:b/>
          <w:sz w:val="24"/>
          <w:szCs w:val="24"/>
          <w:lang w:val="es-ES_tradnl"/>
        </w:rPr>
        <w:t>Interpretación:</w:t>
      </w:r>
    </w:p>
    <w:p w:rsidR="0037414E" w:rsidRDefault="00D336B5" w:rsidP="0038146C">
      <w:pPr>
        <w:spacing w:before="120" w:after="0" w:line="240" w:lineRule="auto"/>
        <w:jc w:val="both"/>
        <w:rPr>
          <w:rFonts w:ascii="Arial Narrow" w:hAnsi="Arial Narrow"/>
        </w:rPr>
      </w:pPr>
      <w:r w:rsidRPr="00EE003F">
        <w:rPr>
          <w:rFonts w:ascii="Arial Narrow" w:hAnsi="Arial Narrow" w:cs="Frutiger LT Std 45 Light"/>
          <w:sz w:val="24"/>
          <w:szCs w:val="24"/>
          <w:lang w:val="es-ES_tradnl"/>
        </w:rPr>
        <w:t>El ICE sirve como herramienta para la predicción del crecimiento económico potencial de un país, una región o una ciudad. Cuanto más compleja y diversa sea la estructura productiva, mayor será la productividad marginal de sus trabajadores, la que se verá reflejada en mejores salarios y calidad de vida. El alto crec</w:t>
      </w:r>
      <w:r w:rsidR="00185701" w:rsidRPr="00EE003F">
        <w:rPr>
          <w:rFonts w:ascii="Arial Narrow" w:hAnsi="Arial Narrow" w:cs="Frutiger LT Std 45 Light"/>
          <w:sz w:val="24"/>
          <w:szCs w:val="24"/>
          <w:lang w:val="es-ES_tradnl"/>
        </w:rPr>
        <w:t>imiento económico entre el 2009</w:t>
      </w:r>
      <w:r w:rsidRPr="00EE003F">
        <w:rPr>
          <w:rFonts w:ascii="Arial Narrow" w:hAnsi="Arial Narrow" w:cs="Frutiger LT Std 45 Light"/>
          <w:sz w:val="24"/>
          <w:szCs w:val="24"/>
          <w:lang w:val="es-ES_tradnl"/>
        </w:rPr>
        <w:t>-2012 estuvo acompañado de una mejora en el ICE. Esto coincidió con la entrada en vigencia de los tratados de libre comercio, lo que hizo posible el aprovechamiento de las ventajas comparativas y la ampliación del tamaño de los mercados (economías de escala). El Plan Nacional de Diversificación Productiva contribuirá al cumplimiento de las metas trazadas para el 2016 y el 2021.</w:t>
      </w:r>
    </w:p>
    <w:p w:rsidR="0038146C" w:rsidRPr="00EE003F" w:rsidRDefault="0038146C" w:rsidP="0038146C">
      <w:pPr>
        <w:spacing w:before="120" w:after="0" w:line="240" w:lineRule="auto"/>
        <w:jc w:val="both"/>
        <w:rPr>
          <w:rFonts w:ascii="Arial Narrow" w:hAnsi="Arial Narrow" w:cs="Frutiger LT Std 45 Light"/>
          <w:lang w:val="es-ES_tradnl"/>
        </w:rPr>
      </w:pPr>
    </w:p>
    <w:p w:rsidR="00AD4AEA" w:rsidRPr="00EE003F" w:rsidRDefault="00AD4AEA" w:rsidP="00240C0D">
      <w:pPr>
        <w:rPr>
          <w:rFonts w:ascii="Arial Narrow" w:hAnsi="Arial Narrow" w:cs="Frutiger LT Std 45 Light"/>
          <w:lang w:val="es-ES_tradnl"/>
        </w:rPr>
      </w:pPr>
      <w:r w:rsidRPr="00EE003F">
        <w:rPr>
          <w:rFonts w:ascii="Arial Narrow" w:hAnsi="Arial Narrow" w:cs="Frutiger LT Std 45 Light"/>
          <w:noProof/>
          <w:lang w:eastAsia="es-PE"/>
        </w:rPr>
        <w:drawing>
          <wp:inline distT="0" distB="0" distL="0" distR="0" wp14:anchorId="559E4CAD" wp14:editId="34F0629D">
            <wp:extent cx="5168348" cy="2765322"/>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68529" cy="2765419"/>
                    </a:xfrm>
                    <a:prstGeom prst="rect">
                      <a:avLst/>
                    </a:prstGeom>
                    <a:noFill/>
                  </pic:spPr>
                </pic:pic>
              </a:graphicData>
            </a:graphic>
          </wp:inline>
        </w:drawing>
      </w:r>
    </w:p>
    <w:p w:rsidR="006A4E02" w:rsidRPr="00EE003F" w:rsidRDefault="006A4E02" w:rsidP="00240C0D">
      <w:pPr>
        <w:rPr>
          <w:rFonts w:ascii="Arial Narrow" w:hAnsi="Arial Narrow" w:cs="Frutiger LT Std 45 Light"/>
          <w:sz w:val="18"/>
          <w:lang w:val="es-ES_tradnl"/>
        </w:rPr>
      </w:pPr>
      <w:r w:rsidRPr="00EE003F">
        <w:rPr>
          <w:rFonts w:ascii="Arial Narrow" w:hAnsi="Arial Narrow" w:cs="Frutiger LT Std 45 Light"/>
          <w:sz w:val="18"/>
          <w:lang w:val="es-ES_tradnl"/>
        </w:rPr>
        <w:t>Fuente: Propuesta de documento prospectivo para la elaboración del PESEM MINCETUR.</w:t>
      </w:r>
    </w:p>
    <w:p w:rsidR="00D336B5" w:rsidRPr="00EE003F" w:rsidRDefault="00D336B5" w:rsidP="005B4BF8">
      <w:pPr>
        <w:spacing w:before="120" w:after="0" w:line="240" w:lineRule="auto"/>
        <w:rPr>
          <w:rFonts w:ascii="Arial Narrow" w:hAnsi="Arial Narrow" w:cs="Frutiger LT Std 45 Light"/>
          <w:b/>
          <w:sz w:val="24"/>
          <w:lang w:val="es-ES_tradnl"/>
        </w:rPr>
      </w:pPr>
      <w:r w:rsidRPr="00EE003F">
        <w:rPr>
          <w:rFonts w:ascii="Arial Narrow" w:hAnsi="Arial Narrow" w:cs="Frutiger LT Std 45 Light"/>
          <w:b/>
          <w:sz w:val="24"/>
          <w:lang w:val="es-ES_tradnl"/>
        </w:rPr>
        <w:t>Interpretación</w:t>
      </w:r>
      <w:r w:rsidR="005B4BF8" w:rsidRPr="00EE003F">
        <w:rPr>
          <w:rFonts w:ascii="Arial Narrow" w:hAnsi="Arial Narrow" w:cs="Frutiger LT Std 45 Light"/>
          <w:b/>
          <w:sz w:val="24"/>
          <w:lang w:val="es-ES_tradnl"/>
        </w:rPr>
        <w:t>:</w:t>
      </w:r>
    </w:p>
    <w:p w:rsidR="00D336B5" w:rsidRDefault="00D336B5" w:rsidP="005B4BF8">
      <w:pPr>
        <w:spacing w:before="120" w:after="0" w:line="240" w:lineRule="auto"/>
        <w:jc w:val="both"/>
        <w:rPr>
          <w:rFonts w:ascii="Arial Narrow" w:hAnsi="Arial Narrow" w:cs="Frutiger LT Std 45 Light"/>
          <w:sz w:val="24"/>
          <w:lang w:val="es-ES_tradnl"/>
        </w:rPr>
      </w:pPr>
      <w:r w:rsidRPr="00EE003F">
        <w:rPr>
          <w:rFonts w:ascii="Arial Narrow" w:hAnsi="Arial Narrow" w:cs="Frutiger LT Std 45 Light"/>
          <w:sz w:val="24"/>
          <w:lang w:val="es-ES_tradnl"/>
        </w:rPr>
        <w:t>Para los países en desarrollo, se define a las exportaciones no tradicionales como aquellos bienes que han sufrido cierto grado de transformación dentro de su proceso productivo y que históricamente no se transaban con el exterior en montos significativos. La implementación del Plan de Diversificación Productiva conjuntamente con</w:t>
      </w:r>
      <w:r w:rsidR="009939B0" w:rsidRPr="00EE003F">
        <w:rPr>
          <w:rFonts w:ascii="Arial Narrow" w:hAnsi="Arial Narrow" w:cs="Frutiger LT Std 45 Light"/>
          <w:sz w:val="24"/>
          <w:lang w:val="es-ES_tradnl"/>
        </w:rPr>
        <w:t xml:space="preserve"> el Plan Estratégico Nacional Exportador y </w:t>
      </w:r>
      <w:r w:rsidRPr="00EE003F">
        <w:rPr>
          <w:rFonts w:ascii="Arial Narrow" w:hAnsi="Arial Narrow" w:cs="Frutiger LT Std 45 Light"/>
          <w:sz w:val="24"/>
          <w:lang w:val="es-ES_tradnl"/>
        </w:rPr>
        <w:t xml:space="preserve"> la Agenda de Competitividad fomentará la exportación de productos con mayor valor agregado. De esta forma, se podrán alcanzar las metas establecidas para el 2016 y el 2021. </w:t>
      </w:r>
    </w:p>
    <w:p w:rsidR="0038146C" w:rsidRDefault="0038146C" w:rsidP="005B4BF8">
      <w:pPr>
        <w:spacing w:before="120" w:after="0" w:line="240" w:lineRule="auto"/>
        <w:jc w:val="both"/>
        <w:rPr>
          <w:rFonts w:ascii="Arial Narrow" w:hAnsi="Arial Narrow" w:cs="Frutiger LT Std 45 Light"/>
          <w:sz w:val="24"/>
          <w:lang w:val="es-ES_tradnl"/>
        </w:rPr>
      </w:pPr>
    </w:p>
    <w:p w:rsidR="0038146C" w:rsidRDefault="0038146C" w:rsidP="005B4BF8">
      <w:pPr>
        <w:spacing w:before="120" w:after="0" w:line="240" w:lineRule="auto"/>
        <w:jc w:val="both"/>
        <w:rPr>
          <w:rFonts w:ascii="Arial Narrow" w:hAnsi="Arial Narrow" w:cs="Frutiger LT Std 45 Light"/>
          <w:sz w:val="24"/>
          <w:lang w:val="es-ES_tradnl"/>
        </w:rPr>
      </w:pPr>
    </w:p>
    <w:p w:rsidR="0038146C" w:rsidRDefault="0038146C" w:rsidP="005B4BF8">
      <w:pPr>
        <w:spacing w:before="120" w:after="0" w:line="240" w:lineRule="auto"/>
        <w:jc w:val="both"/>
        <w:rPr>
          <w:rFonts w:ascii="Arial Narrow" w:hAnsi="Arial Narrow" w:cs="Frutiger LT Std 45 Light"/>
          <w:sz w:val="24"/>
          <w:lang w:val="es-ES_tradnl"/>
        </w:rPr>
      </w:pPr>
    </w:p>
    <w:p w:rsidR="0038146C" w:rsidRDefault="0038146C" w:rsidP="005B4BF8">
      <w:pPr>
        <w:spacing w:before="120" w:after="0" w:line="240" w:lineRule="auto"/>
        <w:jc w:val="both"/>
        <w:rPr>
          <w:rFonts w:ascii="Arial Narrow" w:hAnsi="Arial Narrow" w:cs="Frutiger LT Std 45 Light"/>
          <w:sz w:val="24"/>
          <w:lang w:val="es-ES_tradnl"/>
        </w:rPr>
      </w:pPr>
    </w:p>
    <w:p w:rsidR="0038146C" w:rsidRDefault="0038146C" w:rsidP="005B4BF8">
      <w:pPr>
        <w:spacing w:before="120" w:after="0" w:line="240" w:lineRule="auto"/>
        <w:jc w:val="both"/>
        <w:rPr>
          <w:rFonts w:ascii="Arial Narrow" w:hAnsi="Arial Narrow" w:cs="Frutiger LT Std 45 Light"/>
          <w:sz w:val="24"/>
          <w:lang w:val="es-ES_tradnl"/>
        </w:rPr>
      </w:pPr>
    </w:p>
    <w:p w:rsidR="0038146C" w:rsidRDefault="0038146C" w:rsidP="005B4BF8">
      <w:pPr>
        <w:spacing w:before="120" w:after="0" w:line="240" w:lineRule="auto"/>
        <w:jc w:val="both"/>
        <w:rPr>
          <w:rFonts w:ascii="Arial Narrow" w:hAnsi="Arial Narrow" w:cs="Frutiger LT Std 45 Light"/>
          <w:sz w:val="24"/>
          <w:lang w:val="es-ES_tradnl"/>
        </w:rPr>
      </w:pPr>
    </w:p>
    <w:p w:rsidR="0038146C" w:rsidRDefault="0038146C" w:rsidP="005B4BF8">
      <w:pPr>
        <w:spacing w:before="120" w:after="0" w:line="240" w:lineRule="auto"/>
        <w:jc w:val="both"/>
        <w:rPr>
          <w:rFonts w:ascii="Arial Narrow" w:hAnsi="Arial Narrow" w:cs="Frutiger LT Std 45 Light"/>
          <w:sz w:val="24"/>
          <w:lang w:val="es-ES_tradnl"/>
        </w:rPr>
      </w:pPr>
    </w:p>
    <w:p w:rsidR="0038146C" w:rsidRDefault="0038146C" w:rsidP="005B4BF8">
      <w:pPr>
        <w:spacing w:before="120" w:after="0" w:line="240" w:lineRule="auto"/>
        <w:jc w:val="both"/>
        <w:rPr>
          <w:rFonts w:ascii="Arial Narrow" w:hAnsi="Arial Narrow" w:cs="Frutiger LT Std 45 Light"/>
          <w:sz w:val="24"/>
          <w:lang w:val="es-ES_tradnl"/>
        </w:rPr>
      </w:pPr>
    </w:p>
    <w:p w:rsidR="0038146C" w:rsidRDefault="0038146C" w:rsidP="005B4BF8">
      <w:pPr>
        <w:spacing w:before="120" w:after="0" w:line="240" w:lineRule="auto"/>
        <w:jc w:val="both"/>
        <w:rPr>
          <w:rFonts w:ascii="Arial Narrow" w:hAnsi="Arial Narrow" w:cs="Frutiger LT Std 45 Light"/>
          <w:sz w:val="24"/>
          <w:lang w:val="es-ES_tradnl"/>
        </w:rPr>
      </w:pPr>
    </w:p>
    <w:p w:rsidR="0038146C" w:rsidRPr="00EE003F" w:rsidRDefault="0038146C" w:rsidP="005B4BF8">
      <w:pPr>
        <w:spacing w:before="120" w:after="0" w:line="240" w:lineRule="auto"/>
        <w:jc w:val="both"/>
        <w:rPr>
          <w:rFonts w:ascii="Arial Narrow" w:hAnsi="Arial Narrow" w:cs="Frutiger LT Std 45 Light"/>
          <w:sz w:val="24"/>
          <w:lang w:val="es-ES_tradnl"/>
        </w:rPr>
      </w:pPr>
    </w:p>
    <w:p w:rsidR="00D336B5" w:rsidRPr="00EE003F" w:rsidRDefault="00D336B5" w:rsidP="00962397">
      <w:pPr>
        <w:spacing w:after="0" w:line="240" w:lineRule="auto"/>
        <w:rPr>
          <w:rFonts w:ascii="Arial Narrow" w:hAnsi="Arial Narrow"/>
          <w:sz w:val="24"/>
        </w:rPr>
      </w:pPr>
    </w:p>
    <w:p w:rsidR="0037414E" w:rsidRPr="00EE003F" w:rsidRDefault="00B168A7" w:rsidP="001A4E17">
      <w:pPr>
        <w:rPr>
          <w:rFonts w:ascii="Arial Narrow" w:hAnsi="Arial Narrow"/>
        </w:rPr>
      </w:pPr>
      <w:r w:rsidRPr="00EE003F">
        <w:rPr>
          <w:rFonts w:ascii="Arial Narrow" w:hAnsi="Arial Narrow"/>
          <w:noProof/>
          <w:lang w:eastAsia="es-PE"/>
        </w:rPr>
        <w:drawing>
          <wp:inline distT="0" distB="0" distL="0" distR="0" wp14:anchorId="0503EBBE" wp14:editId="02778F2D">
            <wp:extent cx="5336269" cy="361666"/>
            <wp:effectExtent l="0" t="0" r="0" b="63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89313"/>
                    <a:stretch/>
                  </pic:blipFill>
                  <pic:spPr bwMode="auto">
                    <a:xfrm>
                      <a:off x="0" y="0"/>
                      <a:ext cx="5336254" cy="361665"/>
                    </a:xfrm>
                    <a:prstGeom prst="rect">
                      <a:avLst/>
                    </a:prstGeom>
                    <a:noFill/>
                    <a:ln>
                      <a:noFill/>
                    </a:ln>
                    <a:extLst>
                      <a:ext uri="{53640926-AAD7-44D8-BBD7-CCE9431645EC}">
                        <a14:shadowObscured xmlns:a14="http://schemas.microsoft.com/office/drawing/2010/main"/>
                      </a:ext>
                    </a:extLst>
                  </pic:spPr>
                </pic:pic>
              </a:graphicData>
            </a:graphic>
          </wp:inline>
        </w:drawing>
      </w:r>
    </w:p>
    <w:p w:rsidR="0037414E" w:rsidRPr="00EE003F" w:rsidRDefault="0037414E" w:rsidP="001A4E17">
      <w:pPr>
        <w:rPr>
          <w:rFonts w:ascii="Arial Narrow" w:hAnsi="Arial Narrow"/>
        </w:rPr>
      </w:pPr>
      <w:r w:rsidRPr="00EE003F">
        <w:rPr>
          <w:rFonts w:ascii="Arial Narrow" w:hAnsi="Arial Narrow"/>
          <w:noProof/>
          <w:lang w:eastAsia="es-PE"/>
        </w:rPr>
        <w:drawing>
          <wp:inline distT="0" distB="0" distL="0" distR="0" wp14:anchorId="3FBC58D6" wp14:editId="37A8D905">
            <wp:extent cx="5110983" cy="2838202"/>
            <wp:effectExtent l="0" t="0" r="0" b="63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srcRect t="4979"/>
                    <a:stretch/>
                  </pic:blipFill>
                  <pic:spPr bwMode="auto">
                    <a:xfrm>
                      <a:off x="0" y="0"/>
                      <a:ext cx="5122069" cy="2844358"/>
                    </a:xfrm>
                    <a:prstGeom prst="rect">
                      <a:avLst/>
                    </a:prstGeom>
                    <a:ln>
                      <a:noFill/>
                    </a:ln>
                    <a:extLst>
                      <a:ext uri="{53640926-AAD7-44D8-BBD7-CCE9431645EC}">
                        <a14:shadowObscured xmlns:a14="http://schemas.microsoft.com/office/drawing/2010/main"/>
                      </a:ext>
                    </a:extLst>
                  </pic:spPr>
                </pic:pic>
              </a:graphicData>
            </a:graphic>
          </wp:inline>
        </w:drawing>
      </w:r>
    </w:p>
    <w:p w:rsidR="00B168A7" w:rsidRPr="00EE003F" w:rsidRDefault="000C7C48" w:rsidP="001A4E17">
      <w:pPr>
        <w:rPr>
          <w:rFonts w:ascii="Arial Narrow" w:hAnsi="Arial Narrow"/>
        </w:rPr>
      </w:pPr>
      <w:r w:rsidRPr="00EE003F">
        <w:rPr>
          <w:noProof/>
          <w:lang w:eastAsia="es-PE"/>
        </w:rPr>
        <w:drawing>
          <wp:inline distT="0" distB="0" distL="0" distR="0" wp14:anchorId="639A6609" wp14:editId="35496394">
            <wp:extent cx="5400675" cy="3440349"/>
            <wp:effectExtent l="0" t="0" r="0" b="825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400675" cy="3440349"/>
                    </a:xfrm>
                    <a:prstGeom prst="rect">
                      <a:avLst/>
                    </a:prstGeom>
                  </pic:spPr>
                </pic:pic>
              </a:graphicData>
            </a:graphic>
          </wp:inline>
        </w:drawing>
      </w:r>
    </w:p>
    <w:p w:rsidR="00B168A7" w:rsidRPr="00EE003F" w:rsidRDefault="00B168A7" w:rsidP="00912E56">
      <w:pPr>
        <w:spacing w:before="120" w:after="0" w:line="240" w:lineRule="auto"/>
        <w:rPr>
          <w:rFonts w:ascii="Arial Narrow" w:hAnsi="Arial Narrow" w:cs="Frutiger LT Std 45 Light"/>
          <w:b/>
          <w:sz w:val="24"/>
          <w:szCs w:val="24"/>
          <w:lang w:val="es-ES_tradnl"/>
        </w:rPr>
      </w:pPr>
      <w:r w:rsidRPr="00EE003F">
        <w:rPr>
          <w:rFonts w:ascii="Arial Narrow" w:hAnsi="Arial Narrow" w:cs="Frutiger LT Std 45 Light"/>
          <w:b/>
          <w:sz w:val="24"/>
          <w:szCs w:val="24"/>
          <w:lang w:val="es-ES_tradnl"/>
        </w:rPr>
        <w:t>Interpretación:</w:t>
      </w:r>
    </w:p>
    <w:p w:rsidR="009411F7" w:rsidRPr="00EE003F" w:rsidRDefault="009411F7" w:rsidP="009411F7">
      <w:pPr>
        <w:spacing w:before="120" w:after="0" w:line="240" w:lineRule="auto"/>
        <w:jc w:val="both"/>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Vemos que entre el 2006 y el 2009, el índice no ha variado sustancialmente. Entre el 2009 y el 2014, hubo una mejora debido principalmente a una ampliación de la cobertura en los servicios educativos. La articulación de los mercados laborales con los mercados educativos, acompañada de una mejora en la calidad educativa de las universidades e institutos tecnológicos haría posible que el Perú supere la tendencia histórica que nos ubica en lugares muy por debajo del promedio regional y mundial. </w:t>
      </w:r>
    </w:p>
    <w:p w:rsidR="00A77D96" w:rsidRPr="00EE003F" w:rsidRDefault="00A77D96">
      <w:pP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br w:type="page"/>
      </w:r>
    </w:p>
    <w:p w:rsidR="00B73036" w:rsidRPr="00EE003F" w:rsidRDefault="00B73036" w:rsidP="00912E56">
      <w:pPr>
        <w:spacing w:before="120" w:after="0" w:line="240" w:lineRule="auto"/>
        <w:jc w:val="both"/>
        <w:rPr>
          <w:rFonts w:ascii="Arial Narrow" w:hAnsi="Arial Narrow" w:cs="Frutiger LT Std 45 Light"/>
          <w:sz w:val="24"/>
          <w:szCs w:val="24"/>
          <w:lang w:val="es-ES_tradnl"/>
        </w:rPr>
      </w:pPr>
    </w:p>
    <w:p w:rsidR="00CD5A97" w:rsidRPr="00EE003F" w:rsidRDefault="00CD5A97" w:rsidP="00912E56">
      <w:pPr>
        <w:spacing w:before="120" w:after="0" w:line="240" w:lineRule="auto"/>
        <w:jc w:val="both"/>
        <w:rPr>
          <w:rFonts w:ascii="Arial Narrow" w:hAnsi="Arial Narrow" w:cs="Frutiger LT Std 45 Light"/>
          <w:sz w:val="24"/>
          <w:szCs w:val="24"/>
          <w:lang w:val="es-ES_tradnl"/>
        </w:rPr>
      </w:pPr>
    </w:p>
    <w:p w:rsidR="001D507D" w:rsidRPr="00EE003F" w:rsidRDefault="001D507D" w:rsidP="001A4E17">
      <w:pPr>
        <w:rPr>
          <w:rFonts w:ascii="Arial Narrow" w:hAnsi="Arial Narrow"/>
        </w:rPr>
      </w:pPr>
      <w:r w:rsidRPr="00EE003F">
        <w:rPr>
          <w:rFonts w:ascii="Arial Narrow" w:hAnsi="Arial Narrow"/>
          <w:noProof/>
          <w:lang w:eastAsia="es-PE"/>
        </w:rPr>
        <w:drawing>
          <wp:inline distT="0" distB="0" distL="0" distR="0" wp14:anchorId="5B7DE55A" wp14:editId="07D49D91">
            <wp:extent cx="5792767" cy="3079699"/>
            <wp:effectExtent l="0" t="0" r="0" b="6985"/>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srcRect l="3792" t="6070" r="6321" b="2155"/>
                    <a:stretch/>
                  </pic:blipFill>
                  <pic:spPr bwMode="auto">
                    <a:xfrm>
                      <a:off x="0" y="0"/>
                      <a:ext cx="5805239" cy="3086330"/>
                    </a:xfrm>
                    <a:prstGeom prst="rect">
                      <a:avLst/>
                    </a:prstGeom>
                    <a:ln>
                      <a:noFill/>
                    </a:ln>
                    <a:extLst>
                      <a:ext uri="{53640926-AAD7-44D8-BBD7-CCE9431645EC}">
                        <a14:shadowObscured xmlns:a14="http://schemas.microsoft.com/office/drawing/2010/main"/>
                      </a:ext>
                    </a:extLst>
                  </pic:spPr>
                </pic:pic>
              </a:graphicData>
            </a:graphic>
          </wp:inline>
        </w:drawing>
      </w:r>
    </w:p>
    <w:p w:rsidR="00B168A7" w:rsidRPr="00EE003F" w:rsidRDefault="00B168A7" w:rsidP="00912E56">
      <w:pPr>
        <w:spacing w:before="120" w:after="0" w:line="240" w:lineRule="auto"/>
        <w:rPr>
          <w:rFonts w:ascii="Arial Narrow" w:hAnsi="Arial Narrow" w:cs="Frutiger LT Std 45 Light"/>
          <w:b/>
          <w:sz w:val="24"/>
          <w:szCs w:val="24"/>
          <w:lang w:val="es-ES_tradnl"/>
        </w:rPr>
      </w:pPr>
      <w:r w:rsidRPr="00EE003F">
        <w:rPr>
          <w:rFonts w:ascii="Arial Narrow" w:hAnsi="Arial Narrow" w:cs="Frutiger LT Std 45 Light"/>
          <w:b/>
          <w:sz w:val="24"/>
          <w:szCs w:val="24"/>
          <w:lang w:val="es-ES_tradnl"/>
        </w:rPr>
        <w:t>Interpretación</w:t>
      </w:r>
      <w:r w:rsidR="005B4BF8" w:rsidRPr="00EE003F">
        <w:rPr>
          <w:rFonts w:ascii="Arial Narrow" w:hAnsi="Arial Narrow" w:cs="Frutiger LT Std 45 Light"/>
          <w:b/>
          <w:sz w:val="24"/>
          <w:szCs w:val="24"/>
          <w:lang w:val="es-ES_tradnl"/>
        </w:rPr>
        <w:t>:</w:t>
      </w:r>
    </w:p>
    <w:p w:rsidR="00B168A7" w:rsidRPr="00EE003F" w:rsidRDefault="00B168A7" w:rsidP="00912E56">
      <w:pPr>
        <w:spacing w:before="120" w:after="0" w:line="240" w:lineRule="auto"/>
        <w:jc w:val="both"/>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La informalidad del empleo es uno de los principales retos a superar en el mercado de trabajo peruano. Si bien este fenómeno se ha reducido considerablemente en años recientes, aún existían en el 2013 cerca de 8 millones de peruanos (64%) que tienen un empleo informal no agrícola, caracterizado por un déficit del trabajo decente, ingresos inadecuados, jornadas laborales excesivas, sin poder de ejercer el derecho a la negociación colectiva, al margen de la legislación y de la seguridad social. </w:t>
      </w:r>
    </w:p>
    <w:p w:rsidR="000C7C48" w:rsidRPr="00EE003F" w:rsidRDefault="000C7C48" w:rsidP="00962397">
      <w:pPr>
        <w:spacing w:after="0" w:line="240" w:lineRule="auto"/>
        <w:jc w:val="both"/>
        <w:rPr>
          <w:rFonts w:ascii="Arial Narrow" w:hAnsi="Arial Narrow" w:cs="Frutiger LT Std 45 Light"/>
          <w:sz w:val="24"/>
          <w:szCs w:val="24"/>
          <w:lang w:val="es-ES_tradnl"/>
        </w:rPr>
      </w:pPr>
    </w:p>
    <w:p w:rsidR="00B168A7" w:rsidRPr="00EE003F" w:rsidRDefault="00B168A7" w:rsidP="00962397">
      <w:pPr>
        <w:spacing w:after="0" w:line="240" w:lineRule="auto"/>
        <w:jc w:val="both"/>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Frente a esta situación en Perú se vienen desarrollado políticas y acciones específicas para facilitar el tránsito hacia la formalidad. Ejemplo de ello es la aprobación del Plan Nacional de Diversificación Productiva con </w:t>
      </w:r>
      <w:r w:rsidR="00D174F7" w:rsidRPr="00EE003F">
        <w:rPr>
          <w:rFonts w:ascii="Arial Narrow" w:hAnsi="Arial Narrow" w:cs="Frutiger LT Std 45 Light"/>
          <w:sz w:val="24"/>
          <w:szCs w:val="24"/>
          <w:lang w:val="es-ES_tradnl"/>
        </w:rPr>
        <w:t xml:space="preserve">el objetivo de reducir la informalidad laboral </w:t>
      </w:r>
      <w:r w:rsidRPr="00EE003F">
        <w:rPr>
          <w:rFonts w:ascii="Arial Narrow" w:hAnsi="Arial Narrow" w:cs="Frutiger LT Std 45 Light"/>
          <w:sz w:val="24"/>
          <w:szCs w:val="24"/>
          <w:lang w:val="es-ES_tradnl"/>
        </w:rPr>
        <w:t xml:space="preserve">al 2021, así como la aprobación de la Estrategia Sectorial para la Formalización Laboral del </w:t>
      </w:r>
      <w:r w:rsidR="00A95F7E" w:rsidRPr="00EE003F">
        <w:rPr>
          <w:rFonts w:ascii="Arial Narrow" w:hAnsi="Arial Narrow" w:cs="Frutiger LT Std 45 Light"/>
          <w:sz w:val="24"/>
          <w:szCs w:val="24"/>
          <w:lang w:val="es-ES_tradnl"/>
        </w:rPr>
        <w:t>MTPE</w:t>
      </w:r>
      <w:r w:rsidRPr="00EE003F">
        <w:rPr>
          <w:rFonts w:ascii="Arial Narrow" w:hAnsi="Arial Narrow" w:cs="Frutiger LT Std 45 Light"/>
          <w:sz w:val="24"/>
          <w:szCs w:val="24"/>
          <w:lang w:val="es-ES_tradnl"/>
        </w:rPr>
        <w:t>. Si bien estos avances son importantes para reducir progresivamente la informalidad, aún se requiere de un enfoque integrado que involucre estrategias orientadas a la mejora de la productividad, la normatividad, los incentivos y la fiscalización.</w:t>
      </w:r>
    </w:p>
    <w:p w:rsidR="00C47D94" w:rsidRPr="00EE003F" w:rsidRDefault="00C47D94" w:rsidP="00962397">
      <w:pPr>
        <w:spacing w:after="0" w:line="240" w:lineRule="auto"/>
        <w:jc w:val="both"/>
        <w:rPr>
          <w:rFonts w:ascii="Arial Narrow" w:hAnsi="Arial Narrow" w:cs="Frutiger LT Std 45 Light"/>
          <w:lang w:val="es-ES_tradnl"/>
        </w:rPr>
      </w:pPr>
    </w:p>
    <w:p w:rsidR="00C47D94" w:rsidRPr="00EE003F" w:rsidRDefault="00C47D94" w:rsidP="00C47D94">
      <w:pPr>
        <w:spacing w:after="0" w:line="240" w:lineRule="auto"/>
        <w:jc w:val="both"/>
        <w:rPr>
          <w:rFonts w:ascii="Arial Narrow" w:hAnsi="Arial Narrow" w:cs="Frutiger LT Std 45 Light"/>
          <w:lang w:val="es-ES_tradnl"/>
        </w:rPr>
      </w:pPr>
    </w:p>
    <w:p w:rsidR="00C47D94" w:rsidRPr="00EE003F" w:rsidRDefault="00560315" w:rsidP="00C47D94">
      <w:pPr>
        <w:jc w:val="both"/>
        <w:rPr>
          <w:rFonts w:ascii="Arial Narrow" w:hAnsi="Arial Narrow"/>
        </w:rPr>
      </w:pPr>
      <w:r w:rsidRPr="00EE003F">
        <w:rPr>
          <w:rFonts w:ascii="Arial Narrow" w:hAnsi="Arial Narrow"/>
          <w:noProof/>
          <w:lang w:eastAsia="es-PE"/>
        </w:rPr>
        <w:drawing>
          <wp:inline distT="0" distB="0" distL="0" distR="0" wp14:anchorId="02AD7E6C" wp14:editId="54D7B84B">
            <wp:extent cx="5104529" cy="2732568"/>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15918" cy="2738665"/>
                    </a:xfrm>
                    <a:prstGeom prst="rect">
                      <a:avLst/>
                    </a:prstGeom>
                    <a:noFill/>
                  </pic:spPr>
                </pic:pic>
              </a:graphicData>
            </a:graphic>
          </wp:inline>
        </w:drawing>
      </w:r>
    </w:p>
    <w:p w:rsidR="00C47D94" w:rsidRPr="00EE003F" w:rsidRDefault="000C7C48" w:rsidP="00C47D94">
      <w:pPr>
        <w:jc w:val="both"/>
        <w:rPr>
          <w:rFonts w:ascii="Arial Narrow" w:hAnsi="Arial Narrow"/>
        </w:rPr>
      </w:pPr>
      <w:r w:rsidRPr="00EE003F">
        <w:rPr>
          <w:noProof/>
          <w:lang w:eastAsia="es-PE"/>
        </w:rPr>
        <w:drawing>
          <wp:inline distT="0" distB="0" distL="0" distR="0" wp14:anchorId="72C604E4" wp14:editId="31B68209">
            <wp:extent cx="5400675" cy="3654225"/>
            <wp:effectExtent l="0" t="0" r="0" b="381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400675" cy="3654225"/>
                    </a:xfrm>
                    <a:prstGeom prst="rect">
                      <a:avLst/>
                    </a:prstGeom>
                  </pic:spPr>
                </pic:pic>
              </a:graphicData>
            </a:graphic>
          </wp:inline>
        </w:drawing>
      </w:r>
    </w:p>
    <w:p w:rsidR="00C47D94" w:rsidRPr="00EE003F" w:rsidRDefault="00C47D94" w:rsidP="00912E56">
      <w:pPr>
        <w:spacing w:before="120" w:after="0" w:line="240" w:lineRule="auto"/>
        <w:jc w:val="both"/>
        <w:rPr>
          <w:rFonts w:ascii="Arial Narrow" w:hAnsi="Arial Narrow"/>
          <w:b/>
          <w:color w:val="000000" w:themeColor="text1"/>
          <w:sz w:val="24"/>
          <w:szCs w:val="24"/>
        </w:rPr>
      </w:pPr>
      <w:r w:rsidRPr="00EE003F">
        <w:rPr>
          <w:rFonts w:ascii="Arial Narrow" w:hAnsi="Arial Narrow"/>
          <w:b/>
          <w:color w:val="000000" w:themeColor="text1"/>
          <w:sz w:val="24"/>
          <w:szCs w:val="24"/>
        </w:rPr>
        <w:t>Interpretación</w:t>
      </w:r>
      <w:r w:rsidR="00912E56" w:rsidRPr="00EE003F">
        <w:rPr>
          <w:rFonts w:ascii="Arial Narrow" w:hAnsi="Arial Narrow"/>
          <w:b/>
          <w:color w:val="000000" w:themeColor="text1"/>
          <w:sz w:val="24"/>
          <w:szCs w:val="24"/>
        </w:rPr>
        <w:t>:</w:t>
      </w:r>
    </w:p>
    <w:p w:rsidR="00C47D94" w:rsidRPr="00EE003F" w:rsidRDefault="00560315" w:rsidP="00912E56">
      <w:pPr>
        <w:spacing w:before="120" w:after="0" w:line="240" w:lineRule="auto"/>
        <w:jc w:val="both"/>
        <w:rPr>
          <w:rFonts w:ascii="Arial Narrow" w:hAnsi="Arial Narrow"/>
          <w:color w:val="000000" w:themeColor="text1"/>
          <w:sz w:val="24"/>
          <w:szCs w:val="24"/>
        </w:rPr>
      </w:pPr>
      <w:r w:rsidRPr="00EE003F">
        <w:rPr>
          <w:rFonts w:ascii="Arial Narrow" w:hAnsi="Arial Narrow" w:cs="Frutiger LT Std 45 Light"/>
          <w:color w:val="000000" w:themeColor="text1"/>
          <w:spacing w:val="2"/>
          <w:sz w:val="24"/>
          <w:szCs w:val="24"/>
          <w:lang w:val="es-ES_tradnl"/>
        </w:rPr>
        <w:t xml:space="preserve">Debido al cambio en el contexto internacional que impactó sobre la caída de precio de minerales, la consecuente reducción de la inversión externa y el incremento de la inflación las calificadoras de riesgo han replanteado el escenario de la deuda del Perú. </w:t>
      </w:r>
      <w:r w:rsidR="00C40D81" w:rsidRPr="00EE003F">
        <w:rPr>
          <w:rFonts w:ascii="Arial Narrow" w:hAnsi="Arial Narrow" w:cs="Frutiger LT Std 45 Light"/>
          <w:color w:val="000000" w:themeColor="text1"/>
          <w:spacing w:val="2"/>
          <w:sz w:val="24"/>
          <w:szCs w:val="24"/>
          <w:lang w:val="es-ES_tradnl"/>
        </w:rPr>
        <w:t xml:space="preserve">Sin embargo en </w:t>
      </w:r>
      <w:r w:rsidR="009411F7" w:rsidRPr="00EE003F">
        <w:rPr>
          <w:rFonts w:ascii="Arial Narrow" w:hAnsi="Arial Narrow" w:cs="Frutiger LT Std 45 Light"/>
          <w:color w:val="000000" w:themeColor="text1"/>
          <w:spacing w:val="2"/>
          <w:sz w:val="24"/>
          <w:szCs w:val="24"/>
          <w:lang w:val="es-ES_tradnl"/>
        </w:rPr>
        <w:t xml:space="preserve">mayo </w:t>
      </w:r>
      <w:r w:rsidR="00C40D81" w:rsidRPr="00EE003F">
        <w:rPr>
          <w:rFonts w:ascii="Arial Narrow" w:hAnsi="Arial Narrow" w:cs="Frutiger LT Std 45 Light"/>
          <w:color w:val="000000" w:themeColor="text1"/>
          <w:spacing w:val="2"/>
          <w:sz w:val="24"/>
          <w:szCs w:val="24"/>
          <w:lang w:val="es-ES_tradnl"/>
        </w:rPr>
        <w:t xml:space="preserve">de 2016, Standard &amp; </w:t>
      </w:r>
      <w:proofErr w:type="spellStart"/>
      <w:r w:rsidR="00C40D81" w:rsidRPr="00EE003F">
        <w:rPr>
          <w:rFonts w:ascii="Arial Narrow" w:hAnsi="Arial Narrow" w:cs="Frutiger LT Std 45 Light"/>
          <w:color w:val="000000" w:themeColor="text1"/>
          <w:spacing w:val="2"/>
          <w:sz w:val="24"/>
          <w:szCs w:val="24"/>
          <w:lang w:val="es-ES_tradnl"/>
        </w:rPr>
        <w:t>Poor´</w:t>
      </w:r>
      <w:r w:rsidR="009411F7" w:rsidRPr="00EE003F">
        <w:rPr>
          <w:rFonts w:ascii="Arial Narrow" w:hAnsi="Arial Narrow" w:cs="Frutiger LT Std 45 Light"/>
          <w:color w:val="000000" w:themeColor="text1"/>
          <w:spacing w:val="2"/>
          <w:sz w:val="24"/>
          <w:szCs w:val="24"/>
          <w:lang w:val="es-ES_tradnl"/>
        </w:rPr>
        <w:t>s</w:t>
      </w:r>
      <w:proofErr w:type="spellEnd"/>
      <w:r w:rsidR="009411F7" w:rsidRPr="00EE003F">
        <w:rPr>
          <w:rFonts w:ascii="Arial Narrow" w:hAnsi="Arial Narrow" w:cs="Frutiger LT Std 45 Light"/>
          <w:color w:val="000000" w:themeColor="text1"/>
          <w:spacing w:val="2"/>
          <w:sz w:val="24"/>
          <w:szCs w:val="24"/>
          <w:lang w:val="es-ES_tradnl"/>
        </w:rPr>
        <w:t xml:space="preserve"> alcanzó </w:t>
      </w:r>
      <w:r w:rsidR="00C40D81" w:rsidRPr="00EE003F">
        <w:rPr>
          <w:rFonts w:ascii="Arial Narrow" w:hAnsi="Arial Narrow" w:cs="Frutiger LT Std 45 Light"/>
          <w:color w:val="000000" w:themeColor="text1"/>
          <w:spacing w:val="2"/>
          <w:sz w:val="24"/>
          <w:szCs w:val="24"/>
          <w:lang w:val="es-ES_tradnl"/>
        </w:rPr>
        <w:t xml:space="preserve">la calificación de rating de la deuda soberana en moneda local en </w:t>
      </w:r>
      <w:r w:rsidR="009411F7" w:rsidRPr="00EE003F">
        <w:rPr>
          <w:rFonts w:ascii="Arial Narrow" w:hAnsi="Arial Narrow" w:cs="Frutiger LT Std 45 Light"/>
          <w:color w:val="000000" w:themeColor="text1"/>
          <w:spacing w:val="2"/>
          <w:sz w:val="24"/>
          <w:szCs w:val="24"/>
          <w:lang w:val="es-ES_tradnl"/>
        </w:rPr>
        <w:t>A-</w:t>
      </w:r>
      <w:r w:rsidR="00C40D81" w:rsidRPr="00EE003F">
        <w:rPr>
          <w:rStyle w:val="Refdenotaalpie"/>
          <w:rFonts w:ascii="Arial Narrow" w:hAnsi="Arial Narrow" w:cs="Frutiger LT Std 45 Light"/>
          <w:color w:val="000000" w:themeColor="text1"/>
          <w:spacing w:val="2"/>
          <w:sz w:val="24"/>
          <w:szCs w:val="24"/>
          <w:lang w:val="es-ES_tradnl"/>
        </w:rPr>
        <w:footnoteReference w:id="31"/>
      </w:r>
      <w:r w:rsidR="009411F7" w:rsidRPr="00EE003F">
        <w:rPr>
          <w:rFonts w:ascii="Arial Narrow" w:hAnsi="Arial Narrow" w:cs="Frutiger LT Std 45 Light"/>
          <w:color w:val="000000" w:themeColor="text1"/>
          <w:spacing w:val="2"/>
          <w:sz w:val="24"/>
          <w:szCs w:val="24"/>
          <w:lang w:val="es-ES_tradnl"/>
        </w:rPr>
        <w:t xml:space="preserve">, esto </w:t>
      </w:r>
      <w:r w:rsidR="00C40D81" w:rsidRPr="00EE003F">
        <w:rPr>
          <w:rFonts w:ascii="Arial Narrow" w:hAnsi="Arial Narrow" w:cs="Frutiger LT Std 45 Light"/>
          <w:color w:val="000000" w:themeColor="text1"/>
          <w:spacing w:val="2"/>
          <w:sz w:val="24"/>
          <w:szCs w:val="24"/>
          <w:lang w:val="es-ES_tradnl"/>
        </w:rPr>
        <w:t>posiciona al Perú dentro del grupo de países con grado de inversión.</w:t>
      </w:r>
    </w:p>
    <w:p w:rsidR="004B2158" w:rsidRPr="00EE003F" w:rsidRDefault="004B2158" w:rsidP="004B2158">
      <w:pPr>
        <w:jc w:val="both"/>
        <w:rPr>
          <w:rFonts w:ascii="Arial Narrow" w:hAnsi="Arial Narrow"/>
        </w:rPr>
      </w:pPr>
      <w:r w:rsidRPr="00EE003F">
        <w:rPr>
          <w:rFonts w:ascii="Arial Narrow" w:hAnsi="Arial Narrow"/>
          <w:noProof/>
          <w:lang w:eastAsia="es-PE"/>
        </w:rPr>
        <w:drawing>
          <wp:inline distT="0" distB="0" distL="0" distR="0" wp14:anchorId="41A759A1" wp14:editId="4C263E78">
            <wp:extent cx="5400675" cy="311097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400675" cy="3110979"/>
                    </a:xfrm>
                    <a:prstGeom prst="rect">
                      <a:avLst/>
                    </a:prstGeom>
                  </pic:spPr>
                </pic:pic>
              </a:graphicData>
            </a:graphic>
          </wp:inline>
        </w:drawing>
      </w:r>
    </w:p>
    <w:p w:rsidR="004B2158" w:rsidRPr="00EE003F" w:rsidRDefault="004B2158" w:rsidP="004B2158">
      <w:pPr>
        <w:spacing w:before="120" w:after="0" w:line="240" w:lineRule="auto"/>
        <w:rPr>
          <w:rFonts w:ascii="Arial Narrow" w:hAnsi="Arial Narrow" w:cs="Frutiger LT Std 45 Light"/>
          <w:b/>
          <w:sz w:val="24"/>
          <w:szCs w:val="24"/>
          <w:lang w:val="es-ES_tradnl"/>
        </w:rPr>
      </w:pPr>
      <w:r w:rsidRPr="00EE003F">
        <w:rPr>
          <w:rFonts w:ascii="Arial Narrow" w:hAnsi="Arial Narrow" w:cs="Frutiger LT Std 45 Light"/>
          <w:b/>
          <w:sz w:val="24"/>
          <w:szCs w:val="24"/>
          <w:lang w:val="es-ES_tradnl"/>
        </w:rPr>
        <w:t>Interpretación:</w:t>
      </w:r>
    </w:p>
    <w:p w:rsidR="004B2158" w:rsidRPr="00EE003F" w:rsidRDefault="004B2158" w:rsidP="004B2158">
      <w:pPr>
        <w:spacing w:before="120" w:after="0" w:line="240" w:lineRule="auto"/>
        <w:jc w:val="both"/>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El rol del sector financiero consiste en la provisión de servicios a las firmas en cuestiones de financiamiento y diversificación de riesgo. A través de los depósitos bancarios, diversas empresas privadas canalizan créditos al sector productivo con la finalidad de incentivar las inversiones y promover la inclusión financiera. Para  alcanzar las  metas establecidas en el 2021, la Estrategia Nacional de Inclusión Financiera  servirá como  instrumento para incrementar el uso y acceso a servicios financieros de calidad por parte de todos los segmentos de la población, mediante la innovación en productos financieros, como por ejemplo, el uso de la tecnología para la ampliación del mercado financiero o el dinero electrónico, entre otros.</w:t>
      </w:r>
    </w:p>
    <w:p w:rsidR="00177050" w:rsidRPr="00EE003F" w:rsidRDefault="00177050" w:rsidP="004B2158">
      <w:pPr>
        <w:spacing w:before="120" w:after="0" w:line="240" w:lineRule="auto"/>
        <w:jc w:val="both"/>
        <w:rPr>
          <w:rFonts w:ascii="Arial Narrow" w:hAnsi="Arial Narrow" w:cs="Frutiger LT Std 45 Light"/>
          <w:sz w:val="24"/>
          <w:szCs w:val="24"/>
          <w:lang w:val="es-ES_tradnl"/>
        </w:rPr>
      </w:pPr>
    </w:p>
    <w:p w:rsidR="004B2158" w:rsidRPr="00EE003F" w:rsidRDefault="00607961" w:rsidP="00C47D94">
      <w:pPr>
        <w:jc w:val="both"/>
        <w:rPr>
          <w:rFonts w:ascii="Arial Narrow" w:hAnsi="Arial Narrow"/>
          <w:lang w:val="es-ES_tradnl"/>
        </w:rPr>
      </w:pPr>
      <w:r w:rsidRPr="00EE003F">
        <w:rPr>
          <w:rFonts w:ascii="Arial Narrow" w:hAnsi="Arial Narrow"/>
          <w:noProof/>
          <w:lang w:eastAsia="es-PE"/>
        </w:rPr>
        <w:drawing>
          <wp:inline distT="0" distB="0" distL="0" distR="0" wp14:anchorId="72375848" wp14:editId="5042C86D">
            <wp:extent cx="4952011" cy="2712725"/>
            <wp:effectExtent l="0" t="0" r="127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54502" cy="2714090"/>
                    </a:xfrm>
                    <a:prstGeom prst="rect">
                      <a:avLst/>
                    </a:prstGeom>
                    <a:noFill/>
                  </pic:spPr>
                </pic:pic>
              </a:graphicData>
            </a:graphic>
          </wp:inline>
        </w:drawing>
      </w:r>
    </w:p>
    <w:p w:rsidR="00C47D94" w:rsidRPr="00EE003F" w:rsidRDefault="00C47D94" w:rsidP="00912E56">
      <w:pPr>
        <w:spacing w:before="120" w:after="0" w:line="240" w:lineRule="auto"/>
        <w:rPr>
          <w:rFonts w:ascii="Arial Narrow" w:hAnsi="Arial Narrow" w:cs="Frutiger LT Std 45 Light"/>
          <w:b/>
          <w:color w:val="000000" w:themeColor="text1"/>
          <w:sz w:val="24"/>
          <w:szCs w:val="24"/>
          <w:lang w:val="es-ES_tradnl"/>
        </w:rPr>
      </w:pPr>
      <w:r w:rsidRPr="00EE003F">
        <w:rPr>
          <w:rFonts w:ascii="Arial Narrow" w:hAnsi="Arial Narrow" w:cs="Frutiger LT Std 45 Light"/>
          <w:b/>
          <w:color w:val="000000" w:themeColor="text1"/>
          <w:sz w:val="24"/>
          <w:szCs w:val="24"/>
          <w:lang w:val="es-ES_tradnl"/>
        </w:rPr>
        <w:t>Interpretación:</w:t>
      </w:r>
    </w:p>
    <w:p w:rsidR="00C47D94" w:rsidRPr="00EE003F" w:rsidRDefault="00C47D94" w:rsidP="00912E56">
      <w:pPr>
        <w:spacing w:before="120" w:after="0" w:line="240" w:lineRule="auto"/>
        <w:jc w:val="both"/>
        <w:rPr>
          <w:rFonts w:ascii="Arial Narrow" w:hAnsi="Arial Narrow" w:cs="Frutiger LT Std 45 Light"/>
          <w:color w:val="000000" w:themeColor="text1"/>
          <w:sz w:val="24"/>
          <w:szCs w:val="24"/>
          <w:lang w:val="es-ES_tradnl"/>
        </w:rPr>
      </w:pPr>
      <w:r w:rsidRPr="00EE003F">
        <w:rPr>
          <w:rFonts w:ascii="Arial Narrow" w:hAnsi="Arial Narrow" w:cs="Frutiger LT Std 45 Light"/>
          <w:color w:val="000000" w:themeColor="text1"/>
          <w:sz w:val="24"/>
          <w:szCs w:val="24"/>
          <w:lang w:val="es-ES_tradnl"/>
        </w:rPr>
        <w:t xml:space="preserve">Analizar la evolución de la capacidad de pago es fundamental como indicador de desempeño de la sostenibilidad de las finanzas públicas, que como se aprecia, ha mejorado sustancialmente en los últimos años en medio de una política fiscal y monetaria más ordenada y un contexto favorable externo favorable. </w:t>
      </w:r>
    </w:p>
    <w:p w:rsidR="00C47D94" w:rsidRPr="00EE003F" w:rsidRDefault="00C47D94" w:rsidP="00912E56">
      <w:pPr>
        <w:spacing w:before="120" w:after="0" w:line="240" w:lineRule="auto"/>
        <w:jc w:val="both"/>
        <w:rPr>
          <w:rFonts w:ascii="Arial Narrow" w:hAnsi="Arial Narrow" w:cs="Frutiger LT Std 45 Light"/>
          <w:color w:val="000000" w:themeColor="text1"/>
          <w:sz w:val="24"/>
          <w:szCs w:val="24"/>
          <w:lang w:val="es-ES_tradnl"/>
        </w:rPr>
      </w:pPr>
      <w:r w:rsidRPr="00EE003F">
        <w:rPr>
          <w:rFonts w:ascii="Arial Narrow" w:hAnsi="Arial Narrow" w:cs="Frutiger LT Std 45 Light"/>
          <w:color w:val="000000" w:themeColor="text1"/>
          <w:sz w:val="24"/>
          <w:szCs w:val="24"/>
          <w:lang w:val="es-ES_tradnl"/>
        </w:rPr>
        <w:t>Dadas las acciones implementadas</w:t>
      </w:r>
      <w:r w:rsidR="00FC64B0" w:rsidRPr="00EE003F">
        <w:rPr>
          <w:rFonts w:ascii="Arial Narrow" w:hAnsi="Arial Narrow" w:cs="Frutiger LT Std 45 Light"/>
          <w:color w:val="000000" w:themeColor="text1"/>
          <w:sz w:val="24"/>
          <w:szCs w:val="24"/>
          <w:lang w:val="es-ES_tradnl"/>
        </w:rPr>
        <w:t>,</w:t>
      </w:r>
      <w:r w:rsidRPr="00EE003F">
        <w:rPr>
          <w:rFonts w:ascii="Arial Narrow" w:hAnsi="Arial Narrow" w:cs="Frutiger LT Std 45 Light"/>
          <w:color w:val="000000" w:themeColor="text1"/>
          <w:sz w:val="24"/>
          <w:szCs w:val="24"/>
          <w:lang w:val="es-ES_tradnl"/>
        </w:rPr>
        <w:t xml:space="preserve"> en los próximos años se espera que la capacidad de generar ingresos públicos sea mayor, lo que se traduce en una mayor capacidad de pago reflejada en un indicador de deuda respecto de los ingresos del 82%</w:t>
      </w:r>
      <w:r w:rsidR="00185701" w:rsidRPr="00EE003F">
        <w:rPr>
          <w:rFonts w:ascii="Arial Narrow" w:hAnsi="Arial Narrow" w:cs="Frutiger LT Std 45 Light"/>
          <w:color w:val="000000" w:themeColor="text1"/>
          <w:sz w:val="24"/>
          <w:szCs w:val="24"/>
          <w:lang w:val="es-ES_tradnl"/>
        </w:rPr>
        <w:t>.</w:t>
      </w:r>
      <w:r w:rsidRPr="00EE003F">
        <w:rPr>
          <w:rFonts w:ascii="Arial Narrow" w:hAnsi="Arial Narrow" w:cs="Frutiger LT Std 45 Light"/>
          <w:color w:val="000000" w:themeColor="text1"/>
          <w:sz w:val="24"/>
          <w:szCs w:val="24"/>
          <w:lang w:val="es-ES_tradnl"/>
        </w:rPr>
        <w:t xml:space="preserve"> </w:t>
      </w:r>
    </w:p>
    <w:p w:rsidR="00C47D94" w:rsidRPr="00EE003F" w:rsidRDefault="00C47D94" w:rsidP="00C47D94">
      <w:pPr>
        <w:jc w:val="both"/>
        <w:rPr>
          <w:rFonts w:ascii="Arial Narrow" w:hAnsi="Arial Narrow"/>
          <w:lang w:val="es-ES_tradnl"/>
        </w:rPr>
      </w:pPr>
    </w:p>
    <w:p w:rsidR="00F167BD" w:rsidRPr="00EE003F" w:rsidRDefault="00DD3C1B" w:rsidP="00C47D94">
      <w:pPr>
        <w:jc w:val="both"/>
        <w:rPr>
          <w:rFonts w:ascii="Arial Narrow" w:hAnsi="Arial Narrow"/>
        </w:rPr>
      </w:pPr>
      <w:r w:rsidRPr="00EE003F">
        <w:rPr>
          <w:rFonts w:ascii="Arial Narrow" w:hAnsi="Arial Narrow"/>
          <w:noProof/>
          <w:lang w:eastAsia="es-PE"/>
        </w:rPr>
        <w:drawing>
          <wp:inline distT="0" distB="0" distL="0" distR="0" wp14:anchorId="2D0FEA9F" wp14:editId="56A89440">
            <wp:extent cx="5767070" cy="2974975"/>
            <wp:effectExtent l="0" t="0" r="508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7070" cy="2974975"/>
                    </a:xfrm>
                    <a:prstGeom prst="rect">
                      <a:avLst/>
                    </a:prstGeom>
                    <a:noFill/>
                  </pic:spPr>
                </pic:pic>
              </a:graphicData>
            </a:graphic>
          </wp:inline>
        </w:drawing>
      </w:r>
    </w:p>
    <w:p w:rsidR="00C47D94" w:rsidRPr="00EE003F" w:rsidRDefault="00C47D94" w:rsidP="00912E56">
      <w:pPr>
        <w:spacing w:before="120" w:after="0" w:line="240" w:lineRule="auto"/>
        <w:rPr>
          <w:rFonts w:ascii="Arial Narrow" w:hAnsi="Arial Narrow" w:cs="Frutiger LT Std 45 Light"/>
          <w:b/>
          <w:color w:val="000000" w:themeColor="text1"/>
          <w:sz w:val="24"/>
          <w:szCs w:val="24"/>
          <w:lang w:val="es-ES_tradnl"/>
        </w:rPr>
      </w:pPr>
      <w:r w:rsidRPr="00EE003F">
        <w:rPr>
          <w:rFonts w:ascii="Arial Narrow" w:hAnsi="Arial Narrow" w:cs="Frutiger LT Std 45 Light"/>
          <w:b/>
          <w:color w:val="000000" w:themeColor="text1"/>
          <w:sz w:val="24"/>
          <w:szCs w:val="24"/>
          <w:lang w:val="es-ES_tradnl"/>
        </w:rPr>
        <w:t>Interpretación:</w:t>
      </w:r>
    </w:p>
    <w:p w:rsidR="00C47D94" w:rsidRPr="00EE003F" w:rsidRDefault="00C47D94" w:rsidP="00912E56">
      <w:pPr>
        <w:spacing w:before="120" w:after="0" w:line="240" w:lineRule="auto"/>
        <w:jc w:val="both"/>
        <w:rPr>
          <w:rFonts w:ascii="Arial Narrow" w:hAnsi="Arial Narrow" w:cs="Frutiger LT Std 45 Light"/>
          <w:color w:val="000000" w:themeColor="text1"/>
          <w:sz w:val="24"/>
          <w:szCs w:val="24"/>
          <w:lang w:val="es-ES_tradnl"/>
        </w:rPr>
      </w:pPr>
      <w:r w:rsidRPr="00EE003F">
        <w:rPr>
          <w:rFonts w:ascii="Arial Narrow" w:hAnsi="Arial Narrow" w:cs="Frutiger LT Std 45 Light"/>
          <w:color w:val="000000" w:themeColor="text1"/>
          <w:sz w:val="24"/>
          <w:szCs w:val="24"/>
          <w:lang w:val="es-ES_tradnl"/>
        </w:rPr>
        <w:t xml:space="preserve">En el año 2002, la deuda pública en moneda extranjera representaba el 88% del total de deuda pública. En los años siguientes se hicieron una serie de reformas destacando la Resolución Ministerial Nº 106-2003-EF/75 que estableció la Estrategia de Colocaciones y de Operaciones de Manejo de Deuda Pública. Este documento tuvo esencialmente dos objetivos: i) impulsar el mercado de capitales local mediante la emisión de bonos soberanos en soles y ii) realizar Operaciones de Administración de Deuda Pública, las cuales tuvieron como finalidad mejorar las condiciones del perfil de deuda total, sin el incremento del endeudamiento neto del Gobierno. </w:t>
      </w:r>
    </w:p>
    <w:p w:rsidR="00C47D94" w:rsidRPr="00EE003F" w:rsidRDefault="00C47D94" w:rsidP="00912E56">
      <w:pPr>
        <w:spacing w:before="120" w:after="0" w:line="240" w:lineRule="auto"/>
        <w:jc w:val="both"/>
        <w:rPr>
          <w:rFonts w:ascii="Arial Narrow" w:hAnsi="Arial Narrow" w:cs="Frutiger LT Std 45 Light"/>
          <w:color w:val="000000" w:themeColor="text1"/>
          <w:sz w:val="24"/>
          <w:szCs w:val="24"/>
          <w:lang w:val="es-ES_tradnl"/>
        </w:rPr>
      </w:pPr>
      <w:r w:rsidRPr="00EE003F">
        <w:rPr>
          <w:rFonts w:ascii="Arial Narrow" w:hAnsi="Arial Narrow" w:cs="Frutiger LT Std 45 Light"/>
          <w:color w:val="000000" w:themeColor="text1"/>
          <w:sz w:val="24"/>
          <w:szCs w:val="24"/>
          <w:lang w:val="es-ES_tradnl"/>
        </w:rPr>
        <w:t xml:space="preserve">Los resultados de dichas reformas empezaron a mostrarse en el año 2005, cuando se realizaron algunas OAD emitiendo bonos en soles para realizar prepagos parciales de la deuda con el Club de París y JAPECO, donde se emitieron bonos en soles por S/. 2 619 millones y S/. 810 millones respectivamente. Luego, en los años 2007 y 2010, con las emisiones de bonos soberanos por S/. 5 030 millones y S/. 5 143 millones, respectivamente, se realizaron otras OAD como recompras de bonos globales y otros prepagos como de los bonos Brady. </w:t>
      </w:r>
    </w:p>
    <w:p w:rsidR="00C47D94" w:rsidRPr="00EE003F" w:rsidRDefault="00C47D94" w:rsidP="00912E56">
      <w:pPr>
        <w:spacing w:before="120" w:after="0" w:line="240" w:lineRule="auto"/>
        <w:jc w:val="both"/>
        <w:rPr>
          <w:rFonts w:ascii="Arial Narrow" w:hAnsi="Arial Narrow" w:cs="Frutiger LT Std 45 Light"/>
          <w:color w:val="000000" w:themeColor="text1"/>
          <w:sz w:val="24"/>
          <w:szCs w:val="24"/>
          <w:lang w:val="es-ES_tradnl"/>
        </w:rPr>
      </w:pPr>
      <w:r w:rsidRPr="00EE003F">
        <w:rPr>
          <w:rFonts w:ascii="Arial Narrow" w:hAnsi="Arial Narrow" w:cs="Frutiger LT Std 45 Light"/>
          <w:color w:val="000000" w:themeColor="text1"/>
          <w:sz w:val="24"/>
          <w:szCs w:val="24"/>
          <w:lang w:val="es-ES_tradnl"/>
        </w:rPr>
        <w:t xml:space="preserve">Con ello, además ir reduciendo el indicador de deuda externa/deuda total, se lograba un crecimiento del mercado de deuda interno a través de las emisiones locales en soles, para lo cual, también contribuyeron el Reglamento de Creadores de Mercado y el Reglamento de bonos soberanos. </w:t>
      </w:r>
    </w:p>
    <w:p w:rsidR="00C47D94" w:rsidRPr="00EE003F" w:rsidRDefault="00C47D94" w:rsidP="00912E56">
      <w:pPr>
        <w:spacing w:before="120" w:after="0" w:line="240" w:lineRule="auto"/>
        <w:jc w:val="both"/>
        <w:rPr>
          <w:rFonts w:ascii="Arial Narrow" w:hAnsi="Arial Narrow" w:cs="Frutiger LT Std 45 Light"/>
          <w:color w:val="000000" w:themeColor="text1"/>
          <w:sz w:val="24"/>
          <w:szCs w:val="24"/>
          <w:lang w:val="es-ES_tradnl"/>
        </w:rPr>
      </w:pPr>
      <w:r w:rsidRPr="00EE003F">
        <w:rPr>
          <w:rFonts w:ascii="Arial Narrow" w:hAnsi="Arial Narrow" w:cs="Frutiger LT Std 45 Light"/>
          <w:color w:val="000000" w:themeColor="text1"/>
          <w:sz w:val="24"/>
          <w:szCs w:val="24"/>
          <w:lang w:val="es-ES_tradnl"/>
        </w:rPr>
        <w:t>Cuando se empezó la implementación de la Estrategia de Gestión Global de Activos y Pasivos a mediados del año 2013 se incluyó un cronograma de subastas ordinarias en soles dando preferencia al desarrollo del mercado local en soles. En este cronograma también se contempló continuar con las OAD con fin de seguir mejorando el perfil de la deuda. En el año 2014, las subastas de bonos pasaron de subastarse quincenalmente a semanalmente, además de incrementar el monto referencial de S/.15 millones a S/.20 millones por bono subastado. Desde el año 2015, el monto referencial pasó de S/.20 millones a S/.25 millones por bono</w:t>
      </w:r>
      <w:r w:rsidR="00912E56" w:rsidRPr="00EE003F">
        <w:rPr>
          <w:rFonts w:ascii="Arial Narrow" w:hAnsi="Arial Narrow" w:cs="Frutiger LT Std 45 Light"/>
          <w:color w:val="000000" w:themeColor="text1"/>
          <w:sz w:val="24"/>
          <w:szCs w:val="24"/>
          <w:lang w:val="es-ES_tradnl"/>
        </w:rPr>
        <w:t>.</w:t>
      </w:r>
    </w:p>
    <w:p w:rsidR="00AC1DF4" w:rsidRPr="00EE003F" w:rsidRDefault="00AC1DF4" w:rsidP="00B168A7">
      <w:pPr>
        <w:jc w:val="both"/>
        <w:rPr>
          <w:rFonts w:ascii="Arial Narrow" w:hAnsi="Arial Narrow"/>
        </w:rPr>
      </w:pPr>
    </w:p>
    <w:p w:rsidR="004A3375" w:rsidRPr="00EE003F" w:rsidRDefault="004A3375" w:rsidP="00B168A7">
      <w:pPr>
        <w:jc w:val="both"/>
        <w:rPr>
          <w:rFonts w:ascii="Arial Narrow" w:hAnsi="Arial Narrow"/>
        </w:rPr>
      </w:pPr>
    </w:p>
    <w:p w:rsidR="00E74EBD" w:rsidRPr="00EE003F" w:rsidRDefault="000C7C48" w:rsidP="00B168A7">
      <w:pPr>
        <w:jc w:val="both"/>
        <w:rPr>
          <w:rFonts w:ascii="Arial Narrow" w:hAnsi="Arial Narrow"/>
        </w:rPr>
      </w:pPr>
      <w:r w:rsidRPr="00EE003F">
        <w:rPr>
          <w:noProof/>
          <w:lang w:eastAsia="es-PE"/>
        </w:rPr>
        <w:drawing>
          <wp:inline distT="0" distB="0" distL="0" distR="0" wp14:anchorId="1C4C47D3" wp14:editId="356C24B2">
            <wp:extent cx="5400675" cy="3810048"/>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400675" cy="3810048"/>
                    </a:xfrm>
                    <a:prstGeom prst="rect">
                      <a:avLst/>
                    </a:prstGeom>
                  </pic:spPr>
                </pic:pic>
              </a:graphicData>
            </a:graphic>
          </wp:inline>
        </w:drawing>
      </w:r>
    </w:p>
    <w:p w:rsidR="00B168A7" w:rsidRPr="00EE003F" w:rsidRDefault="00B168A7" w:rsidP="00912E56">
      <w:pPr>
        <w:spacing w:before="120" w:after="0" w:line="240" w:lineRule="auto"/>
        <w:jc w:val="both"/>
        <w:rPr>
          <w:rFonts w:ascii="Arial Narrow" w:hAnsi="Arial Narrow" w:cs="Frutiger LT Std 45 Light"/>
          <w:b/>
          <w:sz w:val="24"/>
          <w:szCs w:val="24"/>
          <w:lang w:val="es-ES_tradnl"/>
        </w:rPr>
      </w:pPr>
      <w:r w:rsidRPr="00EE003F">
        <w:rPr>
          <w:rFonts w:ascii="Arial Narrow" w:hAnsi="Arial Narrow" w:cs="Frutiger LT Std 45 Light"/>
          <w:b/>
          <w:sz w:val="24"/>
          <w:szCs w:val="24"/>
          <w:lang w:val="es-ES_tradnl"/>
        </w:rPr>
        <w:t>Interpretación:</w:t>
      </w:r>
    </w:p>
    <w:p w:rsidR="00D407D5" w:rsidRPr="00EE003F" w:rsidRDefault="00D407D5" w:rsidP="00912E56">
      <w:pPr>
        <w:spacing w:before="120" w:after="0" w:line="240" w:lineRule="auto"/>
        <w:jc w:val="both"/>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w:t>
      </w:r>
      <w:r w:rsidR="00C9227E" w:rsidRPr="00EE003F">
        <w:rPr>
          <w:rFonts w:ascii="Arial Narrow" w:hAnsi="Arial Narrow" w:cs="Frutiger LT Std 45 Light"/>
          <w:sz w:val="24"/>
          <w:szCs w:val="24"/>
          <w:lang w:val="es-ES_tradnl"/>
        </w:rPr>
        <w:t>n el 2015</w:t>
      </w:r>
      <w:r w:rsidRPr="00EE003F">
        <w:rPr>
          <w:rFonts w:ascii="Arial Narrow" w:hAnsi="Arial Narrow" w:cs="Frutiger LT Std 45 Light"/>
          <w:sz w:val="24"/>
          <w:szCs w:val="24"/>
          <w:lang w:val="es-ES_tradnl"/>
        </w:rPr>
        <w:t xml:space="preserve">, Perú se ubica en el puesto </w:t>
      </w:r>
      <w:r w:rsidR="00C9227E" w:rsidRPr="00EE003F">
        <w:rPr>
          <w:rFonts w:ascii="Arial Narrow" w:hAnsi="Arial Narrow" w:cs="Frutiger LT Std 45 Light"/>
          <w:sz w:val="24"/>
          <w:szCs w:val="24"/>
          <w:lang w:val="es-ES_tradnl"/>
        </w:rPr>
        <w:t xml:space="preserve">50 </w:t>
      </w:r>
      <w:r w:rsidRPr="00EE003F">
        <w:rPr>
          <w:rFonts w:ascii="Arial Narrow" w:hAnsi="Arial Narrow" w:cs="Frutiger LT Std 45 Light"/>
          <w:sz w:val="24"/>
          <w:szCs w:val="24"/>
          <w:lang w:val="es-ES_tradnl"/>
        </w:rPr>
        <w:t>de 189 países</w:t>
      </w:r>
      <w:r w:rsidR="00C9227E" w:rsidRPr="00EE003F">
        <w:rPr>
          <w:rFonts w:ascii="Arial Narrow" w:hAnsi="Arial Narrow" w:cs="Frutiger LT Std 45 Light"/>
          <w:sz w:val="24"/>
          <w:szCs w:val="24"/>
          <w:lang w:val="es-ES_tradnl"/>
        </w:rPr>
        <w:t>.</w:t>
      </w:r>
      <w:r w:rsidRPr="00EE003F">
        <w:rPr>
          <w:rFonts w:ascii="Arial Narrow" w:hAnsi="Arial Narrow" w:cs="Frutiger LT Std 45 Light"/>
          <w:sz w:val="24"/>
          <w:szCs w:val="24"/>
          <w:lang w:val="es-ES_tradnl"/>
        </w:rPr>
        <w:t xml:space="preserve"> Sin embargo, existen muchos esfuerzos para mejorar las regulaciones que afectan el clima de inversiones, como disminuir la carga de trámites administrativos (en número y tiempo) así como optimizar los procesos administrativos. La Ventanilla Única de Comercio Exterior ha logrado la incorporación de más de 270 trámites vinculados al comercio exterior y el ahorro de más de US$ 60 millones en cuatro años de operaciones. Para alcanzar las metas establecidas al 2016 y 2021, se espera que el Plan Nacional de Diversificación Productiva y el Plan Estratégico Nacional Exportador impacten en la mejora de este indicador.</w:t>
      </w:r>
    </w:p>
    <w:p w:rsidR="00E74EBD" w:rsidRPr="00EE003F" w:rsidRDefault="00E74EBD" w:rsidP="00962397">
      <w:pPr>
        <w:spacing w:after="0" w:line="240" w:lineRule="auto"/>
        <w:jc w:val="both"/>
        <w:rPr>
          <w:rFonts w:ascii="Arial Narrow" w:hAnsi="Arial Narrow" w:cs="Frutiger LT Std 45 Light"/>
          <w:sz w:val="24"/>
          <w:lang w:val="es-ES_tradnl"/>
        </w:rPr>
      </w:pPr>
    </w:p>
    <w:p w:rsidR="00B87B73" w:rsidRPr="00EE003F" w:rsidRDefault="00B87B73" w:rsidP="001A4E17">
      <w:pPr>
        <w:rPr>
          <w:rFonts w:ascii="Arial Narrow" w:hAnsi="Arial Narrow"/>
        </w:rPr>
      </w:pPr>
      <w:r w:rsidRPr="00EE003F">
        <w:rPr>
          <w:rFonts w:ascii="Arial Narrow" w:hAnsi="Arial Narrow"/>
          <w:noProof/>
          <w:lang w:eastAsia="es-PE"/>
        </w:rPr>
        <w:drawing>
          <wp:inline distT="0" distB="0" distL="0" distR="0" wp14:anchorId="10C89F9A" wp14:editId="7B9F8FBD">
            <wp:extent cx="5400675" cy="2484017"/>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400675" cy="2484017"/>
                    </a:xfrm>
                    <a:prstGeom prst="rect">
                      <a:avLst/>
                    </a:prstGeom>
                  </pic:spPr>
                </pic:pic>
              </a:graphicData>
            </a:graphic>
          </wp:inline>
        </w:drawing>
      </w:r>
    </w:p>
    <w:p w:rsidR="005651A3" w:rsidRPr="00EE003F" w:rsidRDefault="00E97ED7" w:rsidP="001A4E17">
      <w:pPr>
        <w:rPr>
          <w:rFonts w:ascii="Arial Narrow" w:hAnsi="Arial Narrow" w:cs="Frutiger LT Std 45 Light"/>
          <w:lang w:val="es-ES_tradnl"/>
        </w:rPr>
      </w:pPr>
      <w:r w:rsidRPr="00EE003F">
        <w:rPr>
          <w:noProof/>
          <w:lang w:eastAsia="es-PE"/>
        </w:rPr>
        <w:drawing>
          <wp:inline distT="0" distB="0" distL="0" distR="0" wp14:anchorId="335A39BA" wp14:editId="276555FC">
            <wp:extent cx="5400675" cy="3240527"/>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400675" cy="3240527"/>
                    </a:xfrm>
                    <a:prstGeom prst="rect">
                      <a:avLst/>
                    </a:prstGeom>
                  </pic:spPr>
                </pic:pic>
              </a:graphicData>
            </a:graphic>
          </wp:inline>
        </w:drawing>
      </w:r>
    </w:p>
    <w:p w:rsidR="005651A3" w:rsidRPr="00EE003F" w:rsidRDefault="005651A3" w:rsidP="00912E56">
      <w:pPr>
        <w:autoSpaceDE w:val="0"/>
        <w:autoSpaceDN w:val="0"/>
        <w:adjustRightInd w:val="0"/>
        <w:spacing w:before="120" w:after="0" w:line="240" w:lineRule="auto"/>
        <w:textAlignment w:val="center"/>
        <w:rPr>
          <w:rFonts w:ascii="Arial Narrow" w:hAnsi="Arial Narrow" w:cs="Frutiger LT Std 45 Light"/>
          <w:b/>
          <w:sz w:val="24"/>
          <w:lang w:val="es-ES_tradnl"/>
        </w:rPr>
      </w:pPr>
      <w:r w:rsidRPr="00EE003F">
        <w:rPr>
          <w:rFonts w:ascii="Arial Narrow" w:hAnsi="Arial Narrow" w:cs="Frutiger LT Std 45 Light"/>
          <w:b/>
          <w:sz w:val="24"/>
          <w:lang w:val="es-ES_tradnl"/>
        </w:rPr>
        <w:t>Interpretación:</w:t>
      </w:r>
    </w:p>
    <w:p w:rsidR="00B73036" w:rsidRPr="00EE003F" w:rsidRDefault="005651A3" w:rsidP="00912E56">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 xml:space="preserve">Las exportaciones peruanas se caracterizan por utilizar baja tecnología. Por ello, para diversificar los productos se requiere de la  inversión en Investigación, Desarrollo e Innovación (I+D+i). Así, la creación de nuevas tecnologías permitirá incrementar la productividad y encontrar nuevas fuentes de crecimiento. Mediante la Estrategia Nacional </w:t>
      </w:r>
      <w:r w:rsidR="00071ECC" w:rsidRPr="00EE003F">
        <w:rPr>
          <w:rFonts w:ascii="Arial Narrow" w:hAnsi="Arial Narrow" w:cs="Frutiger LT Std 45 Light"/>
          <w:sz w:val="24"/>
          <w:lang w:val="es-ES_tradnl"/>
        </w:rPr>
        <w:t xml:space="preserve">de Ciencia, Tecnología e Innovación </w:t>
      </w:r>
      <w:r w:rsidRPr="00EE003F">
        <w:rPr>
          <w:rFonts w:ascii="Arial Narrow" w:hAnsi="Arial Narrow" w:cs="Frutiger LT Std 45 Light"/>
          <w:sz w:val="24"/>
          <w:lang w:val="es-ES_tradnl"/>
        </w:rPr>
        <w:t>“Crear para Crecer”, elaborada por CONCYTEC, el Plan Nacional de Diversificación Productiva, así como la Agenda de Competitividad, se espera generar incrementos en la productividad y la sofisticación de la estructura productiva.</w:t>
      </w:r>
    </w:p>
    <w:p w:rsidR="00B73036" w:rsidRPr="00EE003F" w:rsidRDefault="00B73036" w:rsidP="00912E56">
      <w:pPr>
        <w:spacing w:before="120" w:after="0" w:line="240" w:lineRule="auto"/>
        <w:rPr>
          <w:rFonts w:ascii="Arial Narrow" w:hAnsi="Arial Narrow" w:cs="Frutiger LT Std 45 Light"/>
          <w:sz w:val="24"/>
          <w:lang w:val="es-ES_tradnl"/>
        </w:rPr>
      </w:pPr>
      <w:r w:rsidRPr="00EE003F">
        <w:rPr>
          <w:rFonts w:ascii="Arial Narrow" w:hAnsi="Arial Narrow" w:cs="Frutiger LT Std 45 Light"/>
          <w:sz w:val="24"/>
          <w:lang w:val="es-ES_tradnl"/>
        </w:rPr>
        <w:br w:type="page"/>
      </w:r>
    </w:p>
    <w:p w:rsidR="005651A3" w:rsidRPr="00EE003F" w:rsidRDefault="005651A3" w:rsidP="00EF313F">
      <w:pPr>
        <w:pStyle w:val="Ttulo2"/>
        <w:jc w:val="left"/>
        <w:rPr>
          <w:rFonts w:asciiTheme="minorHAnsi" w:hAnsiTheme="minorHAnsi"/>
          <w:lang w:val="es-ES_tradnl"/>
        </w:rPr>
      </w:pPr>
      <w:bookmarkStart w:id="38" w:name="_Toc453004675"/>
      <w:r w:rsidRPr="00EE003F">
        <w:rPr>
          <w:rFonts w:asciiTheme="minorHAnsi" w:hAnsiTheme="minorHAnsi"/>
          <w:lang w:val="es-ES_tradnl"/>
        </w:rPr>
        <w:t>Eje estratégico 5</w:t>
      </w:r>
      <w:bookmarkStart w:id="39" w:name="_Toc448398406"/>
      <w:r w:rsidR="00EF313F" w:rsidRPr="00EE003F">
        <w:rPr>
          <w:sz w:val="32"/>
          <w:szCs w:val="32"/>
        </w:rPr>
        <w:br/>
      </w:r>
      <w:r w:rsidRPr="00EE003F">
        <w:rPr>
          <w:rFonts w:asciiTheme="minorHAnsi" w:hAnsiTheme="minorHAnsi"/>
          <w:lang w:val="es-ES_tradnl"/>
        </w:rPr>
        <w:t>Desarrollo territorial e infraestructura productiva</w:t>
      </w:r>
      <w:bookmarkEnd w:id="38"/>
      <w:bookmarkEnd w:id="39"/>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 xml:space="preserve">El Perú en los últimos años ha mostrado tasas históricas de crecimiento mayores al </w:t>
      </w:r>
      <w:r w:rsidR="003243A6" w:rsidRPr="00EE003F">
        <w:rPr>
          <w:rFonts w:ascii="Arial Narrow" w:hAnsi="Arial Narrow" w:cs="Frutiger LT Std 45 Light"/>
          <w:sz w:val="24"/>
          <w:lang w:val="es-ES_tradnl"/>
        </w:rPr>
        <w:t>5</w:t>
      </w:r>
      <w:r w:rsidRPr="00EE003F">
        <w:rPr>
          <w:rFonts w:ascii="Arial Narrow" w:hAnsi="Arial Narrow" w:cs="Frutiger LT Std 45 Light"/>
          <w:sz w:val="24"/>
          <w:lang w:val="es-ES_tradnl"/>
        </w:rPr>
        <w:t xml:space="preserve">%, sin embargo este crecimiento ha sido heterogéneo al interior del país. Por ejemplo, las regiones de Cusco e Ica han crecido en el periodo 2001-2011 a tasas anuales </w:t>
      </w:r>
      <w:r w:rsidR="00E373A8" w:rsidRPr="00EE003F">
        <w:rPr>
          <w:rFonts w:ascii="Arial Narrow" w:hAnsi="Arial Narrow" w:cs="Frutiger LT Std 45 Light"/>
          <w:sz w:val="24"/>
          <w:lang w:val="es-ES_tradnl"/>
        </w:rPr>
        <w:t>alrededor del</w:t>
      </w:r>
      <w:r w:rsidRPr="00EE003F">
        <w:rPr>
          <w:rFonts w:ascii="Arial Narrow" w:hAnsi="Arial Narrow" w:cs="Frutiger LT Std 45 Light"/>
          <w:sz w:val="24"/>
          <w:lang w:val="es-ES_tradnl"/>
        </w:rPr>
        <w:t xml:space="preserve"> 9%</w:t>
      </w:r>
      <w:r w:rsidRPr="00EE003F">
        <w:rPr>
          <w:rFonts w:ascii="Arial Narrow" w:hAnsi="Arial Narrow" w:cs="Frutiger LT Std 45 Light"/>
          <w:sz w:val="24"/>
          <w:vertAlign w:val="superscript"/>
          <w:lang w:val="es-ES_tradnl"/>
        </w:rPr>
        <w:footnoteReference w:id="32"/>
      </w:r>
      <w:r w:rsidRPr="00EE003F">
        <w:rPr>
          <w:rFonts w:ascii="Arial Narrow" w:hAnsi="Arial Narrow" w:cs="Frutiger LT Std 45 Light"/>
          <w:sz w:val="24"/>
          <w:lang w:val="es-ES_tradnl"/>
        </w:rPr>
        <w:t>, mientras que Huancavelica y Pasco a tasas próximas al 3%. Estas diferencias implican que Cusco e Ica en un periodo de aproximadamente ocho años han duplicado sus valores agregados brutos regionales, mientras que Huancavelica y Pasco (de seguir con sus tasas históricas de crecimiento) lo harán en el 2025 aproximadamente. Esta disparidad en el crecimiento económico, es evidencia del limitado desarrollo territorial existente en el Perú.</w:t>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 xml:space="preserve">Esta heterogeneidad en el crecimiento, explica también las diferencias observadas en la pobreza regional, lo que evidencia una alta correlación entre el crecimiento económico y la pobreza. De este modo, </w:t>
      </w:r>
      <w:r w:rsidR="00BD017E" w:rsidRPr="00EE003F">
        <w:rPr>
          <w:rFonts w:ascii="Arial Narrow" w:hAnsi="Arial Narrow" w:cs="Frutiger LT Std 45 Light"/>
          <w:sz w:val="24"/>
          <w:lang w:val="es-ES_tradnl"/>
        </w:rPr>
        <w:t>el gobierno ha puesto especial énfasis en</w:t>
      </w:r>
      <w:r w:rsidRPr="00EE003F">
        <w:rPr>
          <w:rFonts w:ascii="Arial Narrow" w:hAnsi="Arial Narrow" w:cs="Frutiger LT Std 45 Light"/>
          <w:sz w:val="24"/>
          <w:lang w:val="es-ES_tradnl"/>
        </w:rPr>
        <w:t xml:space="preserve"> el medio millón de niños que aún padecen de desnutrición infantil,</w:t>
      </w:r>
      <w:r w:rsidR="00BD017E" w:rsidRPr="00EE003F">
        <w:rPr>
          <w:rFonts w:ascii="Arial Narrow" w:hAnsi="Arial Narrow" w:cs="Frutiger LT Std 45 Light"/>
          <w:sz w:val="24"/>
          <w:lang w:val="es-ES_tradnl"/>
        </w:rPr>
        <w:t xml:space="preserve"> los cuales se </w:t>
      </w:r>
      <w:r w:rsidRPr="00EE003F">
        <w:rPr>
          <w:rFonts w:ascii="Arial Narrow" w:hAnsi="Arial Narrow" w:cs="Frutiger LT Std 45 Light"/>
          <w:sz w:val="24"/>
          <w:lang w:val="es-ES_tradnl"/>
        </w:rPr>
        <w:t>concentra</w:t>
      </w:r>
      <w:r w:rsidR="00BD017E" w:rsidRPr="00EE003F">
        <w:rPr>
          <w:rFonts w:ascii="Arial Narrow" w:hAnsi="Arial Narrow" w:cs="Frutiger LT Std 45 Light"/>
          <w:sz w:val="24"/>
          <w:lang w:val="es-ES_tradnl"/>
        </w:rPr>
        <w:t>n</w:t>
      </w:r>
      <w:r w:rsidRPr="00EE003F">
        <w:rPr>
          <w:rFonts w:ascii="Arial Narrow" w:hAnsi="Arial Narrow" w:cs="Frutiger LT Std 45 Light"/>
          <w:sz w:val="24"/>
          <w:lang w:val="es-ES_tradnl"/>
        </w:rPr>
        <w:t xml:space="preserve"> principalmente en las áreas rurales, el altiplano y la selva.</w:t>
      </w:r>
      <w:r w:rsidRPr="00EE003F">
        <w:rPr>
          <w:rFonts w:ascii="Arial Narrow" w:hAnsi="Arial Narrow" w:cs="Frutiger LT Std 45 Light"/>
          <w:sz w:val="24"/>
          <w:vertAlign w:val="superscript"/>
          <w:lang w:val="es-ES_tradnl"/>
        </w:rPr>
        <w:footnoteReference w:id="33"/>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El desarrollo territorial sostenible, busca la integración interna de la economía, la sociedad y el ambiente, acorde con la integración geoeconómica y geopolítica. Para ello se requiere establecer formas eficientes de organización del uso y ocupación del territorio, considerando la relación que debe existir entre la población (su distribución en el territorio, el desarrollo de sus actividades, acorde con sus necesidades), las condiciones ambientales, las potencialidades, limitaciones y disponibilidad de recursos.</w:t>
      </w:r>
    </w:p>
    <w:p w:rsidR="005651A3" w:rsidRPr="00EE003F" w:rsidRDefault="005651A3" w:rsidP="00692EE1">
      <w:pPr>
        <w:pStyle w:val="BasicParagraph"/>
        <w:suppressAutoHyphens/>
        <w:spacing w:before="120" w:line="240" w:lineRule="auto"/>
        <w:jc w:val="both"/>
        <w:rPr>
          <w:rFonts w:ascii="Arial Narrow" w:hAnsi="Arial Narrow" w:cs="Frutiger LT Std 45 Light"/>
          <w:color w:val="auto"/>
          <w:szCs w:val="22"/>
        </w:rPr>
      </w:pPr>
      <w:r w:rsidRPr="00EE003F">
        <w:rPr>
          <w:rFonts w:ascii="Arial Narrow" w:hAnsi="Arial Narrow" w:cs="Frutiger LT Std 45 Light"/>
          <w:color w:val="auto"/>
          <w:szCs w:val="22"/>
        </w:rPr>
        <w:t>El desarrollo territorial, por tanto, debe permitir el aumento de condiciones para la mejora de la competitividad basada en la innovación tecnológica, conjugando las expectativas y aspiraciones de la población. Para estos fines, se requiere políticas de integración territorial a través del desarrollo de corredores logísticos inter e intraregionales, el desarrollo de ciudades que brinden las condiciones para la mejora de la calidad de vida, así como el desarrollo de acciones que reduzcan las diferencias de oportunidades entre el sector urbano y rural.</w:t>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El Perú presenta diferencias</w:t>
      </w:r>
      <w:r w:rsidR="00BD017E" w:rsidRPr="00EE003F">
        <w:rPr>
          <w:rFonts w:ascii="Arial Narrow" w:hAnsi="Arial Narrow" w:cs="Frutiger LT Std 45 Light"/>
          <w:sz w:val="24"/>
          <w:lang w:val="es-ES_tradnl"/>
        </w:rPr>
        <w:t xml:space="preserve"> históricas</w:t>
      </w:r>
      <w:r w:rsidRPr="00EE003F">
        <w:rPr>
          <w:rFonts w:ascii="Arial Narrow" w:hAnsi="Arial Narrow" w:cs="Frutiger LT Std 45 Light"/>
          <w:sz w:val="24"/>
          <w:lang w:val="es-ES_tradnl"/>
        </w:rPr>
        <w:t xml:space="preserve"> significativas en su desarrollo territorial. Estas diferencias se explican principalmente por los disimiles niveles de productividad y competitividad de las regiones del interior, los que a su vez se explican por las diferencias en la disponibilidad y calidad de infraestructura (ej. limitaciones que afectan la conectividad), limitado acceso a los servicios de salud y educación y, de otro lado, la escasa institucionalidad de apoyo a las actividades económicas.</w:t>
      </w:r>
      <w:r w:rsidR="00BD017E" w:rsidRPr="00EE003F">
        <w:rPr>
          <w:rFonts w:ascii="Arial Narrow" w:hAnsi="Arial Narrow" w:cs="Frutiger LT Std 45 Light"/>
          <w:sz w:val="24"/>
          <w:lang w:val="es-ES_tradnl"/>
        </w:rPr>
        <w:t xml:space="preserve"> Esta situación es un r</w:t>
      </w:r>
      <w:r w:rsidR="00D662E8" w:rsidRPr="00EE003F">
        <w:rPr>
          <w:rFonts w:ascii="Arial Narrow" w:hAnsi="Arial Narrow" w:cs="Frutiger LT Std 45 Light"/>
          <w:sz w:val="24"/>
          <w:lang w:val="es-ES_tradnl"/>
        </w:rPr>
        <w:t>e</w:t>
      </w:r>
      <w:r w:rsidR="00BD017E" w:rsidRPr="00EE003F">
        <w:rPr>
          <w:rFonts w:ascii="Arial Narrow" w:hAnsi="Arial Narrow" w:cs="Frutiger LT Std 45 Light"/>
          <w:sz w:val="24"/>
          <w:lang w:val="es-ES_tradnl"/>
        </w:rPr>
        <w:t>to que</w:t>
      </w:r>
      <w:r w:rsidR="00D662E8" w:rsidRPr="00EE003F">
        <w:rPr>
          <w:rFonts w:ascii="Arial Narrow" w:hAnsi="Arial Narrow" w:cs="Frutiger LT Std 45 Light"/>
          <w:sz w:val="24"/>
          <w:lang w:val="es-ES_tradnl"/>
        </w:rPr>
        <w:t xml:space="preserve"> se </w:t>
      </w:r>
      <w:r w:rsidR="00BD017E" w:rsidRPr="00EE003F">
        <w:rPr>
          <w:rFonts w:ascii="Arial Narrow" w:hAnsi="Arial Narrow" w:cs="Frutiger LT Std 45 Light"/>
          <w:sz w:val="24"/>
          <w:lang w:val="es-ES_tradnl"/>
        </w:rPr>
        <w:t xml:space="preserve">debe </w:t>
      </w:r>
      <w:r w:rsidR="00D662E8" w:rsidRPr="00EE003F">
        <w:rPr>
          <w:rFonts w:ascii="Arial Narrow" w:hAnsi="Arial Narrow" w:cs="Frutiger LT Std 45 Light"/>
          <w:sz w:val="24"/>
          <w:lang w:val="es-ES_tradnl"/>
        </w:rPr>
        <w:t xml:space="preserve">seguir enfrentando en los próximos años. </w:t>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Estas brechas en el desarrollo territorial y en la disponibilidad de infraestructura productiva a nivel nacional impulsan, a su vez, la concentración geográfica de la población, pero también la concentración productiva, lo que incrementa la vulnerabilidad económica de las regiones.</w:t>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En este sentido, el objetivo general del presente eje estratégico es lograr un “territorio cohesionado y organizado en ciudades sostenibles con provisión asegurada de infraestructura de calidad”.</w:t>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El logro del objetivo permitirá incrementar la importancia económica de las regiones; desarrollan nuevas actividades productivas y consolidan las ya existentes; permitir la diversificación de las economías regionales. Para el monitoreo del objetivo general, el indicador líder del Eje 5 es el porcentaje de participación del valor agregado bruto departamental (exceptuando de Lima y Callao) sobre el valor agregado bruto total nacional</w:t>
      </w:r>
      <w:r w:rsidRPr="00EE003F">
        <w:rPr>
          <w:rFonts w:ascii="Arial Narrow" w:hAnsi="Arial Narrow" w:cs="Frutiger LT Std 45 Light"/>
          <w:sz w:val="24"/>
          <w:vertAlign w:val="superscript"/>
          <w:lang w:val="es-ES_tradnl"/>
        </w:rPr>
        <w:footnoteReference w:id="34"/>
      </w:r>
      <w:r w:rsidRPr="00EE003F">
        <w:rPr>
          <w:rFonts w:ascii="Arial Narrow" w:hAnsi="Arial Narrow" w:cs="Frutiger LT Std 45 Light"/>
          <w:sz w:val="24"/>
          <w:lang w:val="es-ES_tradnl"/>
        </w:rPr>
        <w:t xml:space="preserve">. De este modo, el indicador líder muestra la proporción del valor agregado bruto total (valor adicional que gana un bien o servicio en cada etapa de producción) que es elaborado al interior del país en las diferentes actividades productivas. En los últimos años este indicador ha mantenido una tendencia negativa, pasando de </w:t>
      </w:r>
      <w:r w:rsidR="003243A6" w:rsidRPr="00EE003F">
        <w:rPr>
          <w:rFonts w:ascii="Arial Narrow" w:hAnsi="Arial Narrow" w:cs="Frutiger LT Std 45 Light"/>
          <w:sz w:val="24"/>
          <w:lang w:val="es-ES_tradnl"/>
        </w:rPr>
        <w:t>53</w:t>
      </w:r>
      <w:r w:rsidRPr="00EE003F">
        <w:rPr>
          <w:rFonts w:ascii="Arial Narrow" w:hAnsi="Arial Narrow" w:cs="Frutiger LT Std 45 Light"/>
          <w:sz w:val="24"/>
          <w:lang w:val="es-ES_tradnl"/>
        </w:rPr>
        <w:t>.</w:t>
      </w:r>
      <w:r w:rsidR="003243A6" w:rsidRPr="00EE003F">
        <w:rPr>
          <w:rFonts w:ascii="Arial Narrow" w:hAnsi="Arial Narrow" w:cs="Frutiger LT Std 45 Light"/>
          <w:sz w:val="24"/>
          <w:lang w:val="es-ES_tradnl"/>
        </w:rPr>
        <w:t>53</w:t>
      </w:r>
      <w:r w:rsidRPr="00EE003F">
        <w:rPr>
          <w:rFonts w:ascii="Arial Narrow" w:hAnsi="Arial Narrow" w:cs="Frutiger LT Std 45 Light"/>
          <w:sz w:val="24"/>
          <w:lang w:val="es-ES_tradnl"/>
        </w:rPr>
        <w:t xml:space="preserve">% en el </w:t>
      </w:r>
      <w:r w:rsidR="003243A6" w:rsidRPr="00EE003F">
        <w:rPr>
          <w:rFonts w:ascii="Arial Narrow" w:hAnsi="Arial Narrow" w:cs="Frutiger LT Std 45 Light"/>
          <w:sz w:val="24"/>
          <w:lang w:val="es-ES_tradnl"/>
        </w:rPr>
        <w:t xml:space="preserve">2007 </w:t>
      </w:r>
      <w:r w:rsidRPr="00EE003F">
        <w:rPr>
          <w:rFonts w:ascii="Arial Narrow" w:hAnsi="Arial Narrow" w:cs="Frutiger LT Std 45 Light"/>
          <w:sz w:val="24"/>
          <w:lang w:val="es-ES_tradnl"/>
        </w:rPr>
        <w:t xml:space="preserve">a </w:t>
      </w:r>
      <w:r w:rsidR="003243A6" w:rsidRPr="00EE003F">
        <w:rPr>
          <w:rFonts w:ascii="Arial Narrow" w:hAnsi="Arial Narrow" w:cs="Frutiger LT Std 45 Light"/>
          <w:sz w:val="24"/>
          <w:lang w:val="es-ES_tradnl"/>
        </w:rPr>
        <w:t>50</w:t>
      </w:r>
      <w:r w:rsidRPr="00EE003F">
        <w:rPr>
          <w:rFonts w:ascii="Arial Narrow" w:hAnsi="Arial Narrow" w:cs="Frutiger LT Std 45 Light"/>
          <w:sz w:val="24"/>
          <w:lang w:val="es-ES_tradnl"/>
        </w:rPr>
        <w:t>.</w:t>
      </w:r>
      <w:r w:rsidR="003243A6" w:rsidRPr="00EE003F">
        <w:rPr>
          <w:rFonts w:ascii="Arial Narrow" w:hAnsi="Arial Narrow" w:cs="Frutiger LT Std 45 Light"/>
          <w:sz w:val="24"/>
          <w:lang w:val="es-ES_tradnl"/>
        </w:rPr>
        <w:t>84</w:t>
      </w:r>
      <w:r w:rsidRPr="00EE003F">
        <w:rPr>
          <w:rFonts w:ascii="Arial Narrow" w:hAnsi="Arial Narrow" w:cs="Frutiger LT Std 45 Light"/>
          <w:sz w:val="24"/>
          <w:lang w:val="es-ES_tradnl"/>
        </w:rPr>
        <w:t xml:space="preserve">% en el </w:t>
      </w:r>
      <w:r w:rsidR="003243A6" w:rsidRPr="00EE003F">
        <w:rPr>
          <w:rFonts w:ascii="Arial Narrow" w:hAnsi="Arial Narrow" w:cs="Frutiger LT Std 45 Light"/>
          <w:sz w:val="24"/>
          <w:lang w:val="es-ES_tradnl"/>
        </w:rPr>
        <w:t>2014</w:t>
      </w:r>
      <w:r w:rsidRPr="00EE003F">
        <w:rPr>
          <w:rFonts w:ascii="Arial Narrow" w:hAnsi="Arial Narrow" w:cs="Frutiger LT Std 45 Light"/>
          <w:sz w:val="24"/>
          <w:vertAlign w:val="superscript"/>
          <w:lang w:val="es-ES_tradnl"/>
        </w:rPr>
        <w:footnoteReference w:id="35"/>
      </w:r>
      <w:r w:rsidRPr="00EE003F">
        <w:rPr>
          <w:rFonts w:ascii="Arial Narrow" w:hAnsi="Arial Narrow" w:cs="Frutiger LT Std 45 Light"/>
          <w:sz w:val="24"/>
          <w:lang w:val="es-ES_tradnl"/>
        </w:rPr>
        <w:t xml:space="preserve">. De esta forma, el reto planteado para el Eje 5 es alcanzar para el 2016 una participación regional de </w:t>
      </w:r>
      <w:r w:rsidR="003243A6" w:rsidRPr="00EE003F">
        <w:rPr>
          <w:rFonts w:ascii="Arial Narrow" w:hAnsi="Arial Narrow" w:cs="Frutiger LT Std 45 Light"/>
          <w:sz w:val="24"/>
          <w:lang w:val="es-ES_tradnl"/>
        </w:rPr>
        <w:t>50</w:t>
      </w:r>
      <w:r w:rsidRPr="00EE003F">
        <w:rPr>
          <w:rFonts w:ascii="Arial Narrow" w:hAnsi="Arial Narrow" w:cs="Frutiger LT Std 45 Light"/>
          <w:sz w:val="24"/>
          <w:lang w:val="es-ES_tradnl"/>
        </w:rPr>
        <w:t>.</w:t>
      </w:r>
      <w:r w:rsidR="003243A6" w:rsidRPr="00EE003F">
        <w:rPr>
          <w:rFonts w:ascii="Arial Narrow" w:hAnsi="Arial Narrow" w:cs="Frutiger LT Std 45 Light"/>
          <w:sz w:val="24"/>
          <w:lang w:val="es-ES_tradnl"/>
        </w:rPr>
        <w:t>71</w:t>
      </w:r>
      <w:r w:rsidRPr="00EE003F">
        <w:rPr>
          <w:rFonts w:ascii="Arial Narrow" w:hAnsi="Arial Narrow" w:cs="Frutiger LT Std 45 Light"/>
          <w:sz w:val="24"/>
          <w:lang w:val="es-ES_tradnl"/>
        </w:rPr>
        <w:t xml:space="preserve">% sobre el Valor Agregado Bruto nacional y para el 2021, una participación de </w:t>
      </w:r>
      <w:r w:rsidR="00572B5B" w:rsidRPr="00EE003F">
        <w:rPr>
          <w:rFonts w:ascii="Arial Narrow" w:hAnsi="Arial Narrow" w:cs="Frutiger LT Std 45 Light"/>
          <w:sz w:val="24"/>
          <w:lang w:val="es-ES_tradnl"/>
        </w:rPr>
        <w:t>51</w:t>
      </w:r>
      <w:r w:rsidRPr="00EE003F">
        <w:rPr>
          <w:rFonts w:ascii="Arial Narrow" w:hAnsi="Arial Narrow" w:cs="Frutiger LT Std 45 Light"/>
          <w:sz w:val="24"/>
          <w:lang w:val="es-ES_tradnl"/>
        </w:rPr>
        <w:t>.</w:t>
      </w:r>
      <w:r w:rsidR="00572B5B" w:rsidRPr="00EE003F">
        <w:rPr>
          <w:rFonts w:ascii="Arial Narrow" w:hAnsi="Arial Narrow" w:cs="Frutiger LT Std 45 Light"/>
          <w:sz w:val="24"/>
          <w:lang w:val="es-ES_tradnl"/>
        </w:rPr>
        <w:t>30</w:t>
      </w:r>
      <w:r w:rsidRPr="00EE003F">
        <w:rPr>
          <w:rFonts w:ascii="Arial Narrow" w:hAnsi="Arial Narrow" w:cs="Frutiger LT Std 45 Light"/>
          <w:sz w:val="24"/>
          <w:lang w:val="es-ES_tradnl"/>
        </w:rPr>
        <w:t xml:space="preserve">%. </w:t>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 xml:space="preserve">Para medir el avance de las múltiples dimensiones del reto planteado se detallan los objetivos específicos y sus respectivos indicadores de seguimiento: </w:t>
      </w:r>
    </w:p>
    <w:p w:rsidR="000A3ABC" w:rsidRPr="00EE003F" w:rsidRDefault="000A3ABC" w:rsidP="00692EE1">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p>
    <w:p w:rsidR="005651A3" w:rsidRPr="00EE003F" w:rsidRDefault="005651A3" w:rsidP="00692EE1">
      <w:pPr>
        <w:pStyle w:val="Prrafodelista"/>
        <w:numPr>
          <w:ilvl w:val="0"/>
          <w:numId w:val="17"/>
        </w:num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Desarrollar el territorio con mayor cohesión en lo físico, económico, social e institucional en distintos niveles (nacional, regional y local). Este objetivo específico será evaluado a través del Índice de Densidad del Estado (IDE)</w:t>
      </w:r>
      <w:r w:rsidRPr="00EE003F">
        <w:rPr>
          <w:rFonts w:ascii="Arial Narrow" w:hAnsi="Arial Narrow"/>
          <w:sz w:val="24"/>
          <w:vertAlign w:val="superscript"/>
          <w:lang w:val="es-ES_tradnl"/>
        </w:rPr>
        <w:footnoteReference w:id="36"/>
      </w:r>
      <w:r w:rsidRPr="00EE003F">
        <w:rPr>
          <w:rFonts w:ascii="Arial Narrow" w:hAnsi="Arial Narrow" w:cs="Frutiger LT Std 45 Light"/>
          <w:sz w:val="24"/>
          <w:lang w:val="es-ES_tradnl"/>
        </w:rPr>
        <w:t>, el cual mide la provisión de servicios básicos de salud, educación, saneamiento, electrificación recibidos por los ciudadanos, así como por la efectividad en el aseguramiento del derecho a la identidad. El avance medido a través de este indicador, refleja la provisión de servicios básicos, que brindan las condiciones necesarias más no suficientes para el desarrollo humano, dotándolas de un nivel mínimo de capacidades para acceder a otras mayores y a las oportunidades que se presentan en su entorno.</w:t>
      </w:r>
    </w:p>
    <w:p w:rsidR="005651A3" w:rsidRPr="00EE003F" w:rsidRDefault="005651A3" w:rsidP="00692EE1">
      <w:pPr>
        <w:pStyle w:val="Prrafodelista"/>
        <w:numPr>
          <w:ilvl w:val="0"/>
          <w:numId w:val="17"/>
        </w:num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 xml:space="preserve">Desarrollar una red de ciudades sostenibles para el desarrollo territorial. El desarrollo de ciudades sostenibles permitirá desconcentrar la producción al resto del país y así, generar oportunidades laborales de calidad fuera de Lima, y no solo en las actividades tradicionales como la minería. Por tanto, a fin de medir el avance en este objetivo específico, el indicador que se utilizará será el ratio entre el salario </w:t>
      </w:r>
      <w:r w:rsidR="001A0AA6" w:rsidRPr="00EE003F">
        <w:rPr>
          <w:rFonts w:ascii="Arial Narrow" w:hAnsi="Arial Narrow" w:cs="Frutiger LT Std 45 Light"/>
          <w:sz w:val="24"/>
          <w:lang w:val="es-ES_tradnl"/>
        </w:rPr>
        <w:t>rural</w:t>
      </w:r>
      <w:r w:rsidRPr="00EE003F">
        <w:rPr>
          <w:rFonts w:ascii="Arial Narrow" w:hAnsi="Arial Narrow" w:cs="Frutiger LT Std 45 Light"/>
          <w:sz w:val="24"/>
          <w:lang w:val="es-ES_tradnl"/>
        </w:rPr>
        <w:t xml:space="preserve"> y el salario </w:t>
      </w:r>
      <w:r w:rsidR="001A0AA6" w:rsidRPr="00EE003F">
        <w:rPr>
          <w:rFonts w:ascii="Arial Narrow" w:hAnsi="Arial Narrow" w:cs="Frutiger LT Std 45 Light"/>
          <w:sz w:val="24"/>
          <w:lang w:val="es-ES_tradnl"/>
        </w:rPr>
        <w:t>urbano</w:t>
      </w:r>
      <w:r w:rsidRPr="00EE003F">
        <w:rPr>
          <w:rFonts w:ascii="Arial Narrow" w:hAnsi="Arial Narrow" w:cs="Frutiger LT Std 45 Light"/>
          <w:sz w:val="24"/>
          <w:lang w:val="es-ES_tradnl"/>
        </w:rPr>
        <w:t>.</w:t>
      </w:r>
      <w:r w:rsidRPr="00EE003F">
        <w:rPr>
          <w:rFonts w:ascii="Arial Narrow" w:hAnsi="Arial Narrow"/>
          <w:sz w:val="24"/>
          <w:vertAlign w:val="superscript"/>
          <w:lang w:val="es-ES_tradnl"/>
        </w:rPr>
        <w:footnoteReference w:id="37"/>
      </w:r>
      <w:r w:rsidRPr="00EE003F">
        <w:rPr>
          <w:rFonts w:ascii="Arial Narrow" w:hAnsi="Arial Narrow" w:cs="Frutiger LT Std 45 Light"/>
          <w:sz w:val="24"/>
          <w:vertAlign w:val="superscript"/>
          <w:lang w:val="es-ES_tradnl"/>
        </w:rPr>
        <w:t xml:space="preserve"> </w:t>
      </w:r>
      <w:r w:rsidRPr="00EE003F">
        <w:rPr>
          <w:rFonts w:ascii="Arial Narrow" w:hAnsi="Arial Narrow" w:cs="Frutiger LT Std 45 Light"/>
          <w:sz w:val="24"/>
          <w:lang w:val="es-ES_tradnl"/>
        </w:rPr>
        <w:t>A medida que dicho ratio converja a 1, las oportunidades del campo mejorarán, pero al mismo tiempo permitirá una desconcentración territorial significativa.</w:t>
      </w:r>
    </w:p>
    <w:p w:rsidR="005651A3" w:rsidRPr="00EE003F" w:rsidRDefault="005651A3" w:rsidP="00692EE1">
      <w:pPr>
        <w:pStyle w:val="Prrafodelista"/>
        <w:numPr>
          <w:ilvl w:val="0"/>
          <w:numId w:val="17"/>
        </w:num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Asegurar la provisión de infraestructura productiva suficiente, adecuada y de calidad que favorezca la integración, la competitividad y la productividad. La infraestructura afecta positivamente el crecimiento económico, debido a que incrementa principalmente la productividad del capital, pero al mismo tiempo, mejora la calidad de vida de la población. El Perú históricamente ha presentado un déficit de infraestructura, en especial al interior del país. Por ello, a fin de monitorear los avances del presente objetivo específico, el indicador utilizado será el Índice de Calidad de Infraestructura Total</w:t>
      </w:r>
      <w:r w:rsidRPr="00EE003F">
        <w:rPr>
          <w:rFonts w:ascii="Arial Narrow" w:hAnsi="Arial Narrow"/>
          <w:sz w:val="24"/>
          <w:vertAlign w:val="superscript"/>
          <w:lang w:val="es-ES_tradnl"/>
        </w:rPr>
        <w:footnoteReference w:id="38"/>
      </w:r>
      <w:r w:rsidRPr="00EE003F">
        <w:rPr>
          <w:rFonts w:ascii="Arial Narrow" w:hAnsi="Arial Narrow" w:cs="Frutiger LT Std 45 Light"/>
          <w:sz w:val="24"/>
          <w:vertAlign w:val="superscript"/>
          <w:lang w:val="es-ES_tradnl"/>
        </w:rPr>
        <w:t>.</w:t>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sz w:val="24"/>
          <w:lang w:val="es-ES_tradnl"/>
        </w:rPr>
        <w:t xml:space="preserve">Por tanto, los avances en los objetivos trazados por el Eje 5, permitirán lograr la promoción de la innovación tecnológica, el desarrollo de cadenas productivas y la articulación de mercados, a través de la promoción de la inversión privada y pública, así como con el concatenamiento de los actores regionales y locales. Asimismo, la consecución de los objetivos estratégicos permitirán contar con ciudades a lo largo del país, capaces de brindar condiciones para el desarrollo económico y social de la personas, y permitir un desarrollo nacional desconcentrado pero al mismo tiempo integrado. </w:t>
      </w:r>
    </w:p>
    <w:p w:rsidR="003F54AD" w:rsidRPr="00EE003F" w:rsidRDefault="003F54AD" w:rsidP="00962397">
      <w:pPr>
        <w:spacing w:after="0" w:line="240" w:lineRule="auto"/>
        <w:rPr>
          <w:rFonts w:ascii="Arial Narrow" w:hAnsi="Arial Narrow"/>
          <w:sz w:val="24"/>
        </w:rPr>
      </w:pPr>
    </w:p>
    <w:p w:rsidR="003F54AD" w:rsidRPr="00EE003F" w:rsidRDefault="005651A3" w:rsidP="001A4E17">
      <w:pPr>
        <w:rPr>
          <w:rFonts w:ascii="Arial Narrow" w:hAnsi="Arial Narrow"/>
        </w:rPr>
      </w:pPr>
      <w:r w:rsidRPr="00EE003F">
        <w:rPr>
          <w:rFonts w:ascii="Arial Narrow" w:hAnsi="Arial Narrow"/>
          <w:noProof/>
          <w:lang w:eastAsia="es-PE"/>
        </w:rPr>
        <w:drawing>
          <wp:inline distT="0" distB="0" distL="0" distR="0" wp14:anchorId="75A06DF9" wp14:editId="26A7E9F6">
            <wp:extent cx="4483290" cy="416257"/>
            <wp:effectExtent l="0" t="0" r="0" b="31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b="83000"/>
                    <a:stretch/>
                  </pic:blipFill>
                  <pic:spPr bwMode="auto">
                    <a:xfrm>
                      <a:off x="0" y="0"/>
                      <a:ext cx="4484370" cy="416357"/>
                    </a:xfrm>
                    <a:prstGeom prst="rect">
                      <a:avLst/>
                    </a:prstGeom>
                    <a:noFill/>
                    <a:ln>
                      <a:noFill/>
                    </a:ln>
                    <a:extLst>
                      <a:ext uri="{53640926-AAD7-44D8-BBD7-CCE9431645EC}">
                        <a14:shadowObscured xmlns:a14="http://schemas.microsoft.com/office/drawing/2010/main"/>
                      </a:ext>
                    </a:extLst>
                  </pic:spPr>
                </pic:pic>
              </a:graphicData>
            </a:graphic>
          </wp:inline>
        </w:drawing>
      </w:r>
    </w:p>
    <w:p w:rsidR="00572B5B" w:rsidRPr="00EE003F" w:rsidRDefault="00572B5B" w:rsidP="001A4E17">
      <w:pPr>
        <w:rPr>
          <w:rFonts w:ascii="Arial Narrow" w:hAnsi="Arial Narrow"/>
        </w:rPr>
      </w:pPr>
      <w:r w:rsidRPr="00EE003F">
        <w:rPr>
          <w:rFonts w:ascii="Arial Narrow" w:hAnsi="Arial Narrow"/>
          <w:noProof/>
          <w:lang w:eastAsia="es-PE"/>
        </w:rPr>
        <w:drawing>
          <wp:inline distT="0" distB="0" distL="0" distR="0" wp14:anchorId="12C749A1" wp14:editId="02604F01">
            <wp:extent cx="4783540" cy="2415654"/>
            <wp:effectExtent l="0" t="0" r="0" b="381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4683" r="6601" b="5094"/>
                    <a:stretch/>
                  </pic:blipFill>
                  <pic:spPr bwMode="auto">
                    <a:xfrm>
                      <a:off x="0" y="0"/>
                      <a:ext cx="4791234" cy="2419539"/>
                    </a:xfrm>
                    <a:prstGeom prst="rect">
                      <a:avLst/>
                    </a:prstGeom>
                    <a:ln>
                      <a:noFill/>
                    </a:ln>
                    <a:extLst>
                      <a:ext uri="{53640926-AAD7-44D8-BBD7-CCE9431645EC}">
                        <a14:shadowObscured xmlns:a14="http://schemas.microsoft.com/office/drawing/2010/main"/>
                      </a:ext>
                    </a:extLst>
                  </pic:spPr>
                </pic:pic>
              </a:graphicData>
            </a:graphic>
          </wp:inline>
        </w:drawing>
      </w:r>
    </w:p>
    <w:p w:rsidR="00572B5B" w:rsidRPr="00EE003F" w:rsidRDefault="00572B5B" w:rsidP="001A4E17">
      <w:pPr>
        <w:rPr>
          <w:rFonts w:ascii="Arial Narrow" w:hAnsi="Arial Narrow"/>
          <w:sz w:val="16"/>
        </w:rPr>
      </w:pPr>
      <w:r w:rsidRPr="00EE003F">
        <w:rPr>
          <w:rFonts w:ascii="Arial Narrow" w:hAnsi="Arial Narrow"/>
          <w:sz w:val="16"/>
        </w:rPr>
        <w:t>Fuente: INEI</w:t>
      </w:r>
    </w:p>
    <w:p w:rsidR="005651A3" w:rsidRPr="00EE003F" w:rsidRDefault="005651A3" w:rsidP="00692EE1">
      <w:pPr>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b/>
          <w:bCs/>
          <w:sz w:val="24"/>
          <w:szCs w:val="24"/>
          <w:lang w:val="es-ES_tradnl"/>
        </w:rPr>
        <w:t>Interpretación</w:t>
      </w:r>
    </w:p>
    <w:p w:rsidR="005651A3" w:rsidRPr="00EE003F" w:rsidRDefault="005651A3"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Durante los últimos años, la participación del VAB departamental sobre el VAB total ha decrecido, producto del dinamismo de Lima y de su peso relativo en la economía nacional. Con la intención de incrementar la participación regional, el Gobierno ha promulgado recientemente el “Plan Nacional de Diversificación Productiva”, que apunta a reducir las brechas regionales de productividad, a través de la identificación de las barreras a</w:t>
      </w:r>
      <w:r w:rsidR="00240C0D" w:rsidRPr="00EE003F">
        <w:rPr>
          <w:rFonts w:ascii="Arial Narrow" w:hAnsi="Arial Narrow" w:cs="Frutiger LT Std 45 Light"/>
          <w:sz w:val="24"/>
          <w:szCs w:val="24"/>
          <w:lang w:val="es-ES_tradnl"/>
        </w:rPr>
        <w:t xml:space="preserve">l crecimiento de las regiones, </w:t>
      </w:r>
      <w:r w:rsidRPr="00EE003F">
        <w:rPr>
          <w:rFonts w:ascii="Arial Narrow" w:hAnsi="Arial Narrow" w:cs="Frutiger LT Std 45 Light"/>
          <w:sz w:val="24"/>
          <w:szCs w:val="24"/>
          <w:lang w:val="es-ES_tradnl"/>
        </w:rPr>
        <w:t>la aplicación de esquemas de difusión tecnológica y el establecimiento de clústeres o parques industriales. Una ejecución exitosa de este plan hará posible alcanzar las metas propuestas para los años 2016 y 2021.</w:t>
      </w:r>
    </w:p>
    <w:p w:rsidR="005651A3" w:rsidRPr="00EE003F" w:rsidRDefault="005651A3" w:rsidP="005651A3">
      <w:pPr>
        <w:suppressAutoHyphens/>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r w:rsidRPr="00EE003F">
        <w:rPr>
          <w:rFonts w:ascii="Arial Narrow" w:hAnsi="Arial Narrow" w:cs="Frutiger LT Std 45 Light"/>
          <w:noProof/>
          <w:sz w:val="20"/>
          <w:szCs w:val="20"/>
          <w:lang w:eastAsia="es-PE"/>
        </w:rPr>
        <w:drawing>
          <wp:inline distT="0" distB="0" distL="0" distR="0" wp14:anchorId="43C37E9A" wp14:editId="3DDCBE5A">
            <wp:extent cx="4906010" cy="2417445"/>
            <wp:effectExtent l="0" t="0" r="8890" b="190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06010" cy="2417445"/>
                    </a:xfrm>
                    <a:prstGeom prst="rect">
                      <a:avLst/>
                    </a:prstGeom>
                    <a:noFill/>
                    <a:ln>
                      <a:noFill/>
                    </a:ln>
                  </pic:spPr>
                </pic:pic>
              </a:graphicData>
            </a:graphic>
          </wp:inline>
        </w:drawing>
      </w:r>
    </w:p>
    <w:p w:rsidR="005651A3" w:rsidRPr="00EE003F" w:rsidRDefault="005651A3" w:rsidP="005651A3">
      <w:pPr>
        <w:suppressAutoHyphens/>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r w:rsidRPr="00EE003F">
        <w:rPr>
          <w:rFonts w:ascii="Arial Narrow" w:hAnsi="Arial Narrow" w:cs="Frutiger LT Std 45 Light"/>
          <w:noProof/>
          <w:sz w:val="20"/>
          <w:szCs w:val="20"/>
          <w:lang w:eastAsia="es-PE"/>
        </w:rPr>
        <w:drawing>
          <wp:inline distT="0" distB="0" distL="0" distR="0" wp14:anchorId="587F5C75" wp14:editId="290AE593">
            <wp:extent cx="4946015" cy="1939925"/>
            <wp:effectExtent l="0" t="0" r="6985" b="317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46015" cy="1939925"/>
                    </a:xfrm>
                    <a:prstGeom prst="rect">
                      <a:avLst/>
                    </a:prstGeom>
                    <a:noFill/>
                    <a:ln>
                      <a:noFill/>
                    </a:ln>
                  </pic:spPr>
                </pic:pic>
              </a:graphicData>
            </a:graphic>
          </wp:inline>
        </w:drawing>
      </w:r>
    </w:p>
    <w:p w:rsidR="005651A3" w:rsidRPr="00EE003F" w:rsidRDefault="005651A3" w:rsidP="005651A3">
      <w:pPr>
        <w:suppressAutoHyphens/>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p>
    <w:p w:rsidR="005651A3" w:rsidRPr="00EE003F" w:rsidRDefault="005651A3" w:rsidP="00240C0D">
      <w:pPr>
        <w:suppressAutoHyphens/>
        <w:autoSpaceDE w:val="0"/>
        <w:autoSpaceDN w:val="0"/>
        <w:adjustRightInd w:val="0"/>
        <w:spacing w:before="340" w:after="0" w:line="288" w:lineRule="auto"/>
        <w:textAlignment w:val="center"/>
        <w:rPr>
          <w:rFonts w:ascii="Arial Narrow" w:hAnsi="Arial Narrow" w:cs="RotisSemiSans"/>
          <w:sz w:val="40"/>
          <w:szCs w:val="40"/>
          <w:lang w:val="es-ES_tradnl"/>
        </w:rPr>
      </w:pPr>
      <w:r w:rsidRPr="00EE003F">
        <w:rPr>
          <w:rFonts w:ascii="Arial Narrow" w:hAnsi="Arial Narrow" w:cs="RotisSemiSans"/>
          <w:sz w:val="40"/>
          <w:szCs w:val="40"/>
          <w:lang w:val="es-ES_tradnl"/>
        </w:rPr>
        <w:t>Objetivo</w:t>
      </w:r>
      <w:r w:rsidR="002B54B5" w:rsidRPr="00EE003F">
        <w:rPr>
          <w:rFonts w:ascii="Arial Narrow" w:hAnsi="Arial Narrow" w:cs="RotisSemiSans"/>
          <w:sz w:val="40"/>
          <w:szCs w:val="40"/>
          <w:lang w:val="es-ES_tradnl"/>
        </w:rPr>
        <w:t>s</w:t>
      </w:r>
      <w:r w:rsidRPr="00EE003F">
        <w:rPr>
          <w:rFonts w:ascii="Arial Narrow" w:hAnsi="Arial Narrow" w:cs="RotisSemiSans"/>
          <w:sz w:val="40"/>
          <w:szCs w:val="40"/>
          <w:lang w:val="es-ES_tradnl"/>
        </w:rPr>
        <w:t xml:space="preserve"> nacionales, objetivos específicos y acciones estratégicas</w:t>
      </w:r>
    </w:p>
    <w:p w:rsidR="005651A3" w:rsidRPr="00EE003F" w:rsidRDefault="005651A3" w:rsidP="005651A3">
      <w:pPr>
        <w:suppressAutoHyphens/>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p>
    <w:tbl>
      <w:tblPr>
        <w:tblStyle w:val="Tablaconcuadrcula"/>
        <w:tblW w:w="0" w:type="auto"/>
        <w:tblLayout w:type="fixed"/>
        <w:tblLook w:val="0000" w:firstRow="0" w:lastRow="0" w:firstColumn="0" w:lastColumn="0" w:noHBand="0" w:noVBand="0"/>
      </w:tblPr>
      <w:tblGrid>
        <w:gridCol w:w="1507"/>
        <w:gridCol w:w="6965"/>
      </w:tblGrid>
      <w:tr w:rsidR="006E3336" w:rsidRPr="00EE003F" w:rsidTr="00037691">
        <w:trPr>
          <w:trHeight w:val="60"/>
        </w:trPr>
        <w:tc>
          <w:tcPr>
            <w:tcW w:w="8472" w:type="dxa"/>
            <w:gridSpan w:val="2"/>
          </w:tcPr>
          <w:p w:rsidR="005651A3" w:rsidRPr="00EE003F" w:rsidRDefault="005651A3" w:rsidP="0096546A">
            <w:pPr>
              <w:suppressAutoHyphens/>
              <w:autoSpaceDE w:val="0"/>
              <w:autoSpaceDN w:val="0"/>
              <w:adjustRightInd w:val="0"/>
              <w:spacing w:after="200" w:line="288" w:lineRule="auto"/>
              <w:ind w:left="170"/>
              <w:textAlignment w:val="center"/>
              <w:rPr>
                <w:rStyle w:val="cuerpodetextotablas"/>
                <w:rFonts w:ascii="Arial Narrow" w:hAnsi="Arial Narrow"/>
                <w:b/>
                <w:sz w:val="20"/>
                <w:szCs w:val="20"/>
                <w:lang w:val="es-ES_tradnl"/>
              </w:rPr>
            </w:pPr>
            <w:r w:rsidRPr="00EE003F">
              <w:rPr>
                <w:rStyle w:val="cuerpodetextotablas"/>
                <w:rFonts w:ascii="Arial Narrow" w:hAnsi="Arial Narrow"/>
                <w:b/>
                <w:sz w:val="20"/>
                <w:szCs w:val="20"/>
                <w:lang w:val="es-ES_tradnl"/>
              </w:rPr>
              <w:t xml:space="preserve">OBJETIVO NACIONAL: </w:t>
            </w:r>
          </w:p>
          <w:p w:rsidR="005651A3" w:rsidRPr="00EE003F" w:rsidRDefault="005651A3" w:rsidP="0096546A">
            <w:pPr>
              <w:pStyle w:val="BasicParagraph"/>
              <w:tabs>
                <w:tab w:val="left" w:pos="283"/>
              </w:tabs>
              <w:suppressAutoHyphens/>
              <w:ind w:left="28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“Territorio cohesionado y organizado en ciudades sostenibles con provisión asegurada de infraestructura de calidad.”</w:t>
            </w:r>
          </w:p>
        </w:tc>
      </w:tr>
      <w:tr w:rsidR="006E3336" w:rsidRPr="00EE003F" w:rsidTr="00037691">
        <w:trPr>
          <w:trHeight w:val="60"/>
        </w:trPr>
        <w:tc>
          <w:tcPr>
            <w:tcW w:w="1507" w:type="dxa"/>
          </w:tcPr>
          <w:p w:rsidR="005651A3" w:rsidRPr="00EE003F" w:rsidRDefault="005651A3" w:rsidP="0096546A">
            <w:pPr>
              <w:autoSpaceDE w:val="0"/>
              <w:autoSpaceDN w:val="0"/>
              <w:adjustRightInd w:val="0"/>
              <w:spacing w:after="200" w:line="288" w:lineRule="auto"/>
              <w:jc w:val="center"/>
              <w:textAlignment w:val="center"/>
              <w:rPr>
                <w:rStyle w:val="cuerpodetextotablas"/>
                <w:rFonts w:ascii="Arial Narrow" w:hAnsi="Arial Narrow"/>
                <w:b/>
                <w:bCs/>
                <w:sz w:val="20"/>
                <w:szCs w:val="20"/>
                <w:lang w:val="es-ES_tradnl"/>
              </w:rPr>
            </w:pPr>
            <w:r w:rsidRPr="00EE003F">
              <w:rPr>
                <w:rStyle w:val="cuerpodetextotablas"/>
                <w:rFonts w:ascii="Arial Narrow" w:hAnsi="Arial Narrow"/>
                <w:b/>
                <w:sz w:val="20"/>
                <w:szCs w:val="20"/>
                <w:lang w:val="es-ES_tradnl"/>
              </w:rPr>
              <w:t>Objetivos Específicos</w:t>
            </w:r>
          </w:p>
        </w:tc>
        <w:tc>
          <w:tcPr>
            <w:tcW w:w="6965" w:type="dxa"/>
          </w:tcPr>
          <w:p w:rsidR="005651A3" w:rsidRPr="00EE003F" w:rsidRDefault="005651A3" w:rsidP="0096546A">
            <w:pPr>
              <w:autoSpaceDE w:val="0"/>
              <w:autoSpaceDN w:val="0"/>
              <w:adjustRightInd w:val="0"/>
              <w:spacing w:after="200" w:line="288" w:lineRule="auto"/>
              <w:jc w:val="center"/>
              <w:textAlignment w:val="center"/>
              <w:rPr>
                <w:rStyle w:val="cuerpodetextotablas"/>
                <w:rFonts w:ascii="Arial Narrow" w:hAnsi="Arial Narrow"/>
                <w:b/>
                <w:sz w:val="20"/>
                <w:szCs w:val="20"/>
                <w:lang w:val="es-ES_tradnl"/>
              </w:rPr>
            </w:pPr>
            <w:r w:rsidRPr="00EE003F">
              <w:rPr>
                <w:rStyle w:val="cuerpodetextotablas"/>
                <w:rFonts w:ascii="Arial Narrow" w:hAnsi="Arial Narrow"/>
                <w:b/>
                <w:sz w:val="20"/>
                <w:szCs w:val="20"/>
                <w:lang w:val="es-ES_tradnl"/>
              </w:rPr>
              <w:t>Acciones Estrategias</w:t>
            </w:r>
          </w:p>
        </w:tc>
      </w:tr>
      <w:tr w:rsidR="006E3336" w:rsidRPr="00EE003F" w:rsidTr="00037691">
        <w:trPr>
          <w:trHeight w:val="60"/>
        </w:trPr>
        <w:tc>
          <w:tcPr>
            <w:tcW w:w="1507" w:type="dxa"/>
            <w:vMerge w:val="restart"/>
          </w:tcPr>
          <w:p w:rsidR="00DB61C4" w:rsidRPr="00EE003F" w:rsidRDefault="00DB61C4" w:rsidP="00FC64B0">
            <w:pPr>
              <w:pStyle w:val="BasicParagraph"/>
              <w:numPr>
                <w:ilvl w:val="0"/>
                <w:numId w:val="36"/>
              </w:numPr>
              <w:suppressAutoHyphens/>
              <w:spacing w:before="113"/>
              <w:ind w:left="142" w:hanging="142"/>
              <w:rPr>
                <w:rStyle w:val="negritatablas"/>
                <w:rFonts w:ascii="Arial Narrow" w:hAnsi="Arial Narrow"/>
                <w:color w:val="auto"/>
                <w:sz w:val="20"/>
                <w:szCs w:val="20"/>
                <w:lang w:val="es-PE"/>
              </w:rPr>
            </w:pPr>
            <w:r w:rsidRPr="00EE003F">
              <w:rPr>
                <w:rStyle w:val="negritatablas"/>
                <w:rFonts w:ascii="Arial Narrow" w:hAnsi="Arial Narrow"/>
                <w:color w:val="auto"/>
                <w:sz w:val="20"/>
                <w:szCs w:val="20"/>
              </w:rPr>
              <w:t xml:space="preserve">Desarrollar el territorio con mayor cohesión en lo físico, económico, social e institucional en distintos niveles (nacional, regional </w:t>
            </w:r>
            <w:r w:rsidRPr="00EE003F">
              <w:rPr>
                <w:rStyle w:val="negritatablas"/>
                <w:rFonts w:ascii="Arial Narrow" w:hAnsi="Arial Narrow"/>
                <w:color w:val="auto"/>
                <w:sz w:val="20"/>
                <w:szCs w:val="20"/>
              </w:rPr>
              <w:br/>
              <w:t>y local)</w:t>
            </w:r>
          </w:p>
          <w:p w:rsidR="00DB61C4" w:rsidRPr="00EE003F" w:rsidRDefault="00DB61C4" w:rsidP="00B7220B">
            <w:pPr>
              <w:pStyle w:val="BasicParagraph"/>
              <w:suppressAutoHyphens/>
              <w:spacing w:before="113"/>
              <w:ind w:left="142" w:hanging="142"/>
              <w:rPr>
                <w:rFonts w:ascii="Arial Narrow" w:hAnsi="Arial Narrow"/>
                <w:color w:val="auto"/>
                <w:sz w:val="20"/>
                <w:szCs w:val="20"/>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Institucionalizar el proceso de planeamiento estratégico con enfoque territorial y con una gestión integrada de cuencas hidrográficas, las zonas marino</w:t>
            </w:r>
            <w:r w:rsidR="006F55DE" w:rsidRPr="00EE003F">
              <w:rPr>
                <w:rStyle w:val="cuerpodetextotablas"/>
                <w:rFonts w:ascii="Arial Narrow" w:hAnsi="Arial Narrow"/>
                <w:color w:val="auto"/>
                <w:sz w:val="20"/>
                <w:szCs w:val="20"/>
              </w:rPr>
              <w:t xml:space="preserve"> -</w:t>
            </w:r>
            <w:r w:rsidRPr="00EE003F">
              <w:rPr>
                <w:rStyle w:val="cuerpodetextotablas"/>
                <w:rFonts w:ascii="Arial Narrow" w:hAnsi="Arial Narrow"/>
                <w:color w:val="auto"/>
                <w:sz w:val="20"/>
                <w:szCs w:val="20"/>
              </w:rPr>
              <w:t xml:space="preserve"> costeras, corredores económicos y la gestión de riesgos de desastres.</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Institucionalizar mecanismos de coordinación multisectorial y multinivel para llevar a cabo procesos articulados de planeamiento territorial.</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 xml:space="preserve">Articular los instrumentos de gobierno, sectoriales y en los tres niveles de gobierno, sobre usos y ocupación del territorio teniendo en cuenta los planes de desarrollo concertados. </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Articular las acciones de los tres niveles de gobierno, a través del uso de la Plataforma de Servicios “Tambos” y las Plataformas Itinerantes de Acción Social, como medio para impulsar el crecimiento de las poblaciones asentadas en zonas de posicionamiento territorial estratégico y de defensa nacional.</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663619"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Articular la</w:t>
            </w:r>
            <w:r w:rsidR="00DB61C4" w:rsidRPr="00EE003F">
              <w:rPr>
                <w:rStyle w:val="cuerpodetextotablas"/>
                <w:rFonts w:ascii="Arial Narrow" w:hAnsi="Arial Narrow"/>
                <w:color w:val="auto"/>
                <w:sz w:val="20"/>
                <w:szCs w:val="20"/>
              </w:rPr>
              <w:t xml:space="preserve">s </w:t>
            </w:r>
            <w:r w:rsidR="001F33A4" w:rsidRPr="00EE003F">
              <w:rPr>
                <w:rStyle w:val="cuerpodetextotablas"/>
                <w:rFonts w:ascii="Arial Narrow" w:hAnsi="Arial Narrow"/>
                <w:color w:val="auto"/>
                <w:sz w:val="20"/>
                <w:szCs w:val="20"/>
              </w:rPr>
              <w:t xml:space="preserve">políticas, </w:t>
            </w:r>
            <w:r w:rsidR="00DB61C4" w:rsidRPr="00EE003F">
              <w:rPr>
                <w:rStyle w:val="cuerpodetextotablas"/>
                <w:rFonts w:ascii="Arial Narrow" w:hAnsi="Arial Narrow"/>
                <w:color w:val="auto"/>
                <w:sz w:val="20"/>
                <w:szCs w:val="20"/>
              </w:rPr>
              <w:t xml:space="preserve">planes, </w:t>
            </w:r>
            <w:r w:rsidR="001F33A4" w:rsidRPr="00EE003F">
              <w:rPr>
                <w:rStyle w:val="cuerpodetextotablas"/>
                <w:rFonts w:ascii="Arial Narrow" w:hAnsi="Arial Narrow"/>
                <w:color w:val="auto"/>
                <w:sz w:val="20"/>
                <w:szCs w:val="20"/>
              </w:rPr>
              <w:t xml:space="preserve">programas y proyectos </w:t>
            </w:r>
            <w:r w:rsidR="00DB61C4" w:rsidRPr="00EE003F">
              <w:rPr>
                <w:rStyle w:val="cuerpodetextotablas"/>
                <w:rFonts w:ascii="Arial Narrow" w:hAnsi="Arial Narrow"/>
                <w:color w:val="auto"/>
                <w:sz w:val="20"/>
                <w:szCs w:val="20"/>
              </w:rPr>
              <w:t>sectoriales y multisectoriales y los Informes Multianuales de Inversiones en Asociaciones Público Privadas con incidencia en el territorio de manera coherente y coordinada.</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Perfeccionar la normatividad interna, para promover la inversión y mejorar nuestra competitividad y productividad, buscando el desarrollo territorial sostenible y equitativo.</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 xml:space="preserve">Promover de manera prioritaria el desarrollo económico productivo de la selva y departamentos con mayores índices de pobreza, aprovechando de manera sostenible su potencial. </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Promover la descentralización económica y la generación de polos regionales de desarrollo productivo y parques industriales, con la participación de las organizaciones productoras locales y el fomento de sus potencialidades económicas.</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 xml:space="preserve">Promover la innovación y transferencia tecnológica, propiciando la activa participación de actores regionales y locales, y fortalecer y promover el desarrollo, articulación y financiamiento de los centros de innovación tecnológica a nivel regional. </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Consolidar el crecimiento de las instituciones financieras, así como promover la ampliación del acceso al crédito en mercados incompletos</w:t>
            </w:r>
            <w:r w:rsidR="00765419" w:rsidRPr="00EE003F">
              <w:rPr>
                <w:rStyle w:val="cuerpodetextotablas"/>
                <w:rFonts w:ascii="Arial Narrow" w:hAnsi="Arial Narrow"/>
                <w:color w:val="auto"/>
                <w:sz w:val="20"/>
                <w:szCs w:val="20"/>
              </w:rPr>
              <w:t xml:space="preserve"> o imperfectos</w:t>
            </w:r>
            <w:r w:rsidRPr="00EE003F">
              <w:rPr>
                <w:rStyle w:val="cuerpodetextotablas"/>
                <w:rFonts w:ascii="Arial Narrow" w:hAnsi="Arial Narrow"/>
                <w:color w:val="auto"/>
                <w:sz w:val="20"/>
                <w:szCs w:val="20"/>
              </w:rPr>
              <w:t>, fortalecer el gobierno corporativo, y el soporte tecnológico de las cajas municipales y rurales.</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Fortalecer capacidades de gestión pública y técnica para el desarrollo regional.</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Promover la innovación tecnológica, cadenas productivas y la articulación a mercados.</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Fonts w:ascii="Arial Narrow" w:hAnsi="Arial Narrow"/>
                <w:color w:val="auto"/>
                <w:sz w:val="20"/>
                <w:szCs w:val="20"/>
              </w:rPr>
            </w:pPr>
            <w:r w:rsidRPr="00EE003F">
              <w:rPr>
                <w:rStyle w:val="cuerpodetextotablas"/>
                <w:rFonts w:ascii="Arial Narrow" w:hAnsi="Arial Narrow"/>
                <w:color w:val="auto"/>
                <w:sz w:val="20"/>
                <w:szCs w:val="20"/>
              </w:rPr>
              <w:t>Identificar los sectores y departamentos que tienen mayor potencial y otorgarles las condiciones necesarias para su desarrollo, a través de herramientas modernas de innovación, tecnología, financiamiento, entre otras, de acuerdo a la política de desarrollo territorial.</w:t>
            </w:r>
          </w:p>
        </w:tc>
      </w:tr>
      <w:tr w:rsidR="006E3336" w:rsidRPr="00EE003F" w:rsidTr="00037691">
        <w:trPr>
          <w:trHeight w:val="60"/>
        </w:trPr>
        <w:tc>
          <w:tcPr>
            <w:tcW w:w="1507" w:type="dxa"/>
            <w:vMerge/>
          </w:tcPr>
          <w:p w:rsidR="00DB61C4" w:rsidRPr="00EE003F" w:rsidRDefault="00DB61C4" w:rsidP="00631573">
            <w:pPr>
              <w:pStyle w:val="NoParagraphStyle"/>
              <w:numPr>
                <w:ilvl w:val="0"/>
                <w:numId w:val="36"/>
              </w:numPr>
              <w:spacing w:line="240" w:lineRule="auto"/>
              <w:ind w:left="142" w:hanging="142"/>
              <w:textAlignment w:val="auto"/>
              <w:rPr>
                <w:rFonts w:ascii="Arial Narrow" w:hAnsi="Arial Narrow"/>
                <w:color w:val="auto"/>
                <w:sz w:val="20"/>
                <w:szCs w:val="20"/>
                <w:lang w:val="es-PE"/>
              </w:rPr>
            </w:pPr>
          </w:p>
        </w:tc>
        <w:tc>
          <w:tcPr>
            <w:tcW w:w="6965" w:type="dxa"/>
          </w:tcPr>
          <w:p w:rsidR="00DB61C4" w:rsidRPr="00EE003F" w:rsidRDefault="00DB61C4" w:rsidP="00FC64B0">
            <w:pPr>
              <w:pStyle w:val="BasicParagraph"/>
              <w:numPr>
                <w:ilvl w:val="0"/>
                <w:numId w:val="27"/>
              </w:numPr>
              <w:tabs>
                <w:tab w:val="left" w:pos="283"/>
              </w:tabs>
              <w:suppressAutoHyphens/>
              <w:ind w:left="336"/>
              <w:jc w:val="both"/>
              <w:rPr>
                <w:rStyle w:val="cuerpodetextotablas"/>
                <w:rFonts w:ascii="Arial Narrow" w:hAnsi="Arial Narrow"/>
                <w:color w:val="auto"/>
                <w:sz w:val="20"/>
                <w:szCs w:val="20"/>
                <w:u w:val="single"/>
              </w:rPr>
            </w:pPr>
            <w:r w:rsidRPr="00EE003F">
              <w:rPr>
                <w:rStyle w:val="cuerpodetextotablas"/>
                <w:rFonts w:ascii="Arial Narrow" w:hAnsi="Arial Narrow"/>
                <w:color w:val="auto"/>
                <w:sz w:val="20"/>
                <w:szCs w:val="20"/>
              </w:rPr>
              <w:t>Manejar integralmente el territorio y reubicar a las poblaciones situadas en zonas vulnerables, en núcleos urbano rurales</w:t>
            </w:r>
          </w:p>
        </w:tc>
      </w:tr>
      <w:tr w:rsidR="006E3336" w:rsidRPr="00EE003F" w:rsidTr="00037691">
        <w:trPr>
          <w:trHeight w:val="473"/>
        </w:trPr>
        <w:tc>
          <w:tcPr>
            <w:tcW w:w="1507" w:type="dxa"/>
            <w:vMerge w:val="restart"/>
          </w:tcPr>
          <w:p w:rsidR="005651A3" w:rsidRPr="00EE003F" w:rsidRDefault="005651A3" w:rsidP="00FC64B0">
            <w:pPr>
              <w:pStyle w:val="BasicParagraph"/>
              <w:numPr>
                <w:ilvl w:val="0"/>
                <w:numId w:val="36"/>
              </w:numPr>
              <w:suppressAutoHyphens/>
              <w:spacing w:before="113"/>
              <w:ind w:left="142" w:hanging="142"/>
              <w:rPr>
                <w:rFonts w:ascii="Arial Narrow" w:hAnsi="Arial Narrow"/>
                <w:color w:val="auto"/>
                <w:sz w:val="20"/>
                <w:szCs w:val="20"/>
              </w:rPr>
            </w:pPr>
            <w:r w:rsidRPr="00EE003F">
              <w:rPr>
                <w:rStyle w:val="negritatablas"/>
                <w:rFonts w:ascii="Arial Narrow" w:hAnsi="Arial Narrow"/>
                <w:color w:val="auto"/>
                <w:sz w:val="20"/>
                <w:szCs w:val="20"/>
              </w:rPr>
              <w:t>Desarrollar una red de ciudades sostenibles para el desarrollo territorial</w:t>
            </w:r>
          </w:p>
        </w:tc>
        <w:tc>
          <w:tcPr>
            <w:tcW w:w="6965" w:type="dxa"/>
          </w:tcPr>
          <w:p w:rsidR="005651A3" w:rsidRPr="00EE003F" w:rsidRDefault="005651A3" w:rsidP="00FC64B0">
            <w:pPr>
              <w:pStyle w:val="BasicParagraph"/>
              <w:numPr>
                <w:ilvl w:val="0"/>
                <w:numId w:val="28"/>
              </w:numPr>
              <w:tabs>
                <w:tab w:val="left" w:pos="283"/>
              </w:tabs>
              <w:suppressAutoHyphens/>
              <w:ind w:left="336" w:hanging="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el desarrollo de centros urbanos seguros, ordenados, saludables, atractivos cultural y físicamente, y eficientes en su funcionamiento y desarrollo sin afectar negativamente al medio ambiente.</w:t>
            </w:r>
          </w:p>
        </w:tc>
      </w:tr>
      <w:tr w:rsidR="006E3336" w:rsidRPr="00EE003F" w:rsidTr="00037691">
        <w:trPr>
          <w:trHeight w:val="60"/>
        </w:trPr>
        <w:tc>
          <w:tcPr>
            <w:tcW w:w="1507" w:type="dxa"/>
            <w:vMerge/>
          </w:tcPr>
          <w:p w:rsidR="005651A3" w:rsidRPr="00EE003F" w:rsidRDefault="005651A3" w:rsidP="00631573">
            <w:pPr>
              <w:pStyle w:val="NoParagraphStyle"/>
              <w:numPr>
                <w:ilvl w:val="0"/>
                <w:numId w:val="36"/>
              </w:numPr>
              <w:spacing w:line="240" w:lineRule="auto"/>
              <w:ind w:left="142" w:hanging="284"/>
              <w:textAlignment w:val="auto"/>
              <w:rPr>
                <w:rFonts w:ascii="Arial Narrow" w:hAnsi="Arial Narrow"/>
                <w:color w:val="auto"/>
                <w:sz w:val="20"/>
                <w:szCs w:val="20"/>
                <w:lang w:val="es-PE"/>
              </w:rPr>
            </w:pPr>
          </w:p>
        </w:tc>
        <w:tc>
          <w:tcPr>
            <w:tcW w:w="6965" w:type="dxa"/>
          </w:tcPr>
          <w:p w:rsidR="005651A3" w:rsidRPr="00EE003F" w:rsidRDefault="005651A3" w:rsidP="00FC64B0">
            <w:pPr>
              <w:pStyle w:val="BasicParagraph"/>
              <w:numPr>
                <w:ilvl w:val="0"/>
                <w:numId w:val="28"/>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Desarrollar sistemas urbanos</w:t>
            </w:r>
            <w:r w:rsidR="00996D80" w:rsidRPr="00EE003F">
              <w:rPr>
                <w:rStyle w:val="cuerpodetextotablas"/>
                <w:rFonts w:ascii="Arial Narrow" w:hAnsi="Arial Narrow"/>
                <w:color w:val="auto"/>
                <w:sz w:val="20"/>
                <w:szCs w:val="20"/>
              </w:rPr>
              <w:t xml:space="preserve"> y urbanos-rurales</w:t>
            </w:r>
            <w:r w:rsidRPr="00EE003F">
              <w:rPr>
                <w:rStyle w:val="cuerpodetextotablas"/>
                <w:rFonts w:ascii="Arial Narrow" w:hAnsi="Arial Narrow"/>
                <w:color w:val="auto"/>
                <w:sz w:val="20"/>
                <w:szCs w:val="20"/>
              </w:rPr>
              <w:t xml:space="preserve"> con enfoque de especialización y complementación</w:t>
            </w:r>
            <w:r w:rsidR="00996D80" w:rsidRPr="00EE003F">
              <w:rPr>
                <w:rStyle w:val="cuerpodetextotablas"/>
                <w:rFonts w:ascii="Arial Narrow" w:hAnsi="Arial Narrow"/>
                <w:color w:val="auto"/>
                <w:sz w:val="20"/>
                <w:szCs w:val="20"/>
              </w:rPr>
              <w:t>, con acceso</w:t>
            </w:r>
            <w:r w:rsidRPr="00EE003F">
              <w:rPr>
                <w:rStyle w:val="cuerpodetextotablas"/>
                <w:rFonts w:ascii="Arial Narrow" w:hAnsi="Arial Narrow"/>
                <w:color w:val="auto"/>
                <w:sz w:val="20"/>
                <w:szCs w:val="20"/>
              </w:rPr>
              <w:t xml:space="preserve"> a los servicios públicos esenciales a la población (salud, educación, vivienda y saneamiento), así como a la producción y la comercialización.</w:t>
            </w:r>
          </w:p>
        </w:tc>
      </w:tr>
      <w:tr w:rsidR="00E57F9C" w:rsidRPr="00EE003F" w:rsidTr="00037691">
        <w:trPr>
          <w:trHeight w:val="60"/>
        </w:trPr>
        <w:tc>
          <w:tcPr>
            <w:tcW w:w="1507" w:type="dxa"/>
            <w:vMerge/>
          </w:tcPr>
          <w:p w:rsidR="00E57F9C" w:rsidRPr="00EE003F" w:rsidRDefault="00E57F9C">
            <w:pPr>
              <w:pStyle w:val="NoParagraphStyle"/>
              <w:numPr>
                <w:ilvl w:val="0"/>
                <w:numId w:val="36"/>
              </w:numPr>
              <w:spacing w:line="240" w:lineRule="auto"/>
              <w:ind w:left="142" w:hanging="284"/>
              <w:textAlignment w:val="auto"/>
              <w:rPr>
                <w:rFonts w:ascii="Arial Narrow" w:hAnsi="Arial Narrow"/>
                <w:color w:val="auto"/>
                <w:sz w:val="20"/>
                <w:szCs w:val="20"/>
                <w:lang w:val="es-PE"/>
              </w:rPr>
            </w:pPr>
          </w:p>
        </w:tc>
        <w:tc>
          <w:tcPr>
            <w:tcW w:w="6965" w:type="dxa"/>
          </w:tcPr>
          <w:p w:rsidR="00E57F9C" w:rsidRPr="00EE003F" w:rsidRDefault="00306B14" w:rsidP="00FC64B0">
            <w:pPr>
              <w:pStyle w:val="BasicParagraph"/>
              <w:numPr>
                <w:ilvl w:val="0"/>
                <w:numId w:val="28"/>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Asegurar que los principales corredores logísticos cuenten con acceso adecuado y seguro a la red de puertos y aeropuertos del país.</w:t>
            </w:r>
          </w:p>
        </w:tc>
      </w:tr>
      <w:tr w:rsidR="00E57F9C" w:rsidRPr="00EE003F" w:rsidTr="00037691">
        <w:trPr>
          <w:trHeight w:val="60"/>
        </w:trPr>
        <w:tc>
          <w:tcPr>
            <w:tcW w:w="1507" w:type="dxa"/>
            <w:vMerge/>
          </w:tcPr>
          <w:p w:rsidR="00E57F9C" w:rsidRPr="00EE003F" w:rsidRDefault="00E57F9C">
            <w:pPr>
              <w:pStyle w:val="NoParagraphStyle"/>
              <w:numPr>
                <w:ilvl w:val="0"/>
                <w:numId w:val="36"/>
              </w:numPr>
              <w:spacing w:line="240" w:lineRule="auto"/>
              <w:ind w:left="142" w:hanging="284"/>
              <w:textAlignment w:val="auto"/>
              <w:rPr>
                <w:rFonts w:ascii="Arial Narrow" w:hAnsi="Arial Narrow"/>
                <w:color w:val="auto"/>
                <w:sz w:val="20"/>
                <w:szCs w:val="20"/>
                <w:lang w:val="es-PE"/>
              </w:rPr>
            </w:pPr>
          </w:p>
        </w:tc>
        <w:tc>
          <w:tcPr>
            <w:tcW w:w="6965" w:type="dxa"/>
          </w:tcPr>
          <w:p w:rsidR="00E57F9C" w:rsidRPr="00EE003F" w:rsidRDefault="00C36D1A" w:rsidP="00306B14">
            <w:pPr>
              <w:pStyle w:val="BasicParagraph"/>
              <w:numPr>
                <w:ilvl w:val="0"/>
                <w:numId w:val="28"/>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Implementar una plataforma de información catastral única</w:t>
            </w:r>
          </w:p>
        </w:tc>
      </w:tr>
      <w:tr w:rsidR="006E3336" w:rsidRPr="00EE003F" w:rsidTr="00037691">
        <w:trPr>
          <w:trHeight w:val="60"/>
        </w:trPr>
        <w:tc>
          <w:tcPr>
            <w:tcW w:w="1507" w:type="dxa"/>
            <w:vMerge/>
          </w:tcPr>
          <w:p w:rsidR="005651A3" w:rsidRPr="00EE003F" w:rsidRDefault="005651A3" w:rsidP="00631573">
            <w:pPr>
              <w:pStyle w:val="NoParagraphStyle"/>
              <w:numPr>
                <w:ilvl w:val="0"/>
                <w:numId w:val="36"/>
              </w:numPr>
              <w:spacing w:line="240" w:lineRule="auto"/>
              <w:ind w:left="142" w:hanging="284"/>
              <w:textAlignment w:val="auto"/>
              <w:rPr>
                <w:rFonts w:ascii="Arial Narrow" w:hAnsi="Arial Narrow"/>
                <w:color w:val="auto"/>
                <w:sz w:val="20"/>
                <w:szCs w:val="20"/>
                <w:lang w:val="es-PE"/>
              </w:rPr>
            </w:pPr>
          </w:p>
        </w:tc>
        <w:tc>
          <w:tcPr>
            <w:tcW w:w="6965" w:type="dxa"/>
          </w:tcPr>
          <w:p w:rsidR="005651A3" w:rsidRPr="00EE003F" w:rsidRDefault="005651A3" w:rsidP="00FC64B0">
            <w:pPr>
              <w:pStyle w:val="BasicParagraph"/>
              <w:numPr>
                <w:ilvl w:val="0"/>
                <w:numId w:val="28"/>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Fomentar, desde los diversos niveles del gobierno, el desarrollo empresarial, particularmente, a la micro y pequeña empresa rural, a fin de que logren insertarse en las cadenas productivas.</w:t>
            </w:r>
          </w:p>
        </w:tc>
      </w:tr>
      <w:tr w:rsidR="006E3336" w:rsidRPr="00EE003F" w:rsidTr="00037691">
        <w:trPr>
          <w:trHeight w:val="60"/>
        </w:trPr>
        <w:tc>
          <w:tcPr>
            <w:tcW w:w="1507" w:type="dxa"/>
            <w:vMerge/>
          </w:tcPr>
          <w:p w:rsidR="005651A3" w:rsidRPr="00EE003F" w:rsidRDefault="005651A3" w:rsidP="00631573">
            <w:pPr>
              <w:pStyle w:val="NoParagraphStyle"/>
              <w:numPr>
                <w:ilvl w:val="0"/>
                <w:numId w:val="36"/>
              </w:numPr>
              <w:spacing w:line="240" w:lineRule="auto"/>
              <w:ind w:left="142" w:hanging="284"/>
              <w:textAlignment w:val="auto"/>
              <w:rPr>
                <w:rFonts w:ascii="Arial Narrow" w:hAnsi="Arial Narrow"/>
                <w:color w:val="auto"/>
                <w:sz w:val="20"/>
                <w:szCs w:val="20"/>
                <w:lang w:val="es-PE"/>
              </w:rPr>
            </w:pPr>
          </w:p>
        </w:tc>
        <w:tc>
          <w:tcPr>
            <w:tcW w:w="6965" w:type="dxa"/>
          </w:tcPr>
          <w:p w:rsidR="005651A3" w:rsidRPr="00EE003F" w:rsidRDefault="005651A3" w:rsidP="00FC64B0">
            <w:pPr>
              <w:pStyle w:val="BasicParagraph"/>
              <w:numPr>
                <w:ilvl w:val="0"/>
                <w:numId w:val="28"/>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Promover la asociatividad y la gerencia rural para su articulación a mercados regionales, nacionales y de exportación,  y el acceso al mercado de servicios para la innovación (impulso a las CITE que se relacionan con la producción rural). </w:t>
            </w:r>
          </w:p>
        </w:tc>
      </w:tr>
      <w:tr w:rsidR="006E3336" w:rsidRPr="00EE003F" w:rsidTr="00037691">
        <w:trPr>
          <w:trHeight w:val="60"/>
        </w:trPr>
        <w:tc>
          <w:tcPr>
            <w:tcW w:w="1507" w:type="dxa"/>
            <w:vMerge/>
          </w:tcPr>
          <w:p w:rsidR="005651A3" w:rsidRPr="00EE003F" w:rsidRDefault="005651A3" w:rsidP="00631573">
            <w:pPr>
              <w:pStyle w:val="NoParagraphStyle"/>
              <w:numPr>
                <w:ilvl w:val="0"/>
                <w:numId w:val="36"/>
              </w:numPr>
              <w:spacing w:line="240" w:lineRule="auto"/>
              <w:ind w:left="142" w:hanging="284"/>
              <w:textAlignment w:val="auto"/>
              <w:rPr>
                <w:rFonts w:ascii="Arial Narrow" w:hAnsi="Arial Narrow"/>
                <w:color w:val="auto"/>
                <w:sz w:val="20"/>
                <w:szCs w:val="20"/>
                <w:lang w:val="es-PE"/>
              </w:rPr>
            </w:pPr>
          </w:p>
        </w:tc>
        <w:tc>
          <w:tcPr>
            <w:tcW w:w="6965" w:type="dxa"/>
          </w:tcPr>
          <w:p w:rsidR="005651A3" w:rsidRPr="00EE003F" w:rsidRDefault="005651A3" w:rsidP="00FC64B0">
            <w:pPr>
              <w:pStyle w:val="BasicParagraph"/>
              <w:numPr>
                <w:ilvl w:val="0"/>
                <w:numId w:val="28"/>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la organización de los pequeños productores urbanos y rurales en torno a la producción y comercialización.</w:t>
            </w:r>
          </w:p>
        </w:tc>
      </w:tr>
      <w:tr w:rsidR="006E3336" w:rsidRPr="00EE003F" w:rsidTr="00037691">
        <w:trPr>
          <w:trHeight w:val="60"/>
        </w:trPr>
        <w:tc>
          <w:tcPr>
            <w:tcW w:w="1507" w:type="dxa"/>
            <w:vMerge/>
          </w:tcPr>
          <w:p w:rsidR="005651A3" w:rsidRPr="00EE003F" w:rsidRDefault="005651A3" w:rsidP="00631573">
            <w:pPr>
              <w:pStyle w:val="NoParagraphStyle"/>
              <w:numPr>
                <w:ilvl w:val="0"/>
                <w:numId w:val="36"/>
              </w:numPr>
              <w:spacing w:line="240" w:lineRule="auto"/>
              <w:ind w:left="142" w:hanging="284"/>
              <w:textAlignment w:val="auto"/>
              <w:rPr>
                <w:rFonts w:ascii="Arial Narrow" w:hAnsi="Arial Narrow"/>
                <w:color w:val="auto"/>
                <w:sz w:val="20"/>
                <w:szCs w:val="20"/>
                <w:lang w:val="es-PE"/>
              </w:rPr>
            </w:pPr>
          </w:p>
        </w:tc>
        <w:tc>
          <w:tcPr>
            <w:tcW w:w="6965" w:type="dxa"/>
          </w:tcPr>
          <w:p w:rsidR="005651A3" w:rsidRPr="00EE003F" w:rsidRDefault="005651A3" w:rsidP="00FC64B0">
            <w:pPr>
              <w:pStyle w:val="BasicParagraph"/>
              <w:numPr>
                <w:ilvl w:val="0"/>
                <w:numId w:val="28"/>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Priorizar el desarrollo sostenible de centros urbanos en función de su magnitud, ubicación geopolítica, condiciones de aislamiento o de pobreza de su población.</w:t>
            </w:r>
          </w:p>
        </w:tc>
      </w:tr>
      <w:tr w:rsidR="006E3336" w:rsidRPr="00EE003F" w:rsidTr="00037691">
        <w:trPr>
          <w:trHeight w:val="60"/>
        </w:trPr>
        <w:tc>
          <w:tcPr>
            <w:tcW w:w="1507" w:type="dxa"/>
            <w:vMerge w:val="restart"/>
          </w:tcPr>
          <w:p w:rsidR="006361E2" w:rsidRPr="00EE003F" w:rsidRDefault="005651A3" w:rsidP="00FC64B0">
            <w:pPr>
              <w:pStyle w:val="BasicParagraph"/>
              <w:numPr>
                <w:ilvl w:val="0"/>
                <w:numId w:val="36"/>
              </w:numPr>
              <w:suppressAutoHyphens/>
              <w:spacing w:before="113"/>
              <w:ind w:left="142" w:hanging="142"/>
              <w:rPr>
                <w:rFonts w:ascii="Arial Narrow" w:hAnsi="Arial Narrow"/>
                <w:color w:val="auto"/>
                <w:sz w:val="20"/>
                <w:szCs w:val="20"/>
              </w:rPr>
            </w:pPr>
            <w:r w:rsidRPr="00EE003F">
              <w:rPr>
                <w:rStyle w:val="negritatablas"/>
                <w:rFonts w:ascii="Arial Narrow" w:hAnsi="Arial Narrow"/>
                <w:color w:val="auto"/>
                <w:sz w:val="20"/>
                <w:szCs w:val="20"/>
              </w:rPr>
              <w:t>Asegurar la provisión de infraestructura productiva suficiente, adecuada y de una calidad que favorezca la integración, la competitividad y la productividad</w:t>
            </w:r>
          </w:p>
          <w:p w:rsidR="005651A3" w:rsidRPr="00EE003F" w:rsidRDefault="005651A3" w:rsidP="005B76FB">
            <w:pPr>
              <w:spacing w:after="200" w:line="276" w:lineRule="auto"/>
              <w:ind w:left="142" w:hanging="284"/>
              <w:jc w:val="center"/>
              <w:rPr>
                <w:rFonts w:ascii="Arial Narrow" w:hAnsi="Arial Narrow"/>
                <w:sz w:val="20"/>
                <w:szCs w:val="20"/>
              </w:rPr>
            </w:pPr>
          </w:p>
        </w:tc>
        <w:tc>
          <w:tcPr>
            <w:tcW w:w="6965" w:type="dxa"/>
          </w:tcPr>
          <w:p w:rsidR="005651A3" w:rsidRPr="00EE003F" w:rsidRDefault="005651A3" w:rsidP="00FC64B0">
            <w:pPr>
              <w:pStyle w:val="BasicParagraph"/>
              <w:numPr>
                <w:ilvl w:val="0"/>
                <w:numId w:val="29"/>
              </w:numPr>
              <w:tabs>
                <w:tab w:val="left" w:pos="283"/>
              </w:tabs>
              <w:suppressAutoHyphens/>
              <w:ind w:left="336"/>
              <w:jc w:val="both"/>
              <w:rPr>
                <w:rStyle w:val="cuerpodetextotablas"/>
                <w:rFonts w:ascii="Arial Narrow" w:hAnsi="Arial Narrow"/>
                <w:color w:val="auto"/>
                <w:sz w:val="20"/>
                <w:szCs w:val="20"/>
                <w:lang w:val="es-PE"/>
              </w:rPr>
            </w:pPr>
            <w:r w:rsidRPr="00EE003F">
              <w:rPr>
                <w:rStyle w:val="cuerpodetextotablas"/>
                <w:rFonts w:ascii="Arial Narrow" w:hAnsi="Arial Narrow"/>
                <w:color w:val="auto"/>
                <w:sz w:val="20"/>
                <w:szCs w:val="20"/>
              </w:rPr>
              <w:t xml:space="preserve">Promover la inversión pública y privada en los tres niveles del gobierno, sobre la base de planes con enfoque de desarrollo territorial integral, a fin de reducir la brecha de infraestructura en beneficio de </w:t>
            </w:r>
            <w:r w:rsidR="00E23E23" w:rsidRPr="00EE003F">
              <w:rPr>
                <w:rStyle w:val="cuerpodetextotablas"/>
                <w:rFonts w:ascii="Arial Narrow" w:hAnsi="Arial Narrow"/>
                <w:color w:val="auto"/>
                <w:sz w:val="20"/>
                <w:szCs w:val="20"/>
              </w:rPr>
              <w:t>la población</w:t>
            </w:r>
            <w:r w:rsidRPr="00EE003F">
              <w:rPr>
                <w:rStyle w:val="cuerpodetextotablas"/>
                <w:rFonts w:ascii="Arial Narrow" w:hAnsi="Arial Narrow"/>
                <w:color w:val="auto"/>
                <w:sz w:val="20"/>
                <w:szCs w:val="20"/>
              </w:rPr>
              <w:t xml:space="preserve">. </w:t>
            </w:r>
          </w:p>
        </w:tc>
      </w:tr>
      <w:tr w:rsidR="006E3336" w:rsidRPr="00EE003F" w:rsidTr="00037691">
        <w:trPr>
          <w:trHeight w:val="60"/>
        </w:trPr>
        <w:tc>
          <w:tcPr>
            <w:tcW w:w="1507" w:type="dxa"/>
            <w:vMerge/>
          </w:tcPr>
          <w:p w:rsidR="005651A3" w:rsidRPr="00EE003F" w:rsidRDefault="005651A3" w:rsidP="0096546A">
            <w:pPr>
              <w:pStyle w:val="NoParagraphStyle"/>
              <w:spacing w:line="240" w:lineRule="auto"/>
              <w:textAlignment w:val="auto"/>
              <w:rPr>
                <w:rFonts w:ascii="Arial Narrow" w:hAnsi="Arial Narrow"/>
                <w:color w:val="auto"/>
                <w:sz w:val="20"/>
                <w:szCs w:val="20"/>
                <w:lang w:val="es-PE"/>
              </w:rPr>
            </w:pPr>
          </w:p>
        </w:tc>
        <w:tc>
          <w:tcPr>
            <w:tcW w:w="6965" w:type="dxa"/>
          </w:tcPr>
          <w:p w:rsidR="005651A3" w:rsidRPr="00EE003F" w:rsidRDefault="005651A3" w:rsidP="00FC64B0">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Orientar la inversión pública de los gobiernos regionales a la construcción de infraestructura de soporte, complementaria a la inversión privada destinada a actividades productivas que incrementan y diversifican las exportaciones y que fortalecen el mercado interno.</w:t>
            </w:r>
          </w:p>
        </w:tc>
      </w:tr>
      <w:tr w:rsidR="006E3336" w:rsidRPr="00EE003F" w:rsidTr="00037691">
        <w:trPr>
          <w:trHeight w:val="60"/>
        </w:trPr>
        <w:tc>
          <w:tcPr>
            <w:tcW w:w="1507" w:type="dxa"/>
            <w:vMerge/>
          </w:tcPr>
          <w:p w:rsidR="005651A3" w:rsidRPr="00EE003F" w:rsidRDefault="005651A3" w:rsidP="0096546A">
            <w:pPr>
              <w:pStyle w:val="NoParagraphStyle"/>
              <w:spacing w:line="240" w:lineRule="auto"/>
              <w:textAlignment w:val="auto"/>
              <w:rPr>
                <w:rFonts w:ascii="Arial Narrow" w:hAnsi="Arial Narrow"/>
                <w:color w:val="auto"/>
                <w:sz w:val="20"/>
                <w:szCs w:val="20"/>
                <w:lang w:val="es-PE"/>
              </w:rPr>
            </w:pPr>
          </w:p>
        </w:tc>
        <w:tc>
          <w:tcPr>
            <w:tcW w:w="6965" w:type="dxa"/>
          </w:tcPr>
          <w:p w:rsidR="005651A3" w:rsidRPr="00EE003F" w:rsidRDefault="005651A3" w:rsidP="00FC64B0">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Desarrollar</w:t>
            </w:r>
            <w:r w:rsidR="008A4BD6" w:rsidRPr="00EE003F">
              <w:rPr>
                <w:rStyle w:val="cuerpodetextotablas"/>
                <w:rFonts w:ascii="Arial Narrow" w:hAnsi="Arial Narrow"/>
                <w:color w:val="auto"/>
                <w:sz w:val="20"/>
                <w:szCs w:val="20"/>
              </w:rPr>
              <w:t xml:space="preserve"> y promover la inversión para el desarrollo de</w:t>
            </w:r>
            <w:r w:rsidRPr="00EE003F">
              <w:rPr>
                <w:rStyle w:val="cuerpodetextotablas"/>
                <w:rFonts w:ascii="Arial Narrow" w:hAnsi="Arial Narrow"/>
                <w:color w:val="auto"/>
                <w:sz w:val="20"/>
                <w:szCs w:val="20"/>
              </w:rPr>
              <w:t xml:space="preserve"> la infraestructura de transportes (carreteras, aeropuertos, puertos y ferrocarriles), con criterios de sostenibilidad y modernidad, que permita interconectar nuestro país internamente y que facilite el comercio y la inversión.</w:t>
            </w:r>
          </w:p>
        </w:tc>
      </w:tr>
      <w:tr w:rsidR="006E3336" w:rsidRPr="00EE003F" w:rsidTr="00037691">
        <w:trPr>
          <w:trHeight w:val="60"/>
        </w:trPr>
        <w:tc>
          <w:tcPr>
            <w:tcW w:w="1507" w:type="dxa"/>
            <w:vMerge/>
          </w:tcPr>
          <w:p w:rsidR="005651A3" w:rsidRPr="00EE003F" w:rsidRDefault="005651A3" w:rsidP="0096546A">
            <w:pPr>
              <w:pStyle w:val="NoParagraphStyle"/>
              <w:spacing w:line="240" w:lineRule="auto"/>
              <w:textAlignment w:val="auto"/>
              <w:rPr>
                <w:rFonts w:ascii="Arial Narrow" w:hAnsi="Arial Narrow"/>
                <w:color w:val="auto"/>
                <w:sz w:val="20"/>
                <w:szCs w:val="20"/>
                <w:lang w:val="es-PE"/>
              </w:rPr>
            </w:pPr>
          </w:p>
        </w:tc>
        <w:tc>
          <w:tcPr>
            <w:tcW w:w="6965" w:type="dxa"/>
          </w:tcPr>
          <w:p w:rsidR="005651A3" w:rsidRPr="00EE003F" w:rsidRDefault="005651A3" w:rsidP="00FC64B0">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Propiciar la complementariedad e integración de los proyectos de transportes y comunicaciones con otros proyectos de infraestructura económica y social.</w:t>
            </w:r>
          </w:p>
        </w:tc>
      </w:tr>
      <w:tr w:rsidR="00E57F9C" w:rsidRPr="00EE003F" w:rsidTr="00037691">
        <w:trPr>
          <w:trHeight w:val="60"/>
        </w:trPr>
        <w:tc>
          <w:tcPr>
            <w:tcW w:w="1507" w:type="dxa"/>
            <w:vMerge/>
          </w:tcPr>
          <w:p w:rsidR="00E57F9C" w:rsidRPr="00EE003F" w:rsidRDefault="00E57F9C" w:rsidP="0096546A">
            <w:pPr>
              <w:pStyle w:val="NoParagraphStyle"/>
              <w:spacing w:line="240" w:lineRule="auto"/>
              <w:textAlignment w:val="auto"/>
              <w:rPr>
                <w:rFonts w:ascii="Arial Narrow" w:hAnsi="Arial Narrow"/>
                <w:color w:val="auto"/>
                <w:sz w:val="20"/>
                <w:szCs w:val="20"/>
                <w:lang w:val="es-PE"/>
              </w:rPr>
            </w:pPr>
          </w:p>
        </w:tc>
        <w:tc>
          <w:tcPr>
            <w:tcW w:w="6965" w:type="dxa"/>
          </w:tcPr>
          <w:p w:rsidR="00E57F9C" w:rsidRPr="00EE003F" w:rsidRDefault="00E57F9C" w:rsidP="00E57F9C">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Disminuir el tiempo promedio de viaje (hora/100 km) en los corredores desde Lima a i) Abancay, ii) Pucallpa, iii) Tumbes y iv) Tacna</w:t>
            </w:r>
          </w:p>
        </w:tc>
      </w:tr>
      <w:tr w:rsidR="00E57F9C" w:rsidRPr="00EE003F" w:rsidTr="00037691">
        <w:trPr>
          <w:trHeight w:val="60"/>
        </w:trPr>
        <w:tc>
          <w:tcPr>
            <w:tcW w:w="1507" w:type="dxa"/>
            <w:vMerge/>
          </w:tcPr>
          <w:p w:rsidR="00E57F9C" w:rsidRPr="00EE003F" w:rsidRDefault="00E57F9C" w:rsidP="0096546A">
            <w:pPr>
              <w:pStyle w:val="NoParagraphStyle"/>
              <w:spacing w:line="240" w:lineRule="auto"/>
              <w:textAlignment w:val="auto"/>
              <w:rPr>
                <w:rFonts w:ascii="Arial Narrow" w:hAnsi="Arial Narrow"/>
                <w:color w:val="auto"/>
                <w:sz w:val="20"/>
                <w:szCs w:val="20"/>
                <w:lang w:val="es-PE"/>
              </w:rPr>
            </w:pPr>
          </w:p>
        </w:tc>
        <w:tc>
          <w:tcPr>
            <w:tcW w:w="6965" w:type="dxa"/>
          </w:tcPr>
          <w:p w:rsidR="00E57F9C" w:rsidRPr="00EE003F" w:rsidRDefault="00E57F9C" w:rsidP="00FC64B0">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lang w:val="es-PE"/>
              </w:rPr>
              <w:t xml:space="preserve">Incrementar el índice de conectividad de carga marítima. </w:t>
            </w:r>
          </w:p>
        </w:tc>
      </w:tr>
      <w:tr w:rsidR="00E57F9C" w:rsidRPr="00EE003F" w:rsidTr="00037691">
        <w:trPr>
          <w:trHeight w:val="60"/>
        </w:trPr>
        <w:tc>
          <w:tcPr>
            <w:tcW w:w="1507" w:type="dxa"/>
            <w:vMerge/>
          </w:tcPr>
          <w:p w:rsidR="00E57F9C" w:rsidRPr="00EE003F" w:rsidRDefault="00E57F9C" w:rsidP="0096546A">
            <w:pPr>
              <w:pStyle w:val="NoParagraphStyle"/>
              <w:spacing w:line="240" w:lineRule="auto"/>
              <w:textAlignment w:val="auto"/>
              <w:rPr>
                <w:rFonts w:ascii="Arial Narrow" w:hAnsi="Arial Narrow"/>
                <w:color w:val="auto"/>
                <w:sz w:val="20"/>
                <w:szCs w:val="20"/>
                <w:lang w:val="es-PE"/>
              </w:rPr>
            </w:pPr>
          </w:p>
        </w:tc>
        <w:tc>
          <w:tcPr>
            <w:tcW w:w="6965" w:type="dxa"/>
          </w:tcPr>
          <w:p w:rsidR="00E57F9C" w:rsidRPr="00EE003F" w:rsidRDefault="00E57F9C" w:rsidP="00E57F9C">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la formalización de los servicios de transportes y logística.</w:t>
            </w:r>
          </w:p>
        </w:tc>
      </w:tr>
      <w:tr w:rsidR="00E57F9C" w:rsidRPr="00EE003F" w:rsidTr="00037691">
        <w:trPr>
          <w:trHeight w:val="60"/>
        </w:trPr>
        <w:tc>
          <w:tcPr>
            <w:tcW w:w="1507" w:type="dxa"/>
            <w:vMerge/>
          </w:tcPr>
          <w:p w:rsidR="00E57F9C" w:rsidRPr="00EE003F" w:rsidRDefault="00E57F9C" w:rsidP="0096546A">
            <w:pPr>
              <w:pStyle w:val="NoParagraphStyle"/>
              <w:spacing w:line="240" w:lineRule="auto"/>
              <w:textAlignment w:val="auto"/>
              <w:rPr>
                <w:rFonts w:ascii="Arial Narrow" w:hAnsi="Arial Narrow"/>
                <w:color w:val="auto"/>
                <w:sz w:val="20"/>
                <w:szCs w:val="20"/>
                <w:lang w:val="es-PE"/>
              </w:rPr>
            </w:pPr>
          </w:p>
        </w:tc>
        <w:tc>
          <w:tcPr>
            <w:tcW w:w="6965" w:type="dxa"/>
          </w:tcPr>
          <w:p w:rsidR="00E57F9C" w:rsidRPr="00EE003F" w:rsidRDefault="00E57F9C" w:rsidP="00543E64">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lang w:val="es-PE"/>
              </w:rPr>
              <w:t>Extender el sistema de transporte inteligente en las principales carreteras.</w:t>
            </w:r>
          </w:p>
        </w:tc>
      </w:tr>
      <w:tr w:rsidR="006E3336" w:rsidRPr="00EE003F" w:rsidTr="00037691">
        <w:trPr>
          <w:trHeight w:val="60"/>
        </w:trPr>
        <w:tc>
          <w:tcPr>
            <w:tcW w:w="1507" w:type="dxa"/>
            <w:vMerge/>
          </w:tcPr>
          <w:p w:rsidR="005651A3" w:rsidRPr="00EE003F" w:rsidRDefault="005651A3" w:rsidP="0096546A">
            <w:pPr>
              <w:pStyle w:val="NoParagraphStyle"/>
              <w:spacing w:line="240" w:lineRule="auto"/>
              <w:textAlignment w:val="auto"/>
              <w:rPr>
                <w:rFonts w:ascii="Arial Narrow" w:hAnsi="Arial Narrow"/>
                <w:color w:val="auto"/>
                <w:sz w:val="20"/>
                <w:szCs w:val="20"/>
                <w:lang w:val="es-PE"/>
              </w:rPr>
            </w:pPr>
          </w:p>
        </w:tc>
        <w:tc>
          <w:tcPr>
            <w:tcW w:w="6965" w:type="dxa"/>
          </w:tcPr>
          <w:p w:rsidR="005651A3" w:rsidRPr="00EE003F" w:rsidRDefault="005651A3" w:rsidP="00FC64B0">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Desarrollar </w:t>
            </w:r>
            <w:r w:rsidR="008A4BD6" w:rsidRPr="00EE003F">
              <w:rPr>
                <w:rStyle w:val="cuerpodetextotablas"/>
                <w:rFonts w:ascii="Arial Narrow" w:hAnsi="Arial Narrow"/>
                <w:color w:val="auto"/>
                <w:sz w:val="20"/>
                <w:szCs w:val="20"/>
              </w:rPr>
              <w:t xml:space="preserve">y promover la inversión para el desarrollo de </w:t>
            </w:r>
            <w:r w:rsidRPr="00EE003F">
              <w:rPr>
                <w:rStyle w:val="cuerpodetextotablas"/>
                <w:rFonts w:ascii="Arial Narrow" w:hAnsi="Arial Narrow"/>
                <w:color w:val="auto"/>
                <w:sz w:val="20"/>
                <w:szCs w:val="20"/>
              </w:rPr>
              <w:t>infraestructura para facilitar la diversificación de la matriz energética que garantice el desarrollo sostenible del país.</w:t>
            </w:r>
          </w:p>
        </w:tc>
      </w:tr>
      <w:tr w:rsidR="006E3336" w:rsidRPr="00EE003F" w:rsidTr="00037691">
        <w:trPr>
          <w:trHeight w:val="60"/>
        </w:trPr>
        <w:tc>
          <w:tcPr>
            <w:tcW w:w="1507" w:type="dxa"/>
            <w:vMerge/>
          </w:tcPr>
          <w:p w:rsidR="005651A3" w:rsidRPr="00EE003F" w:rsidRDefault="005651A3" w:rsidP="0096546A">
            <w:pPr>
              <w:pStyle w:val="NoParagraphStyle"/>
              <w:spacing w:line="240" w:lineRule="auto"/>
              <w:textAlignment w:val="auto"/>
              <w:rPr>
                <w:rFonts w:ascii="Arial Narrow" w:hAnsi="Arial Narrow"/>
                <w:color w:val="auto"/>
                <w:sz w:val="20"/>
                <w:szCs w:val="20"/>
                <w:lang w:val="es-PE"/>
              </w:rPr>
            </w:pPr>
          </w:p>
        </w:tc>
        <w:tc>
          <w:tcPr>
            <w:tcW w:w="6965" w:type="dxa"/>
          </w:tcPr>
          <w:p w:rsidR="005651A3" w:rsidRPr="00EE003F" w:rsidRDefault="005651A3" w:rsidP="00306B14">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Desarrollar</w:t>
            </w:r>
            <w:r w:rsidR="006361E2" w:rsidRPr="00EE003F">
              <w:rPr>
                <w:rStyle w:val="cuerpodetextotablas"/>
                <w:rFonts w:ascii="Arial Narrow" w:hAnsi="Arial Narrow"/>
                <w:color w:val="auto"/>
                <w:sz w:val="20"/>
                <w:szCs w:val="20"/>
              </w:rPr>
              <w:t xml:space="preserve"> y promover la inversión para el desarrollo de</w:t>
            </w:r>
            <w:r w:rsidRPr="00EE003F">
              <w:rPr>
                <w:rStyle w:val="cuerpodetextotablas"/>
                <w:rFonts w:ascii="Arial Narrow" w:hAnsi="Arial Narrow"/>
                <w:color w:val="auto"/>
                <w:sz w:val="20"/>
                <w:szCs w:val="20"/>
              </w:rPr>
              <w:t xml:space="preserve"> la infraestructura de los sistemas de riego, con criterios de </w:t>
            </w:r>
            <w:r w:rsidR="008F262A" w:rsidRPr="00EE003F">
              <w:rPr>
                <w:rStyle w:val="cuerpodetextotablas"/>
                <w:rFonts w:ascii="Arial Narrow" w:hAnsi="Arial Narrow"/>
                <w:color w:val="auto"/>
                <w:sz w:val="20"/>
                <w:szCs w:val="20"/>
              </w:rPr>
              <w:t>sostenibilidad, productividad y competitividad</w:t>
            </w:r>
            <w:r w:rsidRPr="00EE003F">
              <w:rPr>
                <w:rStyle w:val="cuerpodetextotablas"/>
                <w:rFonts w:ascii="Arial Narrow" w:hAnsi="Arial Narrow"/>
                <w:color w:val="auto"/>
                <w:sz w:val="20"/>
                <w:szCs w:val="20"/>
              </w:rPr>
              <w:t>.</w:t>
            </w:r>
          </w:p>
        </w:tc>
      </w:tr>
      <w:tr w:rsidR="006E3336" w:rsidRPr="00EE003F" w:rsidTr="00037691">
        <w:trPr>
          <w:trHeight w:val="60"/>
        </w:trPr>
        <w:tc>
          <w:tcPr>
            <w:tcW w:w="1507" w:type="dxa"/>
            <w:vMerge/>
          </w:tcPr>
          <w:p w:rsidR="005651A3" w:rsidRPr="00EE003F" w:rsidRDefault="005651A3" w:rsidP="0096546A">
            <w:pPr>
              <w:pStyle w:val="NoParagraphStyle"/>
              <w:spacing w:line="240" w:lineRule="auto"/>
              <w:textAlignment w:val="auto"/>
              <w:rPr>
                <w:rFonts w:ascii="Arial Narrow" w:hAnsi="Arial Narrow"/>
                <w:color w:val="auto"/>
                <w:sz w:val="20"/>
                <w:szCs w:val="20"/>
                <w:lang w:val="es-PE"/>
              </w:rPr>
            </w:pPr>
          </w:p>
        </w:tc>
        <w:tc>
          <w:tcPr>
            <w:tcW w:w="6965" w:type="dxa"/>
          </w:tcPr>
          <w:p w:rsidR="005651A3" w:rsidRPr="00EE003F" w:rsidRDefault="005651A3" w:rsidP="002567CD">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Promover en </w:t>
            </w:r>
            <w:r w:rsidR="006361E2" w:rsidRPr="00EE003F">
              <w:rPr>
                <w:rStyle w:val="cuerpodetextotablas"/>
                <w:rFonts w:ascii="Arial Narrow" w:hAnsi="Arial Narrow"/>
                <w:color w:val="auto"/>
                <w:sz w:val="20"/>
                <w:szCs w:val="20"/>
              </w:rPr>
              <w:t xml:space="preserve">la inversión </w:t>
            </w:r>
            <w:r w:rsidRPr="00EE003F">
              <w:rPr>
                <w:rStyle w:val="cuerpodetextotablas"/>
                <w:rFonts w:ascii="Arial Narrow" w:hAnsi="Arial Narrow"/>
                <w:color w:val="auto"/>
                <w:sz w:val="20"/>
                <w:szCs w:val="20"/>
              </w:rPr>
              <w:t>nacional</w:t>
            </w:r>
            <w:r w:rsidR="006361E2" w:rsidRPr="00EE003F">
              <w:rPr>
                <w:rStyle w:val="cuerpodetextotablas"/>
                <w:rFonts w:ascii="Arial Narrow" w:hAnsi="Arial Narrow"/>
                <w:color w:val="auto"/>
                <w:sz w:val="20"/>
                <w:szCs w:val="20"/>
              </w:rPr>
              <w:t xml:space="preserve"> para</w:t>
            </w:r>
            <w:r w:rsidRPr="00EE003F">
              <w:rPr>
                <w:rStyle w:val="cuerpodetextotablas"/>
                <w:rFonts w:ascii="Arial Narrow" w:hAnsi="Arial Narrow"/>
                <w:color w:val="auto"/>
                <w:sz w:val="20"/>
                <w:szCs w:val="20"/>
              </w:rPr>
              <w:t xml:space="preserve"> el desarrollo de la infraestructura que permita el acceso a servicios de telecomunicaciones con estándares de calidad internacional, para favorecer la comunicación de la población y un mayor acceso a la información, y así mejorar la educación e incrementar la productividad.</w:t>
            </w:r>
          </w:p>
        </w:tc>
      </w:tr>
      <w:tr w:rsidR="006E3336" w:rsidRPr="00EE003F" w:rsidTr="00037691">
        <w:trPr>
          <w:trHeight w:val="60"/>
        </w:trPr>
        <w:tc>
          <w:tcPr>
            <w:tcW w:w="1507" w:type="dxa"/>
            <w:vMerge/>
          </w:tcPr>
          <w:p w:rsidR="005651A3" w:rsidRPr="00EE003F" w:rsidRDefault="005651A3" w:rsidP="0096546A">
            <w:pPr>
              <w:pStyle w:val="NoParagraphStyle"/>
              <w:spacing w:line="240" w:lineRule="auto"/>
              <w:textAlignment w:val="auto"/>
              <w:rPr>
                <w:rFonts w:ascii="Arial Narrow" w:hAnsi="Arial Narrow"/>
                <w:color w:val="auto"/>
                <w:sz w:val="20"/>
                <w:szCs w:val="20"/>
                <w:lang w:val="es-PE"/>
              </w:rPr>
            </w:pPr>
          </w:p>
        </w:tc>
        <w:tc>
          <w:tcPr>
            <w:tcW w:w="6965" w:type="dxa"/>
          </w:tcPr>
          <w:p w:rsidR="005651A3" w:rsidRPr="00EE003F" w:rsidRDefault="005651A3" w:rsidP="002567CD">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Desarrollar </w:t>
            </w:r>
            <w:r w:rsidR="006361E2" w:rsidRPr="00EE003F">
              <w:rPr>
                <w:rStyle w:val="cuerpodetextotablas"/>
                <w:rFonts w:ascii="Arial Narrow" w:hAnsi="Arial Narrow"/>
                <w:color w:val="auto"/>
                <w:sz w:val="20"/>
                <w:szCs w:val="20"/>
              </w:rPr>
              <w:t xml:space="preserve">y promover </w:t>
            </w:r>
            <w:r w:rsidRPr="00EE003F">
              <w:rPr>
                <w:rStyle w:val="cuerpodetextotablas"/>
                <w:rFonts w:ascii="Arial Narrow" w:hAnsi="Arial Narrow"/>
                <w:color w:val="auto"/>
                <w:sz w:val="20"/>
                <w:szCs w:val="20"/>
              </w:rPr>
              <w:t>mecanismos que viabilicen</w:t>
            </w:r>
            <w:r w:rsidR="006361E2" w:rsidRPr="00EE003F">
              <w:rPr>
                <w:rStyle w:val="cuerpodetextotablas"/>
                <w:rFonts w:ascii="Arial Narrow" w:hAnsi="Arial Narrow"/>
                <w:color w:val="auto"/>
                <w:sz w:val="20"/>
                <w:szCs w:val="20"/>
              </w:rPr>
              <w:t xml:space="preserve"> la ejecución de proyectos de inversión  o </w:t>
            </w:r>
            <w:r w:rsidRPr="00EE003F">
              <w:rPr>
                <w:rStyle w:val="cuerpodetextotablas"/>
                <w:rFonts w:ascii="Arial Narrow" w:hAnsi="Arial Narrow"/>
                <w:color w:val="auto"/>
                <w:sz w:val="20"/>
                <w:szCs w:val="20"/>
              </w:rPr>
              <w:t>de infraestructura</w:t>
            </w:r>
            <w:r w:rsidR="006361E2" w:rsidRPr="00EE003F">
              <w:rPr>
                <w:rStyle w:val="cuerpodetextotablas"/>
                <w:rFonts w:ascii="Arial Narrow" w:hAnsi="Arial Narrow"/>
                <w:color w:val="auto"/>
                <w:sz w:val="20"/>
                <w:szCs w:val="20"/>
              </w:rPr>
              <w:t xml:space="preserve"> y/o servicios p</w:t>
            </w:r>
            <w:r w:rsidR="00936D0C" w:rsidRPr="00EE003F">
              <w:rPr>
                <w:rStyle w:val="cuerpodetextotablas"/>
                <w:rFonts w:ascii="Arial Narrow" w:hAnsi="Arial Narrow"/>
                <w:color w:val="auto"/>
                <w:sz w:val="20"/>
                <w:szCs w:val="20"/>
              </w:rPr>
              <w:t>ú</w:t>
            </w:r>
            <w:r w:rsidR="006361E2" w:rsidRPr="00EE003F">
              <w:rPr>
                <w:rStyle w:val="cuerpodetextotablas"/>
                <w:rFonts w:ascii="Arial Narrow" w:hAnsi="Arial Narrow"/>
                <w:color w:val="auto"/>
                <w:sz w:val="20"/>
                <w:szCs w:val="20"/>
              </w:rPr>
              <w:t>blicos</w:t>
            </w:r>
          </w:p>
        </w:tc>
      </w:tr>
      <w:tr w:rsidR="006E3336" w:rsidRPr="00EE003F" w:rsidTr="00037691">
        <w:trPr>
          <w:trHeight w:val="60"/>
        </w:trPr>
        <w:tc>
          <w:tcPr>
            <w:tcW w:w="1507" w:type="dxa"/>
            <w:vMerge/>
          </w:tcPr>
          <w:p w:rsidR="005651A3" w:rsidRPr="00EE003F" w:rsidRDefault="005651A3" w:rsidP="0096546A">
            <w:pPr>
              <w:pStyle w:val="NoParagraphStyle"/>
              <w:spacing w:line="240" w:lineRule="auto"/>
              <w:textAlignment w:val="auto"/>
              <w:rPr>
                <w:rFonts w:ascii="Arial Narrow" w:hAnsi="Arial Narrow"/>
                <w:color w:val="auto"/>
                <w:sz w:val="20"/>
                <w:szCs w:val="20"/>
                <w:lang w:val="es-PE"/>
              </w:rPr>
            </w:pPr>
          </w:p>
        </w:tc>
        <w:tc>
          <w:tcPr>
            <w:tcW w:w="6965" w:type="dxa"/>
          </w:tcPr>
          <w:p w:rsidR="005651A3" w:rsidRPr="00EE003F" w:rsidRDefault="005651A3" w:rsidP="002567CD">
            <w:pPr>
              <w:pStyle w:val="BasicParagraph"/>
              <w:numPr>
                <w:ilvl w:val="0"/>
                <w:numId w:val="29"/>
              </w:numPr>
              <w:tabs>
                <w:tab w:val="left" w:pos="283"/>
              </w:tabs>
              <w:suppressAutoHyphens/>
              <w:ind w:left="336"/>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el fortalecimiento de capacidades de los funcionarios regionales o locales para elaborar los estudios técnicos que requieren los proyectos de inversión, su ejecución y posterior supervisión.</w:t>
            </w:r>
          </w:p>
        </w:tc>
      </w:tr>
    </w:tbl>
    <w:p w:rsidR="005651A3" w:rsidRPr="00EE003F" w:rsidRDefault="005651A3" w:rsidP="005651A3">
      <w:pPr>
        <w:suppressAutoHyphens/>
        <w:autoSpaceDE w:val="0"/>
        <w:autoSpaceDN w:val="0"/>
        <w:adjustRightInd w:val="0"/>
        <w:spacing w:before="113" w:after="0" w:line="288" w:lineRule="auto"/>
        <w:jc w:val="both"/>
        <w:textAlignment w:val="center"/>
        <w:rPr>
          <w:rFonts w:ascii="Arial Narrow" w:hAnsi="Arial Narrow" w:cs="Frutiger LT Std 45 Light"/>
          <w:sz w:val="20"/>
          <w:szCs w:val="20"/>
          <w:lang w:val="es-ES_tradnl"/>
        </w:rPr>
      </w:pPr>
    </w:p>
    <w:p w:rsidR="002B54B5" w:rsidRPr="00EE003F" w:rsidRDefault="002B54B5">
      <w:pPr>
        <w:rPr>
          <w:rFonts w:ascii="Arial Narrow" w:hAnsi="Arial Narrow" w:cs="RotisSemiSans"/>
          <w:sz w:val="40"/>
          <w:szCs w:val="40"/>
          <w:lang w:val="es-ES_tradnl"/>
        </w:rPr>
      </w:pPr>
      <w:r w:rsidRPr="00EE003F">
        <w:rPr>
          <w:rFonts w:ascii="Arial Narrow" w:hAnsi="Arial Narrow" w:cs="RotisSemiSans"/>
          <w:sz w:val="40"/>
          <w:szCs w:val="40"/>
          <w:lang w:val="es-ES_tradnl"/>
        </w:rPr>
        <w:br w:type="page"/>
      </w:r>
    </w:p>
    <w:p w:rsidR="005651A3" w:rsidRPr="00EE003F" w:rsidRDefault="005651A3" w:rsidP="005651A3">
      <w:pPr>
        <w:suppressAutoHyphens/>
        <w:autoSpaceDE w:val="0"/>
        <w:autoSpaceDN w:val="0"/>
        <w:adjustRightInd w:val="0"/>
        <w:spacing w:before="567" w:after="113" w:line="288" w:lineRule="auto"/>
        <w:ind w:left="397" w:hanging="397"/>
        <w:textAlignment w:val="center"/>
        <w:rPr>
          <w:rFonts w:ascii="Arial Narrow" w:hAnsi="Arial Narrow" w:cs="RotisSemiSans"/>
          <w:sz w:val="40"/>
          <w:szCs w:val="40"/>
          <w:lang w:val="es-ES_tradnl"/>
        </w:rPr>
      </w:pPr>
      <w:r w:rsidRPr="00EE003F">
        <w:rPr>
          <w:rFonts w:ascii="Arial Narrow" w:hAnsi="Arial Narrow" w:cs="RotisSemiSans"/>
          <w:sz w:val="40"/>
          <w:szCs w:val="40"/>
          <w:lang w:val="es-ES_tradnl"/>
        </w:rPr>
        <w:t>Indicadores y metas</w:t>
      </w:r>
    </w:p>
    <w:tbl>
      <w:tblPr>
        <w:tblStyle w:val="Tablaconcuadrcula"/>
        <w:tblW w:w="0" w:type="auto"/>
        <w:tblLayout w:type="fixed"/>
        <w:tblLook w:val="0000" w:firstRow="0" w:lastRow="0" w:firstColumn="0" w:lastColumn="0" w:noHBand="0" w:noVBand="0"/>
      </w:tblPr>
      <w:tblGrid>
        <w:gridCol w:w="444"/>
        <w:gridCol w:w="1462"/>
        <w:gridCol w:w="470"/>
        <w:gridCol w:w="1507"/>
        <w:gridCol w:w="1202"/>
        <w:gridCol w:w="827"/>
        <w:gridCol w:w="862"/>
        <w:gridCol w:w="936"/>
      </w:tblGrid>
      <w:tr w:rsidR="006E3336" w:rsidRPr="00EE003F" w:rsidTr="008E79F1">
        <w:trPr>
          <w:trHeight w:val="888"/>
        </w:trPr>
        <w:tc>
          <w:tcPr>
            <w:tcW w:w="7710" w:type="dxa"/>
            <w:gridSpan w:val="8"/>
          </w:tcPr>
          <w:p w:rsidR="005651A3" w:rsidRPr="00EE003F" w:rsidRDefault="005651A3" w:rsidP="0096546A">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EJE 5: DESARROLLO TERRITORIAL E INFRAESTRUCTURA PRODUCTIVA</w:t>
            </w:r>
          </w:p>
          <w:p w:rsidR="005651A3" w:rsidRPr="00EE003F" w:rsidRDefault="005651A3" w:rsidP="0096546A">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 xml:space="preserve">OBJETIVO NACIONAL: </w:t>
            </w:r>
          </w:p>
          <w:p w:rsidR="005651A3" w:rsidRPr="00EE003F" w:rsidRDefault="005651A3" w:rsidP="0096546A">
            <w:pPr>
              <w:pStyle w:val="BasicParagraph"/>
              <w:suppressAutoHyphens/>
              <w:ind w:left="170"/>
              <w:rPr>
                <w:rFonts w:ascii="Arial Narrow" w:hAnsi="Arial Narrow"/>
                <w:color w:val="auto"/>
              </w:rPr>
            </w:pPr>
            <w:r w:rsidRPr="00EE003F">
              <w:rPr>
                <w:rStyle w:val="negritatablas"/>
                <w:rFonts w:ascii="Arial Narrow" w:hAnsi="Arial Narrow"/>
                <w:color w:val="auto"/>
              </w:rPr>
              <w:t>“Territorio cohesionado y organizado en ciudades sostenibles con provisión asegurada de infraestructura de calidad.”</w:t>
            </w:r>
          </w:p>
        </w:tc>
      </w:tr>
      <w:tr w:rsidR="006E3336" w:rsidRPr="00EE003F" w:rsidTr="0096546A">
        <w:trPr>
          <w:trHeight w:val="60"/>
        </w:trPr>
        <w:tc>
          <w:tcPr>
            <w:tcW w:w="3883" w:type="dxa"/>
            <w:gridSpan w:val="4"/>
          </w:tcPr>
          <w:p w:rsidR="005651A3" w:rsidRPr="00EE003F" w:rsidRDefault="005651A3" w:rsidP="0096546A">
            <w:pPr>
              <w:pStyle w:val="BasicParagraph"/>
              <w:suppressAutoHyphens/>
              <w:rPr>
                <w:rFonts w:ascii="Arial Narrow" w:hAnsi="Arial Narrow"/>
                <w:color w:val="auto"/>
              </w:rPr>
            </w:pPr>
            <w:r w:rsidRPr="00EE003F">
              <w:rPr>
                <w:rStyle w:val="negritatablas"/>
                <w:rFonts w:ascii="Arial Narrow" w:hAnsi="Arial Narrow"/>
                <w:color w:val="auto"/>
              </w:rPr>
              <w:t>Indicador líder</w:t>
            </w:r>
          </w:p>
        </w:tc>
        <w:tc>
          <w:tcPr>
            <w:tcW w:w="1202" w:type="dxa"/>
          </w:tcPr>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827" w:type="dxa"/>
          </w:tcPr>
          <w:p w:rsidR="005651A3" w:rsidRPr="00EE003F" w:rsidRDefault="005651A3" w:rsidP="0096546A">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w:t>
            </w:r>
          </w:p>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(2014)</w:t>
            </w:r>
          </w:p>
        </w:tc>
        <w:tc>
          <w:tcPr>
            <w:tcW w:w="862" w:type="dxa"/>
          </w:tcPr>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936" w:type="dxa"/>
          </w:tcPr>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96546A">
        <w:trPr>
          <w:trHeight w:val="60"/>
        </w:trPr>
        <w:tc>
          <w:tcPr>
            <w:tcW w:w="3883" w:type="dxa"/>
            <w:gridSpan w:val="4"/>
          </w:tcPr>
          <w:p w:rsidR="005651A3" w:rsidRPr="00EE003F" w:rsidRDefault="005651A3"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Porcentaje de la participación  del VAB departamental (exceptuando Lima) sobre el VAB total.</w:t>
            </w:r>
          </w:p>
        </w:tc>
        <w:tc>
          <w:tcPr>
            <w:tcW w:w="1202"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INEI</w:t>
            </w:r>
          </w:p>
        </w:tc>
        <w:tc>
          <w:tcPr>
            <w:tcW w:w="827"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50,84</w:t>
            </w:r>
          </w:p>
        </w:tc>
        <w:tc>
          <w:tcPr>
            <w:tcW w:w="862"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50,71</w:t>
            </w:r>
          </w:p>
        </w:tc>
        <w:tc>
          <w:tcPr>
            <w:tcW w:w="936"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51,30</w:t>
            </w:r>
          </w:p>
        </w:tc>
      </w:tr>
      <w:tr w:rsidR="006E3336" w:rsidRPr="00EE003F" w:rsidTr="0096546A">
        <w:trPr>
          <w:trHeight w:val="60"/>
        </w:trPr>
        <w:tc>
          <w:tcPr>
            <w:tcW w:w="1906" w:type="dxa"/>
            <w:gridSpan w:val="2"/>
            <w:vMerge w:val="restart"/>
          </w:tcPr>
          <w:p w:rsidR="005651A3" w:rsidRPr="00EE003F" w:rsidRDefault="005651A3" w:rsidP="0096546A">
            <w:pPr>
              <w:pStyle w:val="BasicParagraph"/>
              <w:suppressAutoHyphens/>
              <w:rPr>
                <w:rFonts w:ascii="Arial Narrow" w:hAnsi="Arial Narrow"/>
                <w:color w:val="auto"/>
              </w:rPr>
            </w:pPr>
            <w:r w:rsidRPr="00EE003F">
              <w:rPr>
                <w:rStyle w:val="negritatablas"/>
                <w:rFonts w:ascii="Arial Narrow" w:hAnsi="Arial Narrow"/>
                <w:color w:val="auto"/>
              </w:rPr>
              <w:t>Objetivos Específicos</w:t>
            </w:r>
          </w:p>
        </w:tc>
        <w:tc>
          <w:tcPr>
            <w:tcW w:w="5804" w:type="dxa"/>
            <w:gridSpan w:val="6"/>
          </w:tcPr>
          <w:p w:rsidR="005651A3" w:rsidRPr="00EE003F" w:rsidRDefault="005651A3" w:rsidP="0096546A">
            <w:pPr>
              <w:pStyle w:val="BasicParagraph"/>
              <w:suppressAutoHyphens/>
              <w:rPr>
                <w:rFonts w:ascii="Arial Narrow" w:hAnsi="Arial Narrow"/>
                <w:color w:val="auto"/>
              </w:rPr>
            </w:pPr>
            <w:r w:rsidRPr="00EE003F">
              <w:rPr>
                <w:rStyle w:val="negritatablas"/>
                <w:rFonts w:ascii="Arial Narrow" w:hAnsi="Arial Narrow"/>
                <w:color w:val="auto"/>
              </w:rPr>
              <w:t>Indicadores y metas</w:t>
            </w:r>
          </w:p>
        </w:tc>
      </w:tr>
      <w:tr w:rsidR="006E3336" w:rsidRPr="00EE003F" w:rsidTr="00631573">
        <w:trPr>
          <w:trHeight w:val="60"/>
        </w:trPr>
        <w:tc>
          <w:tcPr>
            <w:tcW w:w="1906" w:type="dxa"/>
            <w:gridSpan w:val="2"/>
            <w:vMerge/>
          </w:tcPr>
          <w:p w:rsidR="005651A3" w:rsidRPr="00EE003F" w:rsidRDefault="005651A3" w:rsidP="0096546A">
            <w:pPr>
              <w:pStyle w:val="NoParagraphStyle"/>
              <w:spacing w:line="240" w:lineRule="auto"/>
              <w:textAlignment w:val="auto"/>
              <w:rPr>
                <w:rFonts w:ascii="Arial Narrow" w:hAnsi="Arial Narrow"/>
                <w:color w:val="auto"/>
                <w:lang w:val="es-PE"/>
              </w:rPr>
            </w:pPr>
          </w:p>
        </w:tc>
        <w:tc>
          <w:tcPr>
            <w:tcW w:w="470" w:type="dxa"/>
          </w:tcPr>
          <w:p w:rsidR="005651A3" w:rsidRPr="00EE003F" w:rsidRDefault="005651A3" w:rsidP="0096546A">
            <w:pPr>
              <w:pStyle w:val="BasicParagraph"/>
              <w:suppressAutoHyphens/>
              <w:rPr>
                <w:rFonts w:ascii="Arial Narrow" w:hAnsi="Arial Narrow"/>
                <w:color w:val="auto"/>
              </w:rPr>
            </w:pPr>
            <w:r w:rsidRPr="00EE003F">
              <w:rPr>
                <w:rStyle w:val="negritatablas"/>
                <w:rFonts w:ascii="Arial Narrow" w:hAnsi="Arial Narrow"/>
                <w:color w:val="auto"/>
              </w:rPr>
              <w:t>N.°</w:t>
            </w:r>
          </w:p>
        </w:tc>
        <w:tc>
          <w:tcPr>
            <w:tcW w:w="1507" w:type="dxa"/>
          </w:tcPr>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Indicadores</w:t>
            </w:r>
          </w:p>
        </w:tc>
        <w:tc>
          <w:tcPr>
            <w:tcW w:w="1202" w:type="dxa"/>
          </w:tcPr>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827" w:type="dxa"/>
          </w:tcPr>
          <w:p w:rsidR="005651A3" w:rsidRPr="00EE003F" w:rsidRDefault="005651A3" w:rsidP="0096546A">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w:t>
            </w:r>
          </w:p>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(2012)</w:t>
            </w:r>
          </w:p>
        </w:tc>
        <w:tc>
          <w:tcPr>
            <w:tcW w:w="862" w:type="dxa"/>
          </w:tcPr>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936" w:type="dxa"/>
          </w:tcPr>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631573">
        <w:trPr>
          <w:trHeight w:val="1853"/>
        </w:trPr>
        <w:tc>
          <w:tcPr>
            <w:tcW w:w="444" w:type="dxa"/>
          </w:tcPr>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1</w:t>
            </w:r>
          </w:p>
        </w:tc>
        <w:tc>
          <w:tcPr>
            <w:tcW w:w="1462" w:type="dxa"/>
          </w:tcPr>
          <w:p w:rsidR="005651A3" w:rsidRPr="00EE003F" w:rsidRDefault="005651A3"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Desarrollar el territorio con mayor cohesión en lo físico, económico, social e institucional en distintos niveles (nacional, regional y local)</w:t>
            </w:r>
          </w:p>
        </w:tc>
        <w:tc>
          <w:tcPr>
            <w:tcW w:w="470"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1</w:t>
            </w:r>
          </w:p>
        </w:tc>
        <w:tc>
          <w:tcPr>
            <w:tcW w:w="1507" w:type="dxa"/>
          </w:tcPr>
          <w:p w:rsidR="005651A3" w:rsidRPr="00EE003F" w:rsidRDefault="005651A3"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 xml:space="preserve">Índice de Densidad </w:t>
            </w:r>
            <w:r w:rsidRPr="00EE003F">
              <w:rPr>
                <w:rStyle w:val="cuerpodetextotablas"/>
                <w:rFonts w:ascii="Arial Narrow" w:hAnsi="Arial Narrow"/>
                <w:color w:val="auto"/>
              </w:rPr>
              <w:br/>
              <w:t>del Estado</w:t>
            </w:r>
          </w:p>
        </w:tc>
        <w:tc>
          <w:tcPr>
            <w:tcW w:w="1202"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PNUD</w:t>
            </w:r>
          </w:p>
        </w:tc>
        <w:tc>
          <w:tcPr>
            <w:tcW w:w="827"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0,77</w:t>
            </w:r>
          </w:p>
        </w:tc>
        <w:tc>
          <w:tcPr>
            <w:tcW w:w="862"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0,78</w:t>
            </w:r>
          </w:p>
        </w:tc>
        <w:tc>
          <w:tcPr>
            <w:tcW w:w="936"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0,80</w:t>
            </w:r>
          </w:p>
        </w:tc>
      </w:tr>
      <w:tr w:rsidR="006E3336" w:rsidRPr="00EE003F" w:rsidTr="00631573">
        <w:trPr>
          <w:trHeight w:val="1060"/>
        </w:trPr>
        <w:tc>
          <w:tcPr>
            <w:tcW w:w="444" w:type="dxa"/>
          </w:tcPr>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2</w:t>
            </w:r>
          </w:p>
        </w:tc>
        <w:tc>
          <w:tcPr>
            <w:tcW w:w="1462" w:type="dxa"/>
          </w:tcPr>
          <w:p w:rsidR="005651A3" w:rsidRPr="00EE003F" w:rsidRDefault="005651A3"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Desarrollar una red de ciudades sostenibles para el desarrollo territorial</w:t>
            </w:r>
          </w:p>
        </w:tc>
        <w:tc>
          <w:tcPr>
            <w:tcW w:w="470"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2</w:t>
            </w:r>
          </w:p>
        </w:tc>
        <w:tc>
          <w:tcPr>
            <w:tcW w:w="1507" w:type="dxa"/>
          </w:tcPr>
          <w:p w:rsidR="005651A3" w:rsidRPr="00EE003F" w:rsidRDefault="005651A3"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Ratio del salario rural por hora sobre el salario urbano por hora</w:t>
            </w:r>
          </w:p>
        </w:tc>
        <w:tc>
          <w:tcPr>
            <w:tcW w:w="1202"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SEDLAC</w:t>
            </w:r>
          </w:p>
        </w:tc>
        <w:tc>
          <w:tcPr>
            <w:tcW w:w="827"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63,11</w:t>
            </w:r>
          </w:p>
        </w:tc>
        <w:tc>
          <w:tcPr>
            <w:tcW w:w="862"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72,90</w:t>
            </w:r>
          </w:p>
        </w:tc>
        <w:tc>
          <w:tcPr>
            <w:tcW w:w="936"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83,70</w:t>
            </w:r>
          </w:p>
        </w:tc>
      </w:tr>
      <w:tr w:rsidR="006E3336" w:rsidRPr="00EE003F" w:rsidTr="00631573">
        <w:trPr>
          <w:trHeight w:val="2376"/>
        </w:trPr>
        <w:tc>
          <w:tcPr>
            <w:tcW w:w="444" w:type="dxa"/>
          </w:tcPr>
          <w:p w:rsidR="005651A3" w:rsidRPr="00EE003F" w:rsidRDefault="005651A3"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3</w:t>
            </w:r>
          </w:p>
        </w:tc>
        <w:tc>
          <w:tcPr>
            <w:tcW w:w="1462" w:type="dxa"/>
          </w:tcPr>
          <w:p w:rsidR="005651A3" w:rsidRPr="00EE003F" w:rsidRDefault="005651A3"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Asegurar la provisión de infraestructura productiva suficiente, adecuada y de una calidad que favorezca la integración, la competitividad y la productividad</w:t>
            </w:r>
          </w:p>
        </w:tc>
        <w:tc>
          <w:tcPr>
            <w:tcW w:w="470"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3</w:t>
            </w:r>
          </w:p>
        </w:tc>
        <w:tc>
          <w:tcPr>
            <w:tcW w:w="1507" w:type="dxa"/>
          </w:tcPr>
          <w:p w:rsidR="005651A3" w:rsidRPr="00EE003F" w:rsidRDefault="005651A3"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Índice de Calidad de Infraestructura Total</w:t>
            </w:r>
          </w:p>
        </w:tc>
        <w:tc>
          <w:tcPr>
            <w:tcW w:w="1202" w:type="dxa"/>
          </w:tcPr>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WEF</w:t>
            </w:r>
          </w:p>
        </w:tc>
        <w:tc>
          <w:tcPr>
            <w:tcW w:w="827" w:type="dxa"/>
          </w:tcPr>
          <w:p w:rsidR="005651A3" w:rsidRPr="00EE003F" w:rsidRDefault="005651A3"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3,15</w:t>
            </w:r>
          </w:p>
          <w:p w:rsidR="005651A3" w:rsidRPr="00EE003F" w:rsidRDefault="005651A3"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(201</w:t>
            </w:r>
            <w:r w:rsidR="008E79F1" w:rsidRPr="00EE003F">
              <w:rPr>
                <w:rStyle w:val="cuerpodetextotablas"/>
                <w:rFonts w:ascii="Arial Narrow" w:hAnsi="Arial Narrow"/>
                <w:color w:val="auto"/>
              </w:rPr>
              <w:t>5</w:t>
            </w:r>
            <w:r w:rsidRPr="00EE003F">
              <w:rPr>
                <w:rStyle w:val="cuerpodetextotablas"/>
                <w:rFonts w:ascii="Arial Narrow" w:hAnsi="Arial Narrow"/>
                <w:color w:val="auto"/>
              </w:rPr>
              <w:t>)</w:t>
            </w:r>
          </w:p>
        </w:tc>
        <w:tc>
          <w:tcPr>
            <w:tcW w:w="862" w:type="dxa"/>
          </w:tcPr>
          <w:p w:rsidR="005651A3" w:rsidRPr="00EE003F" w:rsidRDefault="00572B5B">
            <w:pPr>
              <w:pStyle w:val="BasicParagraph"/>
              <w:suppressAutoHyphens/>
              <w:jc w:val="center"/>
              <w:rPr>
                <w:rFonts w:ascii="Arial Narrow" w:hAnsi="Arial Narrow"/>
                <w:color w:val="auto"/>
              </w:rPr>
            </w:pPr>
            <w:r w:rsidRPr="00EE003F">
              <w:rPr>
                <w:rStyle w:val="cuerpodetextotablas"/>
                <w:rFonts w:ascii="Arial Narrow" w:hAnsi="Arial Narrow"/>
                <w:color w:val="auto"/>
              </w:rPr>
              <w:t>3</w:t>
            </w:r>
            <w:r w:rsidR="005651A3" w:rsidRPr="00EE003F">
              <w:rPr>
                <w:rStyle w:val="cuerpodetextotablas"/>
                <w:rFonts w:ascii="Arial Narrow" w:hAnsi="Arial Narrow"/>
                <w:color w:val="auto"/>
              </w:rPr>
              <w:t>,</w:t>
            </w:r>
            <w:r w:rsidRPr="00EE003F">
              <w:rPr>
                <w:rStyle w:val="cuerpodetextotablas"/>
                <w:rFonts w:ascii="Arial Narrow" w:hAnsi="Arial Narrow"/>
                <w:color w:val="auto"/>
              </w:rPr>
              <w:t>30</w:t>
            </w:r>
          </w:p>
        </w:tc>
        <w:tc>
          <w:tcPr>
            <w:tcW w:w="936" w:type="dxa"/>
          </w:tcPr>
          <w:p w:rsidR="005651A3" w:rsidRPr="00EE003F" w:rsidRDefault="005651A3">
            <w:pPr>
              <w:pStyle w:val="BasicParagraph"/>
              <w:suppressAutoHyphens/>
              <w:jc w:val="center"/>
              <w:rPr>
                <w:rFonts w:ascii="Arial Narrow" w:hAnsi="Arial Narrow"/>
                <w:color w:val="auto"/>
              </w:rPr>
            </w:pPr>
            <w:r w:rsidRPr="00EE003F">
              <w:rPr>
                <w:rStyle w:val="cuerpodetextotablas"/>
                <w:rFonts w:ascii="Arial Narrow" w:hAnsi="Arial Narrow"/>
                <w:color w:val="auto"/>
              </w:rPr>
              <w:t>4,</w:t>
            </w:r>
            <w:r w:rsidR="00572B5B" w:rsidRPr="00EE003F">
              <w:rPr>
                <w:rStyle w:val="cuerpodetextotablas"/>
                <w:rFonts w:ascii="Arial Narrow" w:hAnsi="Arial Narrow"/>
                <w:color w:val="auto"/>
              </w:rPr>
              <w:t>12</w:t>
            </w:r>
          </w:p>
        </w:tc>
      </w:tr>
    </w:tbl>
    <w:p w:rsidR="005651A3" w:rsidRPr="00EE003F" w:rsidRDefault="005651A3" w:rsidP="001A4E17">
      <w:pPr>
        <w:rPr>
          <w:rFonts w:ascii="Arial Narrow" w:hAnsi="Arial Narrow" w:cs="Frutiger LT Std 45 Light"/>
          <w:sz w:val="20"/>
          <w:szCs w:val="20"/>
          <w:lang w:val="es-ES_tradnl"/>
        </w:rPr>
      </w:pPr>
    </w:p>
    <w:p w:rsidR="003F54AD" w:rsidRPr="00EE003F" w:rsidRDefault="003F54AD" w:rsidP="001A4E17">
      <w:pPr>
        <w:rPr>
          <w:rFonts w:ascii="Arial Narrow" w:hAnsi="Arial Narrow"/>
        </w:rPr>
      </w:pPr>
    </w:p>
    <w:p w:rsidR="003F54AD" w:rsidRPr="00EE003F" w:rsidRDefault="003F54AD" w:rsidP="001A4E17">
      <w:pPr>
        <w:rPr>
          <w:rFonts w:ascii="Arial Narrow" w:hAnsi="Arial Narrow"/>
        </w:rPr>
      </w:pPr>
    </w:p>
    <w:p w:rsidR="003F54AD" w:rsidRPr="00EE003F" w:rsidRDefault="003F54AD" w:rsidP="001A4E17">
      <w:pPr>
        <w:rPr>
          <w:rFonts w:ascii="Arial Narrow" w:hAnsi="Arial Narrow"/>
        </w:rPr>
      </w:pPr>
    </w:p>
    <w:p w:rsidR="002B54B5" w:rsidRPr="00EE003F" w:rsidRDefault="002B54B5">
      <w:pPr>
        <w:rPr>
          <w:rFonts w:ascii="Arial Narrow" w:hAnsi="Arial Narrow"/>
        </w:rPr>
      </w:pPr>
      <w:r w:rsidRPr="00EE003F">
        <w:rPr>
          <w:rFonts w:ascii="Arial Narrow" w:hAnsi="Arial Narrow"/>
        </w:rPr>
        <w:br w:type="page"/>
      </w:r>
    </w:p>
    <w:p w:rsidR="00553A81" w:rsidRPr="00EE003F" w:rsidRDefault="005651A3" w:rsidP="001A4E17">
      <w:pPr>
        <w:rPr>
          <w:rFonts w:ascii="Arial Narrow" w:hAnsi="Arial Narrow"/>
        </w:rPr>
      </w:pPr>
      <w:r w:rsidRPr="00EE003F">
        <w:rPr>
          <w:rFonts w:ascii="Arial Narrow" w:hAnsi="Arial Narrow"/>
          <w:noProof/>
          <w:lang w:eastAsia="es-PE"/>
        </w:rPr>
        <w:drawing>
          <wp:inline distT="0" distB="0" distL="0" distR="0" wp14:anchorId="2215EF8D" wp14:editId="3E93C213">
            <wp:extent cx="5288889" cy="3039719"/>
            <wp:effectExtent l="0" t="0" r="7620" b="889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84529" cy="3037213"/>
                    </a:xfrm>
                    <a:prstGeom prst="rect">
                      <a:avLst/>
                    </a:prstGeom>
                    <a:noFill/>
                    <a:ln>
                      <a:noFill/>
                    </a:ln>
                  </pic:spPr>
                </pic:pic>
              </a:graphicData>
            </a:graphic>
          </wp:inline>
        </w:drawing>
      </w:r>
    </w:p>
    <w:p w:rsidR="005651A3" w:rsidRPr="00EE003F" w:rsidRDefault="005651A3" w:rsidP="00692EE1">
      <w:pPr>
        <w:autoSpaceDE w:val="0"/>
        <w:autoSpaceDN w:val="0"/>
        <w:adjustRightInd w:val="0"/>
        <w:spacing w:before="120" w:after="0" w:line="240" w:lineRule="auto"/>
        <w:textAlignment w:val="center"/>
        <w:rPr>
          <w:rFonts w:ascii="Arial Narrow" w:hAnsi="Arial Narrow" w:cs="Frutiger LT Std 45 Light"/>
          <w:sz w:val="24"/>
          <w:szCs w:val="24"/>
          <w:lang w:val="es-ES_tradnl"/>
        </w:rPr>
      </w:pPr>
      <w:r w:rsidRPr="00EE003F">
        <w:rPr>
          <w:rFonts w:ascii="Arial Narrow" w:hAnsi="Arial Narrow" w:cs="Frutiger LT Std 45 Light"/>
          <w:b/>
          <w:bCs/>
          <w:sz w:val="24"/>
          <w:szCs w:val="24"/>
          <w:lang w:val="es-ES_tradnl"/>
        </w:rPr>
        <w:t>Interpretación:</w:t>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En los últimos 20 años, se ha registrado un importante progreso en cuanto a la provisión de servicios básicos recibidos por los ciudadanos. El último Informe sobre Desarrollo Humano en el Perú (elaborado en el 2013 por el PNUD) revela que la identidad es el servicio que ha logrado mayor cobertura, mientras que los de salud, educación,  saneamiento y electricidad no logran aún proveerse de manera masiva. Las metas fijadas para los años 2016 y 2021 alientan al Estado a profundizar en su tarea de impulsar la provisión de servicios básicos.</w:t>
      </w:r>
    </w:p>
    <w:p w:rsidR="00692EE1" w:rsidRPr="00EE003F" w:rsidRDefault="00692EE1" w:rsidP="00692EE1">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p>
    <w:p w:rsidR="005651A3" w:rsidRPr="00EE003F" w:rsidRDefault="005651A3" w:rsidP="001A4E17">
      <w:pPr>
        <w:rPr>
          <w:rFonts w:ascii="Arial Narrow" w:hAnsi="Arial Narrow"/>
        </w:rPr>
      </w:pPr>
      <w:r w:rsidRPr="00EE003F">
        <w:rPr>
          <w:rFonts w:ascii="Arial Narrow" w:hAnsi="Arial Narrow"/>
          <w:noProof/>
          <w:lang w:eastAsia="es-PE"/>
        </w:rPr>
        <w:drawing>
          <wp:inline distT="0" distB="0" distL="0" distR="0" wp14:anchorId="4589222D" wp14:editId="38F0F8EE">
            <wp:extent cx="5347411" cy="3118346"/>
            <wp:effectExtent l="0" t="0" r="5715" b="635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44718" cy="3116775"/>
                    </a:xfrm>
                    <a:prstGeom prst="rect">
                      <a:avLst/>
                    </a:prstGeom>
                    <a:noFill/>
                    <a:ln>
                      <a:noFill/>
                    </a:ln>
                  </pic:spPr>
                </pic:pic>
              </a:graphicData>
            </a:graphic>
          </wp:inline>
        </w:drawing>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b/>
          <w:spacing w:val="2"/>
          <w:sz w:val="24"/>
          <w:szCs w:val="24"/>
          <w:lang w:val="es-ES_tradnl"/>
        </w:rPr>
      </w:pPr>
      <w:r w:rsidRPr="00EE003F">
        <w:rPr>
          <w:rFonts w:ascii="Arial Narrow" w:hAnsi="Arial Narrow" w:cs="Frutiger LT Std 45 Light"/>
          <w:b/>
          <w:spacing w:val="2"/>
          <w:sz w:val="24"/>
          <w:szCs w:val="24"/>
          <w:lang w:val="es-ES_tradnl"/>
        </w:rPr>
        <w:t>Interpretación:</w:t>
      </w:r>
    </w:p>
    <w:p w:rsidR="005651A3" w:rsidRPr="00EE003F" w:rsidRDefault="005651A3" w:rsidP="00692EE1">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 xml:space="preserve">Desde el año 2001, se ha producido un importante incremento de los salarios rurales, lo que actualmente determina que estos alcancen, en promedio el 60% de los salarios que reciben los trabajadores en el ámbito urbano. La convergencia salarial entre ambos sectores equivale a afirmar que los trabajadores en zonas rurales logran acceder a mejores remuneraciones. El crecimiento económico ha sido el principal determinante por el que los salarios han registrado una tendencia creciente. Sin embargo, el contexto actual muestra que, durante los últimos </w:t>
      </w:r>
      <w:r w:rsidR="00D662E8" w:rsidRPr="00EE003F">
        <w:rPr>
          <w:rFonts w:ascii="Arial Narrow" w:hAnsi="Arial Narrow" w:cs="Frutiger LT Std 45 Light"/>
          <w:spacing w:val="2"/>
          <w:sz w:val="24"/>
          <w:szCs w:val="24"/>
          <w:lang w:val="es-ES_tradnl"/>
        </w:rPr>
        <w:t>años, en un contexto internacional adverso</w:t>
      </w:r>
      <w:r w:rsidRPr="00EE003F">
        <w:rPr>
          <w:rFonts w:ascii="Arial Narrow" w:hAnsi="Arial Narrow" w:cs="Frutiger LT Std 45 Light"/>
          <w:spacing w:val="2"/>
          <w:sz w:val="24"/>
          <w:szCs w:val="24"/>
          <w:lang w:val="es-ES_tradnl"/>
        </w:rPr>
        <w:t xml:space="preserve">, el Perú ha registrado tasas de crecimiento del PBI </w:t>
      </w:r>
      <w:r w:rsidR="00D662E8" w:rsidRPr="00EE003F">
        <w:rPr>
          <w:rFonts w:ascii="Arial Narrow" w:hAnsi="Arial Narrow" w:cs="Frutiger LT Std 45 Light"/>
          <w:spacing w:val="2"/>
          <w:sz w:val="24"/>
          <w:szCs w:val="24"/>
          <w:lang w:val="es-ES_tradnl"/>
        </w:rPr>
        <w:t>moderada</w:t>
      </w:r>
      <w:r w:rsidRPr="00EE003F">
        <w:rPr>
          <w:rFonts w:ascii="Arial Narrow" w:hAnsi="Arial Narrow" w:cs="Frutiger LT Std 45 Light"/>
          <w:spacing w:val="2"/>
          <w:sz w:val="24"/>
          <w:szCs w:val="24"/>
          <w:lang w:val="es-ES_tradnl"/>
        </w:rPr>
        <w:t xml:space="preserve">. Ante ello, el Gobierno ha promulgado el Plan Nacional de Diversificación Productiva, que apunta a convertirse en la principal herramienta para que nuestro país recupere la senda de crecimiento sostenido. </w:t>
      </w:r>
    </w:p>
    <w:p w:rsidR="00692EE1" w:rsidRPr="00EE003F" w:rsidRDefault="00692EE1" w:rsidP="00692EE1">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p>
    <w:p w:rsidR="000733DD" w:rsidRPr="00EE003F" w:rsidRDefault="000733DD" w:rsidP="001A4E17">
      <w:pPr>
        <w:rPr>
          <w:rFonts w:ascii="Arial Narrow" w:hAnsi="Arial Narrow"/>
        </w:rPr>
      </w:pPr>
      <w:r w:rsidRPr="00EE003F">
        <w:rPr>
          <w:rFonts w:ascii="Arial Narrow" w:hAnsi="Arial Narrow"/>
          <w:noProof/>
          <w:lang w:eastAsia="es-PE"/>
        </w:rPr>
        <w:drawing>
          <wp:inline distT="0" distB="0" distL="0" distR="0" wp14:anchorId="0F8AA179" wp14:editId="54615EB8">
            <wp:extent cx="4925683" cy="2429402"/>
            <wp:effectExtent l="0" t="0" r="8890" b="952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926175" cy="2429644"/>
                    </a:xfrm>
                    <a:prstGeom prst="rect">
                      <a:avLst/>
                    </a:prstGeom>
                  </pic:spPr>
                </pic:pic>
              </a:graphicData>
            </a:graphic>
          </wp:inline>
        </w:drawing>
      </w:r>
    </w:p>
    <w:p w:rsidR="000733DD" w:rsidRPr="00EE003F" w:rsidRDefault="000733DD" w:rsidP="001A4E17">
      <w:pPr>
        <w:rPr>
          <w:rFonts w:ascii="Arial Narrow" w:hAnsi="Arial Narrow"/>
          <w:sz w:val="16"/>
        </w:rPr>
      </w:pPr>
      <w:r w:rsidRPr="00EE003F">
        <w:rPr>
          <w:rFonts w:ascii="Arial Narrow" w:hAnsi="Arial Narrow"/>
          <w:sz w:val="16"/>
        </w:rPr>
        <w:t>Fuente: WEF</w:t>
      </w:r>
    </w:p>
    <w:p w:rsidR="005651A3" w:rsidRPr="00EE003F" w:rsidRDefault="00F3563D" w:rsidP="001A4E17">
      <w:pPr>
        <w:rPr>
          <w:rFonts w:ascii="Arial Narrow" w:hAnsi="Arial Narrow"/>
        </w:rPr>
      </w:pPr>
      <w:r w:rsidRPr="00EE003F">
        <w:rPr>
          <w:noProof/>
          <w:lang w:eastAsia="es-PE"/>
        </w:rPr>
        <w:drawing>
          <wp:inline distT="0" distB="0" distL="0" distR="0" wp14:anchorId="367BA8CA" wp14:editId="41070F18">
            <wp:extent cx="4421888" cy="2721277"/>
            <wp:effectExtent l="0" t="0" r="0" b="317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425167" cy="2723295"/>
                    </a:xfrm>
                    <a:prstGeom prst="rect">
                      <a:avLst/>
                    </a:prstGeom>
                  </pic:spPr>
                </pic:pic>
              </a:graphicData>
            </a:graphic>
          </wp:inline>
        </w:drawing>
      </w:r>
    </w:p>
    <w:p w:rsidR="00BF3C1C" w:rsidRPr="00EE003F" w:rsidRDefault="00BF3C1C" w:rsidP="00692EE1">
      <w:pPr>
        <w:suppressAutoHyphens/>
        <w:autoSpaceDE w:val="0"/>
        <w:autoSpaceDN w:val="0"/>
        <w:adjustRightInd w:val="0"/>
        <w:spacing w:before="120" w:after="0" w:line="240" w:lineRule="auto"/>
        <w:jc w:val="both"/>
        <w:textAlignment w:val="center"/>
        <w:rPr>
          <w:rFonts w:ascii="Arial Narrow" w:hAnsi="Arial Narrow" w:cs="Frutiger LT Std 45 Light"/>
          <w:b/>
          <w:spacing w:val="2"/>
          <w:sz w:val="24"/>
          <w:szCs w:val="24"/>
          <w:lang w:val="es-ES_tradnl"/>
        </w:rPr>
      </w:pPr>
      <w:r w:rsidRPr="00EE003F">
        <w:rPr>
          <w:rFonts w:ascii="Arial Narrow" w:hAnsi="Arial Narrow" w:cs="Frutiger LT Std 45 Light"/>
          <w:b/>
          <w:spacing w:val="2"/>
          <w:sz w:val="24"/>
          <w:szCs w:val="24"/>
          <w:lang w:val="es-ES_tradnl"/>
        </w:rPr>
        <w:t>Interpretación:</w:t>
      </w:r>
    </w:p>
    <w:p w:rsidR="00BF3C1C" w:rsidRPr="00EE003F" w:rsidRDefault="00BF3C1C" w:rsidP="00692EE1">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 xml:space="preserve">Este indicador ha registrado una tasa de crecimiento acumulado de casi </w:t>
      </w:r>
      <w:r w:rsidR="000733DD" w:rsidRPr="00EE003F">
        <w:rPr>
          <w:rFonts w:ascii="Arial Narrow" w:hAnsi="Arial Narrow" w:cs="Frutiger LT Std 45 Light"/>
          <w:spacing w:val="2"/>
          <w:sz w:val="24"/>
          <w:szCs w:val="24"/>
          <w:lang w:val="es-ES_tradnl"/>
        </w:rPr>
        <w:t>23</w:t>
      </w:r>
      <w:r w:rsidRPr="00EE003F">
        <w:rPr>
          <w:rFonts w:ascii="Arial Narrow" w:hAnsi="Arial Narrow" w:cs="Frutiger LT Std 45 Light"/>
          <w:spacing w:val="2"/>
          <w:sz w:val="24"/>
          <w:szCs w:val="24"/>
          <w:lang w:val="es-ES_tradnl"/>
        </w:rPr>
        <w:t>% desde el periodo 2006-2007. Los grandes proyectos de infraestructura concesionados (ej. la Línea 2 del Metro de Lima, el Gaseoducto Sur Peruano, el aeropuerto de Chinchero, la Línea de Transmisión Moyobamba-Iquitos, el Terminal Portuario General San Martín, entre otros) permitirán continuar con el mejoramiento de la infraestructura a nivel nacional. Así, será posible alcanzar las metas propuestas para los años 2016 y 2021.</w:t>
      </w:r>
    </w:p>
    <w:p w:rsidR="00692EE1" w:rsidRPr="00EE003F" w:rsidRDefault="00692EE1">
      <w:pPr>
        <w:rPr>
          <w:rFonts w:ascii="Arial Narrow" w:hAnsi="Arial Narrow"/>
        </w:rPr>
      </w:pPr>
      <w:r w:rsidRPr="00EE003F">
        <w:rPr>
          <w:rFonts w:ascii="Arial Narrow" w:hAnsi="Arial Narrow"/>
        </w:rPr>
        <w:br w:type="page"/>
      </w:r>
    </w:p>
    <w:p w:rsidR="00BF3C1C" w:rsidRPr="00EE003F" w:rsidRDefault="00BF3C1C" w:rsidP="00EF313F">
      <w:pPr>
        <w:pStyle w:val="Ttulo2"/>
        <w:jc w:val="left"/>
        <w:rPr>
          <w:rFonts w:asciiTheme="minorHAnsi" w:hAnsiTheme="minorHAnsi"/>
          <w:lang w:val="es-ES_tradnl"/>
        </w:rPr>
      </w:pPr>
      <w:bookmarkStart w:id="40" w:name="_Toc453004676"/>
      <w:r w:rsidRPr="00EE003F">
        <w:rPr>
          <w:rFonts w:asciiTheme="minorHAnsi" w:hAnsiTheme="minorHAnsi"/>
          <w:lang w:val="es-ES_tradnl"/>
        </w:rPr>
        <w:t>Eje estratégico 6</w:t>
      </w:r>
      <w:bookmarkStart w:id="41" w:name="_Toc448398408"/>
      <w:r w:rsidR="00EF313F" w:rsidRPr="00EE003F">
        <w:rPr>
          <w:sz w:val="32"/>
          <w:szCs w:val="32"/>
        </w:rPr>
        <w:br/>
      </w:r>
      <w:r w:rsidRPr="00EE003F">
        <w:rPr>
          <w:rFonts w:asciiTheme="minorHAnsi" w:hAnsiTheme="minorHAnsi"/>
          <w:lang w:val="es-ES_tradnl"/>
        </w:rPr>
        <w:t>Ambiente, diversidad biológica y gestión del riesgo de desastres</w:t>
      </w:r>
      <w:bookmarkEnd w:id="40"/>
      <w:bookmarkEnd w:id="41"/>
    </w:p>
    <w:p w:rsidR="00692EE1" w:rsidRPr="00EE003F" w:rsidRDefault="00692EE1"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p>
    <w:p w:rsidR="00BF3C1C" w:rsidRPr="00EE003F" w:rsidRDefault="00BF3C1C"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La calidad del ambiente, la diversidad biológica y la gestión del riesgo de desastres son componentes importantes en la planificación estratégica relacionada al territorio y a la conservación del medio en el que habitamos. </w:t>
      </w:r>
      <w:r w:rsidR="001963C1" w:rsidRPr="00EE003F">
        <w:rPr>
          <w:rFonts w:ascii="Arial Narrow" w:hAnsi="Arial Narrow" w:cs="Frutiger LT Std 45 Light"/>
          <w:sz w:val="24"/>
          <w:szCs w:val="24"/>
          <w:lang w:val="es-ES_tradnl"/>
        </w:rPr>
        <w:t>En esta línea, el Eje 6 está orientado a proteger el patrimonio ambiental existente, a aminorar los posibles impactos ambientales negativos de futuras actividades que se instalen en el territorio nacional, pero fundamentalmente a la generación de riqueza producida por la gestión sostenible de los recursos naturales y de los servicios ecosistémicos.</w:t>
      </w:r>
    </w:p>
    <w:p w:rsidR="00BF3C1C" w:rsidRPr="00EE003F" w:rsidRDefault="00BF3C1C"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Actualmente, los más importantes retos ambientales en el Perú son reducir la frecuencia de males transmitidos por el agua, enfermedades causadas por la contaminación atmosférica urbana y en locales cerrados, y minimizar la vulnerabilidad a los desastres naturales. Estas categorías de daños al ambiente tienen un costo económico aproximado de 4% del PBI, y afectan principalmente a los más pobres. Los futuros desafíos ambientales podrían resultar de la expansión de la infraestructura de transporte dirigida a incrementar la accesibilidad al oriente del país. La construcción de carreteras en la Amazonía a menudo ha sido acompañada de quema de bosques, tala ilegal, agricultura de roce y quema, minería destructiva, desarrollo no planificado y plantaciones que podrían conducir a la destrucción de cuencas críticas y hábitats silvestres (Banco Mundial, 2007a).</w:t>
      </w:r>
    </w:p>
    <w:p w:rsidR="001C7ECD" w:rsidRPr="00EE003F" w:rsidRDefault="001C7ECD"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El Perú se sumó al esfuerzo de la Convención Marco de las Naciones Unidas sobre el Cambio Climático – CMNUCC presentando l</w:t>
      </w:r>
      <w:r w:rsidR="006F55DE" w:rsidRPr="00EE003F">
        <w:rPr>
          <w:rFonts w:ascii="Arial Narrow" w:hAnsi="Arial Narrow" w:cs="Frutiger LT Std 45 Light"/>
          <w:sz w:val="24"/>
          <w:szCs w:val="24"/>
          <w:lang w:val="es-ES_tradnl"/>
        </w:rPr>
        <w:t>as contribuciones nacionales - I</w:t>
      </w:r>
      <w:r w:rsidRPr="00EE003F">
        <w:rPr>
          <w:rFonts w:ascii="Arial Narrow" w:hAnsi="Arial Narrow" w:cs="Frutiger LT Std 45 Light"/>
          <w:sz w:val="24"/>
          <w:szCs w:val="24"/>
          <w:lang w:val="es-ES_tradnl"/>
        </w:rPr>
        <w:t>NDC (por sus siglas en inglés) en setiembre 2015, que incluye los enfoques de mitigación y adaptación. En el contexto a</w:t>
      </w:r>
      <w:r w:rsidR="006F55DE" w:rsidRPr="00EE003F">
        <w:rPr>
          <w:rFonts w:ascii="Arial Narrow" w:hAnsi="Arial Narrow" w:cs="Frutiger LT Std 45 Light"/>
          <w:sz w:val="24"/>
          <w:szCs w:val="24"/>
          <w:lang w:val="es-ES_tradnl"/>
        </w:rPr>
        <w:t>ctual económico y normativo las I</w:t>
      </w:r>
      <w:r w:rsidRPr="00EE003F">
        <w:rPr>
          <w:rFonts w:ascii="Arial Narrow" w:hAnsi="Arial Narrow" w:cs="Frutiger LT Std 45 Light"/>
          <w:sz w:val="24"/>
          <w:szCs w:val="24"/>
          <w:lang w:val="es-ES_tradnl"/>
        </w:rPr>
        <w:t>NDC permitirán promover la competitividad, generar cambios y mejoras socio-ambientales y lograr los objetivos de desarrollo de forma costo-eficiente y sostenible en el tiempo.</w:t>
      </w:r>
    </w:p>
    <w:p w:rsidR="001C7ECD" w:rsidRPr="00EE003F" w:rsidRDefault="001C7ECD"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 Se viene trabajando de manera transversal en los procesos orientados a reducir y evitar la deforestación y la degradación forestal y a nivel sectorial se vienen desarrollando medidas de mitigación apropiadas para cada país – NAMA (por sus siglas en inglés) con el objetivo de reducir las emisiones de GEI y conservar los sumideros de carbono contribuyendo de esta manera a los esfuerzos globales.</w:t>
      </w:r>
    </w:p>
    <w:p w:rsidR="00BF3C1C" w:rsidRPr="00EE003F" w:rsidRDefault="00BF3C1C"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En este sentido, la conservación y uso sostenible de la diversidad biológica deberá ser un tema de alta relevancia para el Estado y la sociedad en su conjunto, ya que el crecimiento y estabilidad económica que el Perú ha experimentado se debe principalmente, al uso de sus recursos naturales, particularmente los mineros, pesqueros y agrícolas. Por lo tanto, el crecimiento económico futuro debe estar basado en el enfoque de desarrollo sostenible, articulado desde los diferentes niveles de gobiernos para solucionar los problemas ambientales.</w:t>
      </w:r>
    </w:p>
    <w:p w:rsidR="00BF3C1C" w:rsidRPr="00EE003F" w:rsidRDefault="00BF3C1C"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El Perú es considerado uno de los países con altos niveles de vulnerabilidad física, social y financiera frente a desastres y cuenta con un amplio registro de pérdidas producidas por desastres naturales</w:t>
      </w:r>
      <w:r w:rsidR="00E50AF4" w:rsidRPr="00EE003F">
        <w:rPr>
          <w:rFonts w:ascii="Arial Narrow" w:hAnsi="Arial Narrow" w:cs="Frutiger LT Std 45 Light"/>
          <w:sz w:val="24"/>
          <w:szCs w:val="24"/>
          <w:lang w:val="es-ES_tradnl"/>
        </w:rPr>
        <w:t>, de las cuales muy pocas fueron cubiertas por seguros</w:t>
      </w:r>
      <w:r w:rsidRPr="00EE003F">
        <w:rPr>
          <w:rFonts w:ascii="Arial Narrow" w:hAnsi="Arial Narrow" w:cs="Frutiger LT Std 45 Light"/>
          <w:sz w:val="24"/>
          <w:szCs w:val="24"/>
          <w:lang w:val="es-ES_tradnl"/>
        </w:rPr>
        <w:t>. La gestión del riesgo de desastres cuenta con una institucionalidad</w:t>
      </w:r>
      <w:r w:rsidRPr="00EE003F">
        <w:rPr>
          <w:rFonts w:ascii="Arial Narrow" w:hAnsi="Arial Narrow" w:cs="Frutiger LT Std 45 Light"/>
          <w:sz w:val="24"/>
          <w:szCs w:val="24"/>
          <w:vertAlign w:val="superscript"/>
          <w:lang w:val="es-ES_tradnl"/>
        </w:rPr>
        <w:footnoteReference w:id="39"/>
      </w:r>
      <w:r w:rsidRPr="00EE003F">
        <w:rPr>
          <w:rFonts w:ascii="Arial Narrow" w:hAnsi="Arial Narrow" w:cs="Frutiger LT Std 45 Light"/>
          <w:sz w:val="24"/>
          <w:szCs w:val="24"/>
          <w:lang w:val="es-ES_tradnl"/>
        </w:rPr>
        <w:t xml:space="preserve"> relativamente nueva, mediante la cual se hace énfasis tanto en las medidas de prevención como de respuesta ante desastres naturales</w:t>
      </w:r>
      <w:r w:rsidR="00775158" w:rsidRPr="00EE003F">
        <w:rPr>
          <w:rFonts w:ascii="Arial Narrow" w:hAnsi="Arial Narrow" w:cs="Frutiger LT Std 45 Light"/>
          <w:sz w:val="24"/>
          <w:szCs w:val="24"/>
          <w:lang w:val="es-ES_tradnl"/>
        </w:rPr>
        <w:t>, tanto por parte del Estado como del sector privado</w:t>
      </w:r>
      <w:r w:rsidRPr="00EE003F">
        <w:rPr>
          <w:rFonts w:ascii="Arial Narrow" w:hAnsi="Arial Narrow" w:cs="Frutiger LT Std 45 Light"/>
          <w:sz w:val="24"/>
          <w:szCs w:val="24"/>
          <w:lang w:val="es-ES_tradnl"/>
        </w:rPr>
        <w:t>.</w:t>
      </w:r>
    </w:p>
    <w:p w:rsidR="00BF3C1C" w:rsidRPr="00EE003F" w:rsidRDefault="00BF3C1C"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En razón a ello, se propone como objetivo nacional de este eje: “Aprovechamiento eficiente, responsable y sostenible de la diversidad biológica, asegurando una calidad de vida ambiental adecuada para la vida saludable de las personas y el desarrollo del país”, ello en busca de acoplar las actividades productivas con el enfoque de sostenibilidad para el bienestar general.</w:t>
      </w:r>
    </w:p>
    <w:p w:rsidR="00BF3C1C" w:rsidRPr="00EE003F" w:rsidRDefault="00BF3C1C"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El indicador líder del Eje 6 es el Índice de Desempeño Ambiental – EPI (por sus siglas en inglés: Environmental Performande Index), que es un método para cuantificar y clasificar el desempeño ambiental de las políticas de un país. El índice fue desarrollado por el Centro de Política y Ley Ambiental de la Universidad de Yale, en conjunto con la Red de Información del Centro Internacional de Ciencias de la Tierra de la Universidad de Columbia. Ha sido validado por numerosos investigadores de distintas universidades e instituciones. Los objetivos del índice son (i) reducir los impactos ambientales sobre la salud, y (ii) promover la vitalidad de los ecosistemas y la adecuada administración de los recursos naturales.</w:t>
      </w:r>
    </w:p>
    <w:p w:rsidR="00BF3C1C" w:rsidRPr="00EE003F" w:rsidRDefault="00BF3C1C"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Los objetivos nacionales específicos del Eje 6 pretenden asegurar una calidad ambiental adecuada para el desarrollo de las personas, garantizar la disponibilidad y calidad de los recursos hídricos, así como promover la conservación y aprovechamiento sostenible de la diversidad biológica. Asimismo, buscan disminuir la vulnerabilidad ante el cambio climático y promover una economía baja en carbono, impulsando la conservación de bosques. Por último, procuran reducir la vulnerabilidad de la población ante el riesgo de desastres.</w:t>
      </w:r>
    </w:p>
    <w:p w:rsidR="00BF3C1C" w:rsidRPr="00EE003F" w:rsidRDefault="00BF3C1C" w:rsidP="00692EE1">
      <w:p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Para medir el avance de las múltiples dimensiones del reto planteado se detalla</w:t>
      </w:r>
      <w:r w:rsidR="002B54B5" w:rsidRPr="00EE003F">
        <w:rPr>
          <w:rFonts w:ascii="Arial Narrow" w:hAnsi="Arial Narrow" w:cs="Frutiger LT Std 45 Light"/>
          <w:sz w:val="24"/>
          <w:szCs w:val="24"/>
          <w:lang w:val="es-ES_tradnl"/>
        </w:rPr>
        <w:t xml:space="preserve">n los Objetivos Específicos </w:t>
      </w:r>
      <w:r w:rsidRPr="00EE003F">
        <w:rPr>
          <w:rFonts w:ascii="Arial Narrow" w:hAnsi="Arial Narrow" w:cs="Frutiger LT Std 45 Light"/>
          <w:sz w:val="24"/>
          <w:szCs w:val="24"/>
          <w:lang w:val="es-ES_tradnl"/>
        </w:rPr>
        <w:t xml:space="preserve"> y sus respectivos indicadores de seguimiento:</w:t>
      </w:r>
    </w:p>
    <w:p w:rsidR="00BF3C1C" w:rsidRPr="00EE003F" w:rsidRDefault="00BF3C1C" w:rsidP="00692EE1">
      <w:pPr>
        <w:pStyle w:val="Prrafodelista"/>
        <w:numPr>
          <w:ilvl w:val="0"/>
          <w:numId w:val="18"/>
        </w:num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Para asegurar una calidad ambiental adecuada para el desarrollo de las personas se usará el indicador ¨Porcentaje de ciudades prioritarias con valores anuales de PM1022 que cumplen con el ECA”, en tanto permite determinar la protección de la salud humana del daño ambiental, así como de los ecosistemas.</w:t>
      </w:r>
      <w:r w:rsidRPr="00EE003F">
        <w:rPr>
          <w:rFonts w:ascii="Arial Narrow" w:hAnsi="Arial Narrow"/>
          <w:sz w:val="24"/>
          <w:szCs w:val="24"/>
          <w:vertAlign w:val="superscript"/>
          <w:lang w:val="es-ES_tradnl"/>
        </w:rPr>
        <w:footnoteReference w:id="40"/>
      </w:r>
    </w:p>
    <w:p w:rsidR="00BF3C1C" w:rsidRPr="00EE003F" w:rsidRDefault="00BF3C1C" w:rsidP="00692EE1">
      <w:pPr>
        <w:pStyle w:val="Prrafodelista"/>
        <w:numPr>
          <w:ilvl w:val="0"/>
          <w:numId w:val="18"/>
        </w:num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Para garantizar la disponibilidad y calidad de los recursos hídricos se calculará el porcentaje de productores agrícolas</w:t>
      </w:r>
      <w:r w:rsidR="004A6111" w:rsidRPr="00EE003F">
        <w:rPr>
          <w:rFonts w:ascii="Arial Narrow" w:hAnsi="Arial Narrow" w:cs="Frutiger LT Std 45 Light"/>
          <w:sz w:val="24"/>
          <w:szCs w:val="24"/>
          <w:lang w:val="es-ES_tradnl"/>
        </w:rPr>
        <w:t xml:space="preserve"> así como el número de hectáreas</w:t>
      </w:r>
      <w:r w:rsidRPr="00EE003F">
        <w:rPr>
          <w:rFonts w:ascii="Arial Narrow" w:hAnsi="Arial Narrow" w:cs="Frutiger LT Std 45 Light"/>
          <w:sz w:val="24"/>
          <w:szCs w:val="24"/>
          <w:lang w:val="es-ES_tradnl"/>
        </w:rPr>
        <w:t xml:space="preserve"> con riego tecnificado, pues da cuenta del logro del objetivo.</w:t>
      </w:r>
    </w:p>
    <w:p w:rsidR="00BF3C1C" w:rsidRPr="00EE003F" w:rsidRDefault="00BF3C1C" w:rsidP="00692EE1">
      <w:pPr>
        <w:pStyle w:val="Prrafodelista"/>
        <w:numPr>
          <w:ilvl w:val="0"/>
          <w:numId w:val="18"/>
        </w:num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 xml:space="preserve">Para promover la conservación y aprovechamiento sostenible de la diversidad biológica se usará el indicador “Grado de afectación de las áreas naturales protegidas. Este resulta adecuado porque muestra el porcentaje de aquellas áreas  protegidas por el Estado debido a su importancia para la diversidad biológica. </w:t>
      </w:r>
    </w:p>
    <w:p w:rsidR="006237F5" w:rsidRPr="00EE003F" w:rsidRDefault="00BF3C1C" w:rsidP="00692EE1">
      <w:pPr>
        <w:pStyle w:val="Prrafodelista"/>
        <w:numPr>
          <w:ilvl w:val="0"/>
          <w:numId w:val="18"/>
        </w:numPr>
        <w:suppressAutoHyphens/>
        <w:autoSpaceDE w:val="0"/>
        <w:autoSpaceDN w:val="0"/>
        <w:adjustRightInd w:val="0"/>
        <w:spacing w:before="113" w:after="0" w:line="240" w:lineRule="auto"/>
        <w:jc w:val="both"/>
        <w:textAlignment w:val="center"/>
        <w:rPr>
          <w:rFonts w:ascii="Arial Narrow" w:hAnsi="Arial Narrow" w:cs="Frutiger LT Std 45 Light"/>
          <w:sz w:val="24"/>
          <w:szCs w:val="24"/>
          <w:lang w:val="es-ES_tradnl"/>
        </w:rPr>
      </w:pPr>
      <w:r w:rsidRPr="00EE003F">
        <w:rPr>
          <w:rFonts w:ascii="Arial Narrow" w:hAnsi="Arial Narrow" w:cs="Frutiger LT Std 45 Light"/>
          <w:sz w:val="24"/>
          <w:szCs w:val="24"/>
          <w:lang w:val="es-ES_tradnl"/>
        </w:rPr>
        <w:t>Para identificar la reducción de la vulnerabilidad ante el cambio climático y promover una economía baja en carbono, impulsando la conservación de bosques, se establece el Indicador de Vulnerabilidad. Este resulta adecuado en la medida en que refleja todos aquellos factores que hacen a las personas y los sistemas susceptibles a los impactos de los desastres naturales o a los efectos negativos del cambio climático.</w:t>
      </w:r>
    </w:p>
    <w:p w:rsidR="006237F5" w:rsidRPr="00EE003F" w:rsidRDefault="006237F5">
      <w:pPr>
        <w:rPr>
          <w:rFonts w:ascii="Arial Narrow" w:hAnsi="Arial Narrow" w:cs="Frutiger LT Std 45 Light"/>
          <w:spacing w:val="2"/>
          <w:lang w:val="es-ES_tradnl"/>
        </w:rPr>
      </w:pPr>
      <w:r w:rsidRPr="00EE003F">
        <w:rPr>
          <w:rFonts w:ascii="Arial Narrow" w:hAnsi="Arial Narrow" w:cs="Frutiger LT Std 45 Light"/>
          <w:spacing w:val="2"/>
          <w:lang w:val="es-ES_tradnl"/>
        </w:rPr>
        <w:br w:type="page"/>
      </w:r>
    </w:p>
    <w:tbl>
      <w:tblPr>
        <w:tblStyle w:val="Tablaconcuadrcula"/>
        <w:tblW w:w="0" w:type="auto"/>
        <w:tblLook w:val="04A0" w:firstRow="1" w:lastRow="0" w:firstColumn="1" w:lastColumn="0" w:noHBand="0" w:noVBand="1"/>
      </w:tblPr>
      <w:tblGrid>
        <w:gridCol w:w="8721"/>
      </w:tblGrid>
      <w:tr w:rsidR="006E3336" w:rsidRPr="00EE003F" w:rsidTr="006237F5">
        <w:tc>
          <w:tcPr>
            <w:tcW w:w="8978" w:type="dxa"/>
          </w:tcPr>
          <w:p w:rsidR="006237F5" w:rsidRPr="0038146C" w:rsidRDefault="006237F5" w:rsidP="006237F5">
            <w:pPr>
              <w:autoSpaceDE w:val="0"/>
              <w:autoSpaceDN w:val="0"/>
              <w:adjustRightInd w:val="0"/>
              <w:spacing w:before="340" w:line="288" w:lineRule="auto"/>
              <w:jc w:val="both"/>
              <w:textAlignment w:val="center"/>
              <w:rPr>
                <w:rFonts w:ascii="Arial Narrow" w:hAnsi="Arial Narrow" w:cs="Frutiger LT Std 45 Light"/>
                <w:sz w:val="20"/>
                <w:lang w:val="es-ES_tradnl"/>
              </w:rPr>
            </w:pPr>
            <w:r w:rsidRPr="0038146C">
              <w:rPr>
                <w:rFonts w:ascii="Arial Narrow" w:hAnsi="Arial Narrow" w:cs="Frutiger LT Std 45 Light"/>
                <w:sz w:val="20"/>
                <w:lang w:val="es-ES_tradnl"/>
              </w:rPr>
              <w:t>Economía del conocimiento verde</w:t>
            </w:r>
          </w:p>
          <w:p w:rsidR="006D45E7" w:rsidRPr="0038146C" w:rsidRDefault="006D45E7" w:rsidP="00962397">
            <w:pPr>
              <w:autoSpaceDE w:val="0"/>
              <w:autoSpaceDN w:val="0"/>
              <w:spacing w:before="340"/>
              <w:jc w:val="both"/>
              <w:textAlignment w:val="center"/>
              <w:rPr>
                <w:rFonts w:ascii="Arial Narrow" w:hAnsi="Arial Narrow"/>
                <w:sz w:val="20"/>
                <w:lang w:val="es-ES_tradnl"/>
              </w:rPr>
            </w:pPr>
            <w:r w:rsidRPr="0038146C">
              <w:rPr>
                <w:rFonts w:ascii="Arial Narrow" w:hAnsi="Arial Narrow"/>
                <w:sz w:val="20"/>
                <w:lang w:val="es-ES_tradnl"/>
              </w:rPr>
              <w:t>La economía del conocimiento verde es aquella amigable con el ambiente, que a través de la innovación en productos y procesos, busca afrontar el cambio climático, la reducción de las emisiones de gases de efecto invernadero, además de mejorar la eficiencia de los recursos y la conservación de los ecosistemas y la biodiversidad.</w:t>
            </w:r>
          </w:p>
          <w:p w:rsidR="006D45E7" w:rsidRPr="0038146C" w:rsidRDefault="006D45E7" w:rsidP="00962397">
            <w:pPr>
              <w:autoSpaceDE w:val="0"/>
              <w:autoSpaceDN w:val="0"/>
              <w:spacing w:before="113"/>
              <w:jc w:val="both"/>
              <w:textAlignment w:val="center"/>
              <w:rPr>
                <w:rFonts w:ascii="Arial Narrow" w:hAnsi="Arial Narrow"/>
                <w:sz w:val="20"/>
                <w:lang w:val="es-ES_tradnl"/>
              </w:rPr>
            </w:pPr>
            <w:r w:rsidRPr="0038146C">
              <w:rPr>
                <w:rFonts w:ascii="Arial Narrow" w:hAnsi="Arial Narrow"/>
                <w:sz w:val="20"/>
                <w:lang w:val="es-ES_tradnl"/>
              </w:rPr>
              <w:t>El modelo de economía del conocimiento verde refleja la nueva tendencia en la formulación de políticas en el Reino Unido y Estados Unidos; tiene como objetivo lograr una economía competitiva y basada en el conocimiento verde, que conlleve a un modelo más sostenible de desarrollo económico.</w:t>
            </w:r>
          </w:p>
          <w:p w:rsidR="006D45E7" w:rsidRPr="0038146C" w:rsidRDefault="006D45E7" w:rsidP="00962397">
            <w:pPr>
              <w:autoSpaceDE w:val="0"/>
              <w:autoSpaceDN w:val="0"/>
              <w:spacing w:before="113"/>
              <w:jc w:val="both"/>
              <w:textAlignment w:val="center"/>
              <w:rPr>
                <w:rFonts w:ascii="Arial Narrow" w:hAnsi="Arial Narrow"/>
                <w:sz w:val="20"/>
                <w:lang w:val="es-ES_tradnl"/>
              </w:rPr>
            </w:pPr>
            <w:r w:rsidRPr="0038146C">
              <w:rPr>
                <w:rFonts w:ascii="Arial Narrow" w:hAnsi="Arial Narrow"/>
                <w:sz w:val="20"/>
                <w:lang w:val="es-ES_tradnl"/>
              </w:rPr>
              <w:t>Esta nueva orientación de las políticas se hace evidente en Europa, Norte América y otras regiones del mundo, donde los países y ciudades planifican su futuro libre de carbono, y se expone como “ciudades verdes”, “eco ciudades” y “áreas económicas de carbono bajo”.</w:t>
            </w:r>
          </w:p>
          <w:p w:rsidR="006D45E7" w:rsidRPr="0038146C" w:rsidRDefault="006D45E7" w:rsidP="00962397">
            <w:pPr>
              <w:autoSpaceDE w:val="0"/>
              <w:autoSpaceDN w:val="0"/>
              <w:spacing w:before="113"/>
              <w:jc w:val="both"/>
              <w:textAlignment w:val="center"/>
              <w:rPr>
                <w:rFonts w:ascii="Arial Narrow" w:hAnsi="Arial Narrow"/>
                <w:sz w:val="20"/>
                <w:lang w:val="es-ES_tradnl"/>
              </w:rPr>
            </w:pPr>
            <w:r w:rsidRPr="0038146C">
              <w:rPr>
                <w:rFonts w:ascii="Arial Narrow" w:hAnsi="Arial Narrow"/>
                <w:sz w:val="20"/>
                <w:lang w:val="es-ES_tradnl"/>
              </w:rPr>
              <w:t>Desde la década de los noventa, la agenda de la economía del conocimiento se ha basado en la competitividad internacional, en respuesta a la globalización y la revolución de las tecnologías de información. Al mismo tiempo, el desarrollo sostenible se convirtió en el objetivo de las políticas estructurales y espaciales. Como resultado, la competitividad y la sostenibilidad convergieron y actualmente los gobiernos encaminan sus políticas nacionales a afrontar el cambio climático y fomentar el uso de las energías renovables, las que tendrán un impacto directo en la competitividad y la recuperación de la economía.</w:t>
            </w:r>
          </w:p>
          <w:p w:rsidR="006D45E7" w:rsidRPr="0038146C" w:rsidRDefault="006D45E7" w:rsidP="00962397">
            <w:pPr>
              <w:autoSpaceDE w:val="0"/>
              <w:autoSpaceDN w:val="0"/>
              <w:spacing w:before="113"/>
              <w:jc w:val="both"/>
              <w:textAlignment w:val="center"/>
              <w:rPr>
                <w:rFonts w:ascii="Arial Narrow" w:hAnsi="Arial Narrow"/>
                <w:sz w:val="20"/>
                <w:lang w:val="es-ES_tradnl"/>
              </w:rPr>
            </w:pPr>
            <w:r w:rsidRPr="0038146C">
              <w:rPr>
                <w:rFonts w:ascii="Arial Narrow" w:hAnsi="Arial Narrow"/>
                <w:sz w:val="20"/>
                <w:lang w:val="es-ES_tradnl"/>
              </w:rPr>
              <w:t>Asimismo, se considera que la economía de Conocimiento Verde permite enfrentar la crisis ambiental, usando las diversas medidas para mitigar las emisiones de carbono y dando apoyo en la creación de tecnologías y empleos verdes.</w:t>
            </w:r>
          </w:p>
          <w:p w:rsidR="006D45E7" w:rsidRPr="0038146C" w:rsidRDefault="006D45E7" w:rsidP="00962397">
            <w:pPr>
              <w:autoSpaceDE w:val="0"/>
              <w:autoSpaceDN w:val="0"/>
              <w:spacing w:before="113"/>
              <w:jc w:val="both"/>
              <w:textAlignment w:val="center"/>
              <w:rPr>
                <w:rFonts w:ascii="Arial Narrow" w:hAnsi="Arial Narrow"/>
                <w:sz w:val="20"/>
                <w:lang w:val="es-ES_tradnl"/>
              </w:rPr>
            </w:pPr>
            <w:r w:rsidRPr="0038146C">
              <w:rPr>
                <w:rFonts w:ascii="Arial Narrow" w:hAnsi="Arial Narrow"/>
                <w:sz w:val="20"/>
                <w:lang w:val="es-ES_tradnl"/>
              </w:rPr>
              <w:t xml:space="preserve">En el Perú, se viene fomentado el modelo de Crecimiento </w:t>
            </w:r>
            <w:proofErr w:type="gramStart"/>
            <w:r w:rsidRPr="0038146C">
              <w:rPr>
                <w:rFonts w:ascii="Arial Narrow" w:hAnsi="Arial Narrow"/>
                <w:sz w:val="20"/>
                <w:lang w:val="es-ES_tradnl"/>
              </w:rPr>
              <w:t>Verde</w:t>
            </w:r>
            <w:r w:rsidRPr="0038146C">
              <w:rPr>
                <w:rFonts w:ascii="Arial Narrow" w:hAnsi="Arial Narrow"/>
                <w:sz w:val="20"/>
                <w:lang w:val="es-ES_tradnl"/>
              </w:rPr>
              <w:footnoteReference w:customMarkFollows="1" w:id="41"/>
              <w:t>[</w:t>
            </w:r>
            <w:proofErr w:type="gramEnd"/>
            <w:r w:rsidRPr="0038146C">
              <w:rPr>
                <w:rFonts w:ascii="Arial Narrow" w:hAnsi="Arial Narrow"/>
                <w:sz w:val="20"/>
                <w:lang w:val="es-ES_tradnl"/>
              </w:rPr>
              <w:t xml:space="preserve">1] como medida para fortalecer el crecimiento económico mantenido en los últimos años. Si bien el Perú ha incorporado en sus políticas nacionales el concepto de desarrollo </w:t>
            </w:r>
            <w:proofErr w:type="gramStart"/>
            <w:r w:rsidRPr="0038146C">
              <w:rPr>
                <w:rFonts w:ascii="Arial Narrow" w:hAnsi="Arial Narrow"/>
                <w:sz w:val="20"/>
                <w:lang w:val="es-ES_tradnl"/>
              </w:rPr>
              <w:t>sostenible</w:t>
            </w:r>
            <w:r w:rsidRPr="0038146C">
              <w:rPr>
                <w:rFonts w:ascii="Arial Narrow" w:hAnsi="Arial Narrow"/>
                <w:sz w:val="20"/>
                <w:lang w:val="es-ES_tradnl"/>
              </w:rPr>
              <w:footnoteReference w:customMarkFollows="1" w:id="42"/>
              <w:t>[</w:t>
            </w:r>
            <w:proofErr w:type="gramEnd"/>
            <w:r w:rsidRPr="0038146C">
              <w:rPr>
                <w:rFonts w:ascii="Arial Narrow" w:hAnsi="Arial Narrow"/>
                <w:sz w:val="20"/>
                <w:lang w:val="es-ES_tradnl"/>
              </w:rPr>
              <w:t>2], aún prevalece la necesidad de incorporar criterios más claros en las políticas desarrolladas e implementar indicadores, que reflejen un balance entre los impactos económicos y ambientales.</w:t>
            </w:r>
          </w:p>
          <w:p w:rsidR="006D45E7" w:rsidRPr="0038146C" w:rsidRDefault="006D45E7" w:rsidP="00D12899">
            <w:pPr>
              <w:jc w:val="both"/>
              <w:rPr>
                <w:rFonts w:ascii="Arial Narrow" w:hAnsi="Arial Narrow"/>
                <w:sz w:val="20"/>
                <w:lang w:val="es-ES_tradnl"/>
              </w:rPr>
            </w:pPr>
            <w:r w:rsidRPr="0038146C">
              <w:rPr>
                <w:rFonts w:ascii="Arial Narrow" w:hAnsi="Arial Narrow"/>
                <w:sz w:val="20"/>
                <w:lang w:val="es-ES_tradnl"/>
              </w:rPr>
              <w:t xml:space="preserve">Resulta importante considerar las potencialidades del Crecimiento Verde con una mirada más integral y sistemática en el camino hacia el crecimiento económico sostenible. La transición del Perú hacia una economía de crecimiento verde requiere la incorporación de una visión holística en la formulación de las políticas nacionales basada en un Estado de derecho, equidad, justicia social, eficiente y transparente, con una economía competitiva y que considere los aspectos previstos en la Declaración de Crecimiento Verde de la OCDE tales como: </w:t>
            </w:r>
          </w:p>
          <w:p w:rsidR="006D45E7" w:rsidRPr="0038146C" w:rsidRDefault="006D45E7">
            <w:pPr>
              <w:jc w:val="both"/>
              <w:rPr>
                <w:rFonts w:ascii="Arial Narrow" w:hAnsi="Arial Narrow"/>
                <w:sz w:val="20"/>
                <w:lang w:val="es-ES_tradnl"/>
              </w:rPr>
            </w:pPr>
          </w:p>
          <w:p w:rsidR="006D45E7" w:rsidRPr="0038146C" w:rsidRDefault="006D45E7">
            <w:pPr>
              <w:jc w:val="both"/>
              <w:rPr>
                <w:rFonts w:ascii="Arial Narrow" w:hAnsi="Arial Narrow"/>
                <w:sz w:val="20"/>
              </w:rPr>
            </w:pPr>
            <w:r w:rsidRPr="0038146C">
              <w:rPr>
                <w:rFonts w:ascii="Arial Narrow" w:hAnsi="Arial Narrow"/>
                <w:sz w:val="20"/>
                <w:lang w:val="es-ES_tradnl"/>
              </w:rPr>
              <w:t xml:space="preserve">a. </w:t>
            </w:r>
            <w:r w:rsidRPr="0038146C">
              <w:rPr>
                <w:rFonts w:ascii="Arial Narrow" w:hAnsi="Arial Narrow"/>
                <w:sz w:val="20"/>
              </w:rPr>
              <w:t xml:space="preserve">Tener en cuenta que la inversión pública debe ser coherente con un marco a largo plazo para generar un </w:t>
            </w:r>
            <w:r w:rsidR="00030406" w:rsidRPr="0038146C">
              <w:rPr>
                <w:rFonts w:ascii="Arial Narrow" w:hAnsi="Arial Narrow"/>
                <w:sz w:val="20"/>
              </w:rPr>
              <w:t>crecimiento sostenible.</w:t>
            </w:r>
            <w:r w:rsidRPr="0038146C">
              <w:rPr>
                <w:rFonts w:ascii="Arial Narrow" w:hAnsi="Arial Narrow"/>
                <w:sz w:val="20"/>
              </w:rPr>
              <w:t xml:space="preserve"> </w:t>
            </w:r>
          </w:p>
          <w:p w:rsidR="006D45E7" w:rsidRPr="0038146C" w:rsidRDefault="006D45E7" w:rsidP="00962397">
            <w:pPr>
              <w:autoSpaceDE w:val="0"/>
              <w:autoSpaceDN w:val="0"/>
              <w:spacing w:before="113"/>
              <w:jc w:val="both"/>
              <w:textAlignment w:val="center"/>
              <w:rPr>
                <w:rFonts w:ascii="Arial Narrow" w:hAnsi="Arial Narrow"/>
                <w:sz w:val="20"/>
              </w:rPr>
            </w:pPr>
            <w:r w:rsidRPr="0038146C">
              <w:rPr>
                <w:rFonts w:ascii="Arial Narrow" w:hAnsi="Arial Narrow"/>
                <w:sz w:val="20"/>
              </w:rPr>
              <w:t>b. Tener en cuenta la necesidad de destinar los recursos de la cooperación internacional para el desarrollo de iniciativas bajas en emisiones de carbono.</w:t>
            </w:r>
          </w:p>
          <w:p w:rsidR="006D45E7" w:rsidRPr="0038146C" w:rsidRDefault="006D45E7" w:rsidP="00962397">
            <w:pPr>
              <w:autoSpaceDE w:val="0"/>
              <w:autoSpaceDN w:val="0"/>
              <w:spacing w:before="113"/>
              <w:jc w:val="both"/>
              <w:textAlignment w:val="center"/>
              <w:rPr>
                <w:rFonts w:ascii="Arial Narrow" w:hAnsi="Arial Narrow"/>
                <w:sz w:val="20"/>
              </w:rPr>
            </w:pPr>
            <w:r w:rsidRPr="0038146C">
              <w:rPr>
                <w:rFonts w:ascii="Arial Narrow" w:hAnsi="Arial Narrow"/>
                <w:sz w:val="20"/>
              </w:rPr>
              <w:t>c. Fortalecer los esfuerzos para el desarrollo de una Estrategia de crecimiento verde.</w:t>
            </w:r>
          </w:p>
          <w:p w:rsidR="006D45E7" w:rsidRPr="0038146C" w:rsidRDefault="006D45E7" w:rsidP="00962397">
            <w:pPr>
              <w:autoSpaceDE w:val="0"/>
              <w:autoSpaceDN w:val="0"/>
              <w:spacing w:before="113"/>
              <w:jc w:val="both"/>
              <w:textAlignment w:val="center"/>
              <w:rPr>
                <w:rFonts w:ascii="Arial Narrow" w:hAnsi="Arial Narrow"/>
                <w:sz w:val="20"/>
              </w:rPr>
            </w:pPr>
            <w:r w:rsidRPr="0038146C">
              <w:rPr>
                <w:rFonts w:ascii="Arial Narrow" w:hAnsi="Arial Narrow"/>
                <w:sz w:val="20"/>
              </w:rPr>
              <w:t>d. Fortalecer el desarrollo de políticas climáticas, incluyendo instrumentos basados en el mercado, reglamentos y otras políticas para cambiar el comportamiento y fomentar respuestas adecuadas del sector privado.</w:t>
            </w:r>
          </w:p>
          <w:p w:rsidR="006237F5" w:rsidRPr="0038146C" w:rsidRDefault="006D45E7" w:rsidP="00692EE1">
            <w:pPr>
              <w:autoSpaceDE w:val="0"/>
              <w:autoSpaceDN w:val="0"/>
              <w:spacing w:before="113"/>
              <w:jc w:val="both"/>
              <w:textAlignment w:val="center"/>
              <w:rPr>
                <w:rFonts w:ascii="Arial Narrow" w:hAnsi="Arial Narrow"/>
                <w:sz w:val="20"/>
              </w:rPr>
            </w:pPr>
            <w:r w:rsidRPr="0038146C">
              <w:rPr>
                <w:rFonts w:ascii="Arial Narrow" w:hAnsi="Arial Narrow"/>
                <w:sz w:val="20"/>
              </w:rPr>
              <w:t>e. Fortalecer que se apliquen políticas de crecimiento verde, incluyendo el hacer frente al cambio climático de conformidad con los acuerdos internacionales existentes y con base a los principios de libre comercio y la inversión.</w:t>
            </w:r>
          </w:p>
        </w:tc>
      </w:tr>
    </w:tbl>
    <w:p w:rsidR="00BF3C1C" w:rsidRPr="00EE003F" w:rsidRDefault="00BF3C1C" w:rsidP="00BF3C1C">
      <w:pPr>
        <w:suppressAutoHyphens/>
        <w:autoSpaceDE w:val="0"/>
        <w:autoSpaceDN w:val="0"/>
        <w:adjustRightInd w:val="0"/>
        <w:spacing w:before="340" w:after="0" w:line="288" w:lineRule="auto"/>
        <w:textAlignment w:val="center"/>
        <w:rPr>
          <w:rFonts w:ascii="Arial Narrow" w:hAnsi="Arial Narrow" w:cs="Frutiger LT Std 57 Cn"/>
          <w:b/>
          <w:sz w:val="24"/>
          <w:szCs w:val="24"/>
          <w:lang w:val="es-ES_tradnl"/>
          <w14:textOutline w14:w="9525" w14:cap="flat" w14:cmpd="sng" w14:algn="ctr">
            <w14:solidFill>
              <w14:srgbClr w14:val="3F5865"/>
            </w14:solidFill>
            <w14:prstDash w14:val="solid"/>
            <w14:round/>
          </w14:textOutline>
        </w:rPr>
      </w:pPr>
      <w:r w:rsidRPr="00EE003F">
        <w:rPr>
          <w:rFonts w:ascii="Arial Narrow" w:hAnsi="Arial Narrow" w:cs="Frutiger LT Std 57 Cn"/>
          <w:b/>
          <w:noProof/>
          <w:sz w:val="24"/>
          <w:szCs w:val="24"/>
          <w:lang w:eastAsia="es-PE"/>
        </w:rPr>
        <w:drawing>
          <wp:inline distT="0" distB="0" distL="0" distR="0" wp14:anchorId="46DAF106" wp14:editId="585D3CD5">
            <wp:extent cx="4462272" cy="312656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63315" cy="3127291"/>
                    </a:xfrm>
                    <a:prstGeom prst="rect">
                      <a:avLst/>
                    </a:prstGeom>
                    <a:noFill/>
                    <a:ln>
                      <a:noFill/>
                    </a:ln>
                  </pic:spPr>
                </pic:pic>
              </a:graphicData>
            </a:graphic>
          </wp:inline>
        </w:drawing>
      </w:r>
    </w:p>
    <w:p w:rsidR="00BF3C1C" w:rsidRPr="00EE003F" w:rsidRDefault="00BF3C1C" w:rsidP="001A4E17">
      <w:pPr>
        <w:rPr>
          <w:rFonts w:ascii="Arial Narrow" w:hAnsi="Arial Narrow"/>
        </w:rPr>
      </w:pPr>
    </w:p>
    <w:p w:rsidR="00BF3C1C" w:rsidRPr="00EE003F" w:rsidRDefault="00BF3C1C" w:rsidP="001A4E17">
      <w:pPr>
        <w:rPr>
          <w:rFonts w:ascii="Arial Narrow" w:hAnsi="Arial Narrow"/>
        </w:rPr>
      </w:pPr>
      <w:r w:rsidRPr="00EE003F">
        <w:rPr>
          <w:rFonts w:ascii="Arial Narrow" w:hAnsi="Arial Narrow"/>
          <w:noProof/>
          <w:lang w:eastAsia="es-PE"/>
        </w:rPr>
        <w:drawing>
          <wp:inline distT="0" distB="0" distL="0" distR="0" wp14:anchorId="0BF3A66D" wp14:editId="1D445E6B">
            <wp:extent cx="4826635" cy="1884680"/>
            <wp:effectExtent l="0" t="0" r="0" b="127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26635" cy="1884680"/>
                    </a:xfrm>
                    <a:prstGeom prst="rect">
                      <a:avLst/>
                    </a:prstGeom>
                    <a:noFill/>
                    <a:ln>
                      <a:noFill/>
                    </a:ln>
                  </pic:spPr>
                </pic:pic>
              </a:graphicData>
            </a:graphic>
          </wp:inline>
        </w:drawing>
      </w:r>
    </w:p>
    <w:p w:rsidR="0005285B" w:rsidRPr="00EE003F" w:rsidRDefault="00B01641" w:rsidP="001A4E17">
      <w:pPr>
        <w:rPr>
          <w:rFonts w:ascii="Arial Narrow" w:hAnsi="Arial Narrow"/>
        </w:rPr>
      </w:pPr>
      <w:r w:rsidRPr="00EE003F">
        <w:rPr>
          <w:rFonts w:ascii="Arial Narrow" w:hAnsi="Arial Narrow"/>
          <w:noProof/>
          <w:lang w:eastAsia="es-PE"/>
        </w:rPr>
        <w:drawing>
          <wp:inline distT="0" distB="0" distL="0" distR="0" wp14:anchorId="62E6F8E6" wp14:editId="51E77B13">
            <wp:extent cx="4864604" cy="228384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863101" cy="2283139"/>
                    </a:xfrm>
                    <a:prstGeom prst="rect">
                      <a:avLst/>
                    </a:prstGeom>
                    <a:noFill/>
                  </pic:spPr>
                </pic:pic>
              </a:graphicData>
            </a:graphic>
          </wp:inline>
        </w:drawing>
      </w:r>
    </w:p>
    <w:p w:rsidR="00BF3C1C" w:rsidRPr="00EE003F" w:rsidRDefault="00030406" w:rsidP="001A4E17">
      <w:pPr>
        <w:rPr>
          <w:rFonts w:ascii="Arial Narrow" w:hAnsi="Arial Narrow"/>
        </w:rPr>
      </w:pPr>
      <w:r w:rsidRPr="00EE003F">
        <w:rPr>
          <w:noProof/>
          <w:lang w:eastAsia="es-PE"/>
        </w:rPr>
        <w:drawing>
          <wp:inline distT="0" distB="0" distL="0" distR="0" wp14:anchorId="38697AD8" wp14:editId="419A7C5F">
            <wp:extent cx="5400675" cy="3537509"/>
            <wp:effectExtent l="0" t="0" r="0" b="63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400675" cy="3537509"/>
                    </a:xfrm>
                    <a:prstGeom prst="rect">
                      <a:avLst/>
                    </a:prstGeom>
                  </pic:spPr>
                </pic:pic>
              </a:graphicData>
            </a:graphic>
          </wp:inline>
        </w:drawing>
      </w:r>
    </w:p>
    <w:p w:rsidR="00BF3C1C" w:rsidRPr="00EE003F" w:rsidRDefault="00BF3C1C" w:rsidP="00692EE1">
      <w:pPr>
        <w:autoSpaceDE w:val="0"/>
        <w:autoSpaceDN w:val="0"/>
        <w:adjustRightInd w:val="0"/>
        <w:spacing w:before="113" w:after="0" w:line="240" w:lineRule="auto"/>
        <w:jc w:val="both"/>
        <w:textAlignment w:val="center"/>
        <w:rPr>
          <w:rFonts w:ascii="Arial Narrow" w:hAnsi="Arial Narrow" w:cs="Frutiger LT Std 45 Light"/>
          <w:b/>
          <w:spacing w:val="2"/>
          <w:sz w:val="24"/>
          <w:szCs w:val="24"/>
          <w:lang w:val="es-ES_tradnl"/>
        </w:rPr>
      </w:pPr>
      <w:r w:rsidRPr="00EE003F">
        <w:rPr>
          <w:rFonts w:ascii="Arial Narrow" w:hAnsi="Arial Narrow" w:cs="Frutiger LT Std 45 Light"/>
          <w:b/>
          <w:spacing w:val="2"/>
          <w:sz w:val="24"/>
          <w:szCs w:val="24"/>
          <w:lang w:val="es-ES_tradnl"/>
        </w:rPr>
        <w:t>Interpretación:</w:t>
      </w:r>
    </w:p>
    <w:p w:rsidR="00692EE1" w:rsidRPr="00EE003F" w:rsidRDefault="00BF3C1C" w:rsidP="00030406">
      <w:pPr>
        <w:suppressAutoHyphens/>
        <w:autoSpaceDE w:val="0"/>
        <w:autoSpaceDN w:val="0"/>
        <w:adjustRightInd w:val="0"/>
        <w:spacing w:before="113" w:after="0" w:line="240" w:lineRule="auto"/>
        <w:jc w:val="both"/>
        <w:textAlignment w:val="center"/>
        <w:rPr>
          <w:rStyle w:val="subtitulo1"/>
          <w:rFonts w:ascii="Arial Narrow" w:hAnsi="Arial Narrow"/>
          <w:lang w:val="es-ES_tradnl"/>
        </w:rPr>
      </w:pPr>
      <w:r w:rsidRPr="00EE003F">
        <w:rPr>
          <w:rFonts w:ascii="Arial Narrow" w:hAnsi="Arial Narrow" w:cs="Frutiger LT Std 45 Light"/>
          <w:spacing w:val="2"/>
          <w:sz w:val="24"/>
          <w:szCs w:val="24"/>
          <w:lang w:val="es-ES_tradnl"/>
        </w:rPr>
        <w:t>Durante la última década, se ha producido un crecimiento continuo en el valor de este indicador. Con el fin de proseguir en esta senda, actualmente, se vienen desarrollando acciones para mitigar de forma más efectiva los efectos nocivos de los gases invernaderos sobre el medio ambiente. Para los próximos años, se han establecido metas que plantean mejorar la calidad ambiental, a fin de lograr un desarrollo sostenible.</w:t>
      </w:r>
      <w:r w:rsidR="00692EE1" w:rsidRPr="00EE003F">
        <w:rPr>
          <w:rStyle w:val="subtitulo1"/>
          <w:rFonts w:ascii="Arial Narrow" w:hAnsi="Arial Narrow"/>
        </w:rPr>
        <w:br w:type="page"/>
      </w:r>
    </w:p>
    <w:p w:rsidR="0096546A" w:rsidRPr="00EE003F" w:rsidRDefault="0096546A" w:rsidP="0096546A">
      <w:pPr>
        <w:pStyle w:val="Prrafobsico"/>
        <w:suppressAutoHyphens/>
        <w:spacing w:before="567" w:after="113"/>
        <w:rPr>
          <w:rStyle w:val="subtitulo1"/>
          <w:rFonts w:ascii="Arial Narrow" w:hAnsi="Arial Narrow"/>
          <w:color w:val="auto"/>
        </w:rPr>
      </w:pPr>
      <w:r w:rsidRPr="00EE003F">
        <w:rPr>
          <w:rStyle w:val="subtitulo1"/>
          <w:rFonts w:ascii="Arial Narrow" w:hAnsi="Arial Narrow"/>
          <w:color w:val="auto"/>
        </w:rPr>
        <w:t>Objetivo nacional, objetivos específicos y acciones estratégicas</w:t>
      </w:r>
    </w:p>
    <w:tbl>
      <w:tblPr>
        <w:tblStyle w:val="Tablaconcuadrcula"/>
        <w:tblW w:w="0" w:type="auto"/>
        <w:tblLayout w:type="fixed"/>
        <w:tblLook w:val="0000" w:firstRow="0" w:lastRow="0" w:firstColumn="0" w:lastColumn="0" w:noHBand="0" w:noVBand="0"/>
      </w:tblPr>
      <w:tblGrid>
        <w:gridCol w:w="1955"/>
        <w:gridCol w:w="6233"/>
      </w:tblGrid>
      <w:tr w:rsidR="006E3336" w:rsidRPr="00EE003F" w:rsidTr="008C165D">
        <w:trPr>
          <w:trHeight w:val="60"/>
        </w:trPr>
        <w:tc>
          <w:tcPr>
            <w:tcW w:w="8188" w:type="dxa"/>
            <w:gridSpan w:val="2"/>
          </w:tcPr>
          <w:p w:rsidR="0096546A" w:rsidRPr="00EE003F" w:rsidRDefault="0096546A" w:rsidP="0096546A">
            <w:pPr>
              <w:suppressAutoHyphens/>
              <w:autoSpaceDE w:val="0"/>
              <w:autoSpaceDN w:val="0"/>
              <w:adjustRightInd w:val="0"/>
              <w:spacing w:after="200" w:line="288" w:lineRule="auto"/>
              <w:ind w:left="170"/>
              <w:textAlignment w:val="center"/>
              <w:rPr>
                <w:rStyle w:val="cuerpodetextotablas"/>
                <w:rFonts w:ascii="Arial Narrow" w:hAnsi="Arial Narrow"/>
                <w:b/>
                <w:sz w:val="20"/>
                <w:szCs w:val="20"/>
                <w:lang w:val="es-ES_tradnl"/>
              </w:rPr>
            </w:pPr>
            <w:r w:rsidRPr="00EE003F">
              <w:rPr>
                <w:rStyle w:val="cuerpodetextotablas"/>
                <w:rFonts w:ascii="Arial Narrow" w:hAnsi="Arial Narrow"/>
                <w:b/>
                <w:sz w:val="20"/>
                <w:szCs w:val="20"/>
                <w:lang w:val="es-ES_tradnl"/>
              </w:rPr>
              <w:t xml:space="preserve">OBJETIVO NACIONAL: </w:t>
            </w:r>
          </w:p>
          <w:p w:rsidR="0096546A" w:rsidRPr="00EE003F" w:rsidRDefault="0096546A" w:rsidP="0096546A">
            <w:pPr>
              <w:pStyle w:val="BasicParagraph"/>
              <w:tabs>
                <w:tab w:val="left" w:pos="227"/>
              </w:tabs>
              <w:suppressAutoHyphens/>
              <w:spacing w:before="113"/>
              <w:ind w:left="227" w:hanging="227"/>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“Aprovechamiento eficiente, responsable y sostenible de la diversidad biológica, asegurando una calidad ambiental adecuada para la vida saludable de las personas y el desarrollo sostenible del país.”</w:t>
            </w:r>
          </w:p>
        </w:tc>
      </w:tr>
      <w:tr w:rsidR="006E3336" w:rsidRPr="00EE003F" w:rsidTr="008C165D">
        <w:trPr>
          <w:trHeight w:val="60"/>
        </w:trPr>
        <w:tc>
          <w:tcPr>
            <w:tcW w:w="1955" w:type="dxa"/>
          </w:tcPr>
          <w:p w:rsidR="0096546A" w:rsidRPr="00EE003F" w:rsidRDefault="0096546A" w:rsidP="0096546A">
            <w:pPr>
              <w:tabs>
                <w:tab w:val="left" w:pos="227"/>
              </w:tabs>
              <w:suppressAutoHyphens/>
              <w:autoSpaceDE w:val="0"/>
              <w:autoSpaceDN w:val="0"/>
              <w:adjustRightInd w:val="0"/>
              <w:spacing w:before="113" w:after="200" w:line="288" w:lineRule="auto"/>
              <w:ind w:left="227" w:hanging="227"/>
              <w:jc w:val="both"/>
              <w:textAlignment w:val="center"/>
              <w:rPr>
                <w:rStyle w:val="cuerpodetextotablas"/>
                <w:rFonts w:ascii="Arial Narrow" w:hAnsi="Arial Narrow"/>
                <w:b/>
                <w:bCs/>
                <w:sz w:val="20"/>
                <w:szCs w:val="20"/>
                <w:lang w:val="es-ES_tradnl"/>
              </w:rPr>
            </w:pPr>
            <w:r w:rsidRPr="00EE003F">
              <w:rPr>
                <w:rStyle w:val="cuerpodetextotablas"/>
                <w:rFonts w:ascii="Arial Narrow" w:hAnsi="Arial Narrow"/>
                <w:b/>
                <w:sz w:val="20"/>
                <w:szCs w:val="20"/>
                <w:lang w:val="es-ES_tradnl"/>
              </w:rPr>
              <w:t>Objetivos Específicos</w:t>
            </w:r>
          </w:p>
        </w:tc>
        <w:tc>
          <w:tcPr>
            <w:tcW w:w="6233" w:type="dxa"/>
          </w:tcPr>
          <w:p w:rsidR="0096546A" w:rsidRPr="00EE003F" w:rsidRDefault="0096546A" w:rsidP="0096546A">
            <w:pPr>
              <w:tabs>
                <w:tab w:val="left" w:pos="227"/>
              </w:tabs>
              <w:suppressAutoHyphens/>
              <w:autoSpaceDE w:val="0"/>
              <w:autoSpaceDN w:val="0"/>
              <w:adjustRightInd w:val="0"/>
              <w:spacing w:before="113" w:after="200" w:line="288" w:lineRule="auto"/>
              <w:ind w:left="227" w:hanging="227"/>
              <w:jc w:val="center"/>
              <w:textAlignment w:val="center"/>
              <w:rPr>
                <w:rStyle w:val="cuerpodetextotablas"/>
                <w:rFonts w:ascii="Arial Narrow" w:hAnsi="Arial Narrow"/>
                <w:b/>
                <w:sz w:val="20"/>
                <w:szCs w:val="20"/>
                <w:lang w:val="es-ES_tradnl"/>
              </w:rPr>
            </w:pPr>
            <w:r w:rsidRPr="00EE003F">
              <w:rPr>
                <w:rStyle w:val="cuerpodetextotablas"/>
                <w:rFonts w:ascii="Arial Narrow" w:hAnsi="Arial Narrow"/>
                <w:b/>
                <w:sz w:val="20"/>
                <w:szCs w:val="20"/>
                <w:lang w:val="es-ES_tradnl"/>
              </w:rPr>
              <w:t>Acciones Estratégicas</w:t>
            </w:r>
          </w:p>
        </w:tc>
      </w:tr>
      <w:tr w:rsidR="006E3336" w:rsidRPr="00EE003F" w:rsidTr="008C165D">
        <w:trPr>
          <w:trHeight w:val="60"/>
        </w:trPr>
        <w:tc>
          <w:tcPr>
            <w:tcW w:w="1955" w:type="dxa"/>
            <w:vMerge w:val="restart"/>
          </w:tcPr>
          <w:p w:rsidR="00DB61C4" w:rsidRPr="00EE003F" w:rsidRDefault="00DB61C4" w:rsidP="008C165D">
            <w:pPr>
              <w:pStyle w:val="BasicParagraph"/>
              <w:numPr>
                <w:ilvl w:val="0"/>
                <w:numId w:val="90"/>
              </w:numPr>
              <w:suppressAutoHyphens/>
              <w:spacing w:before="113"/>
              <w:ind w:left="284" w:hanging="284"/>
              <w:rPr>
                <w:rFonts w:ascii="Arial Narrow" w:hAnsi="Arial Narrow"/>
                <w:color w:val="auto"/>
                <w:sz w:val="20"/>
                <w:szCs w:val="20"/>
              </w:rPr>
            </w:pPr>
            <w:r w:rsidRPr="00EE003F">
              <w:rPr>
                <w:rStyle w:val="negritatablas"/>
                <w:rFonts w:ascii="Arial Narrow" w:hAnsi="Arial Narrow"/>
                <w:color w:val="auto"/>
                <w:sz w:val="20"/>
                <w:szCs w:val="20"/>
              </w:rPr>
              <w:t>Asegurar una calidad</w:t>
            </w:r>
            <w:r w:rsidRPr="00EE003F">
              <w:rPr>
                <w:rStyle w:val="negritatablas"/>
                <w:rFonts w:ascii="Arial Narrow" w:hAnsi="Arial Narrow"/>
                <w:color w:val="auto"/>
                <w:sz w:val="20"/>
                <w:szCs w:val="20"/>
              </w:rPr>
              <w:br/>
              <w:t>ambiental adecuada</w:t>
            </w:r>
            <w:r w:rsidRPr="00EE003F">
              <w:rPr>
                <w:rStyle w:val="negritatablas"/>
                <w:rFonts w:ascii="Arial Narrow" w:hAnsi="Arial Narrow"/>
                <w:color w:val="auto"/>
                <w:sz w:val="20"/>
                <w:szCs w:val="20"/>
              </w:rPr>
              <w:br/>
              <w:t>para la salud y el</w:t>
            </w:r>
            <w:r w:rsidRPr="00EE003F">
              <w:rPr>
                <w:rStyle w:val="negritatablas"/>
                <w:rFonts w:ascii="Arial Narrow" w:hAnsi="Arial Narrow"/>
                <w:color w:val="auto"/>
                <w:sz w:val="20"/>
                <w:szCs w:val="20"/>
              </w:rPr>
              <w:br/>
              <w:t>desarrollo integral</w:t>
            </w:r>
            <w:r w:rsidRPr="00EE003F">
              <w:rPr>
                <w:rStyle w:val="negritatablas"/>
                <w:rFonts w:ascii="Arial Narrow" w:hAnsi="Arial Narrow"/>
                <w:color w:val="auto"/>
                <w:sz w:val="20"/>
                <w:szCs w:val="20"/>
              </w:rPr>
              <w:br/>
              <w:t>de las personas</w:t>
            </w:r>
          </w:p>
        </w:tc>
        <w:tc>
          <w:tcPr>
            <w:tcW w:w="6233" w:type="dxa"/>
          </w:tcPr>
          <w:p w:rsidR="00DB61C4" w:rsidRPr="00EE003F" w:rsidRDefault="00DB61C4" w:rsidP="008C165D">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Fortalecer el Sistema Nacional de Gestión Ambiental y mejorar el trabajo interinstitucional y las coordinaciones multisectoriales.</w:t>
            </w:r>
          </w:p>
        </w:tc>
      </w:tr>
      <w:tr w:rsidR="006E3336" w:rsidRPr="00EE003F" w:rsidTr="008C165D">
        <w:trPr>
          <w:trHeight w:val="473"/>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8C165D">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Erradicar las actividades ilegales que degradan el ambiente como el narcotráfico, la minería ilegal y la tala ilegal</w:t>
            </w:r>
            <w:r w:rsidR="008F262A" w:rsidRPr="00EE003F">
              <w:rPr>
                <w:rStyle w:val="cuerpodetextotablas"/>
                <w:rFonts w:ascii="Arial Narrow" w:hAnsi="Arial Narrow"/>
                <w:color w:val="auto"/>
                <w:sz w:val="20"/>
                <w:szCs w:val="20"/>
              </w:rPr>
              <w:t>, mitiga</w:t>
            </w:r>
            <w:r w:rsidR="00824805" w:rsidRPr="00EE003F">
              <w:rPr>
                <w:rStyle w:val="cuerpodetextotablas"/>
                <w:rFonts w:ascii="Arial Narrow" w:hAnsi="Arial Narrow"/>
                <w:color w:val="auto"/>
                <w:sz w:val="20"/>
                <w:szCs w:val="20"/>
              </w:rPr>
              <w:t>ndo</w:t>
            </w:r>
            <w:r w:rsidR="008F262A" w:rsidRPr="00EE003F">
              <w:rPr>
                <w:rStyle w:val="cuerpodetextotablas"/>
                <w:rFonts w:ascii="Arial Narrow" w:hAnsi="Arial Narrow"/>
                <w:color w:val="auto"/>
                <w:sz w:val="20"/>
                <w:szCs w:val="20"/>
              </w:rPr>
              <w:t xml:space="preserve"> sus efectos</w:t>
            </w:r>
            <w:r w:rsidR="00824805" w:rsidRPr="00EE003F">
              <w:rPr>
                <w:rStyle w:val="cuerpodetextotablas"/>
                <w:rFonts w:ascii="Arial Narrow" w:hAnsi="Arial Narrow"/>
                <w:color w:val="auto"/>
                <w:sz w:val="20"/>
                <w:szCs w:val="20"/>
              </w:rPr>
              <w:t>.</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386354">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pacing w:val="-2"/>
                <w:sz w:val="20"/>
                <w:szCs w:val="20"/>
              </w:rPr>
              <w:t>Implementar una agenda vinculada a la generación de conocimientos para el crecimiento verde y favorecer las capacidades de las micro y pequeñas empresas para adoptar la innovación verde.</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386354">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pacing w:val="-2"/>
                <w:sz w:val="20"/>
                <w:szCs w:val="20"/>
              </w:rPr>
              <w:t>Implementar el SIG en temas ambientales críticos y aprovechar mejor las herramientas tecnológicas como la teledetección (facilitada a través de alianzas con otros países) y las tecnologías de información y comunicación para la conservación del patrimonio natural del país.</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386354">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Avanzar hacia un sistema de monitoreo e información para el crecimiento verde que incluya los tres pilares del desarrollo sostenible con enfoque prospectivo, de modo que se anticipen situaciones de amenaza a los ecosistemas y se identifiquen oportunidades.</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386354">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Diseñar e implementar las cuentas nacionales ambientales para describir y cuantificar explícitamente los costos ambientales.</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386354">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Educar a la población desde las etapas iniciales sobre la importancia del cuidado del ambiente, de la diversidad biológica y de la prevención frente a desastres y desarrollar las capacidades de los profesionales para el crecimiento verde.</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386354">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Implementar programas de monitoreo, evaluación y reporte de la calidad ambiental más eficientes.</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386354">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Mejorar la calidad de los combustibles líquidos para automotores, uso industrial y doméstico reduciendo el contenido de azufre en el diésel.</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386354">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Promover la instalación de cocinas mejoradas con chimenea y la sustitución por combustibles limpios en los hogares y cocinas comunales.</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386354">
            <w:pPr>
              <w:pStyle w:val="BasicParagraph"/>
              <w:numPr>
                <w:ilvl w:val="0"/>
                <w:numId w:val="30"/>
              </w:numPr>
              <w:tabs>
                <w:tab w:val="left" w:pos="313"/>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Mejorar el sistema de recojo de residuos sólidos, implementar rellenos sanitarios y fomentar el uso de tecnología para su reutilización y la del gas metano.</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8C165D">
            <w:pPr>
              <w:pStyle w:val="BasicParagraph"/>
              <w:numPr>
                <w:ilvl w:val="0"/>
                <w:numId w:val="30"/>
              </w:numPr>
              <w:tabs>
                <w:tab w:val="left" w:pos="313"/>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Diseñar y proponer mecanismos para la prevención y </w:t>
            </w:r>
            <w:r w:rsidR="00824805" w:rsidRPr="00EE003F">
              <w:rPr>
                <w:rStyle w:val="cuerpodetextotablas"/>
                <w:rFonts w:ascii="Arial Narrow" w:hAnsi="Arial Narrow"/>
                <w:color w:val="auto"/>
                <w:sz w:val="20"/>
                <w:szCs w:val="20"/>
              </w:rPr>
              <w:t xml:space="preserve">recuperación gradual </w:t>
            </w:r>
            <w:r w:rsidRPr="00EE003F">
              <w:rPr>
                <w:rStyle w:val="cuerpodetextotablas"/>
                <w:rFonts w:ascii="Arial Narrow" w:hAnsi="Arial Narrow"/>
                <w:color w:val="auto"/>
                <w:sz w:val="20"/>
                <w:szCs w:val="20"/>
              </w:rPr>
              <w:t>de la degradación del suelo.</w:t>
            </w:r>
          </w:p>
        </w:tc>
      </w:tr>
      <w:tr w:rsidR="006E3336" w:rsidRPr="00EE003F" w:rsidTr="008C165D">
        <w:trPr>
          <w:trHeight w:val="60"/>
        </w:trPr>
        <w:tc>
          <w:tcPr>
            <w:tcW w:w="1955" w:type="dxa"/>
            <w:vMerge/>
          </w:tcPr>
          <w:p w:rsidR="00DB61C4" w:rsidRPr="00EE003F" w:rsidRDefault="00DB61C4" w:rsidP="0096546A">
            <w:pPr>
              <w:pStyle w:val="NoParagraphStyle"/>
              <w:spacing w:line="240" w:lineRule="auto"/>
              <w:textAlignment w:val="auto"/>
              <w:rPr>
                <w:rFonts w:ascii="Arial Narrow" w:hAnsi="Arial Narrow"/>
                <w:color w:val="auto"/>
                <w:sz w:val="20"/>
                <w:szCs w:val="20"/>
                <w:lang w:val="es-PE"/>
              </w:rPr>
            </w:pPr>
          </w:p>
        </w:tc>
        <w:tc>
          <w:tcPr>
            <w:tcW w:w="6233" w:type="dxa"/>
          </w:tcPr>
          <w:p w:rsidR="00DB61C4" w:rsidRPr="00EE003F" w:rsidRDefault="00DB61C4" w:rsidP="008C165D">
            <w:pPr>
              <w:pStyle w:val="BasicParagraph"/>
              <w:numPr>
                <w:ilvl w:val="0"/>
                <w:numId w:val="30"/>
              </w:numPr>
              <w:tabs>
                <w:tab w:val="left" w:pos="313"/>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Garantizar que las actividades productivas se manejen con altos estándares ambientales, controlando y sancionando a las empresas que contaminan, pero evitando la sobreregulación.</w:t>
            </w:r>
          </w:p>
        </w:tc>
      </w:tr>
      <w:tr w:rsidR="006E3336" w:rsidRPr="00EE003F" w:rsidTr="008C165D">
        <w:trPr>
          <w:trHeight w:val="60"/>
        </w:trPr>
        <w:tc>
          <w:tcPr>
            <w:tcW w:w="1955" w:type="dxa"/>
            <w:vMerge w:val="restart"/>
          </w:tcPr>
          <w:p w:rsidR="0096546A" w:rsidRPr="00EE003F" w:rsidRDefault="0096546A" w:rsidP="008C165D">
            <w:pPr>
              <w:pStyle w:val="BasicParagraph"/>
              <w:numPr>
                <w:ilvl w:val="0"/>
                <w:numId w:val="90"/>
              </w:numPr>
              <w:suppressAutoHyphens/>
              <w:spacing w:before="113"/>
              <w:ind w:left="284" w:hanging="284"/>
              <w:rPr>
                <w:rStyle w:val="negritatablas"/>
                <w:rFonts w:ascii="Arial Narrow" w:hAnsi="Arial Narrow"/>
                <w:sz w:val="20"/>
                <w:szCs w:val="20"/>
              </w:rPr>
            </w:pPr>
            <w:r w:rsidRPr="00EE003F">
              <w:rPr>
                <w:rStyle w:val="negritatablas"/>
                <w:rFonts w:ascii="Arial Narrow" w:hAnsi="Arial Narrow"/>
                <w:color w:val="auto"/>
                <w:sz w:val="20"/>
                <w:szCs w:val="20"/>
              </w:rPr>
              <w:t>Garantizar la disponibilidad y calidad de los recursos hídricos</w:t>
            </w:r>
          </w:p>
        </w:tc>
        <w:tc>
          <w:tcPr>
            <w:tcW w:w="6233" w:type="dxa"/>
          </w:tcPr>
          <w:p w:rsidR="0096546A" w:rsidRPr="00EE003F" w:rsidRDefault="0096546A" w:rsidP="00DA4F0D">
            <w:pPr>
              <w:pStyle w:val="BasicParagraph"/>
              <w:numPr>
                <w:ilvl w:val="0"/>
                <w:numId w:val="31"/>
              </w:numPr>
              <w:tabs>
                <w:tab w:val="left" w:pos="227"/>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 xml:space="preserve">Garantizar la gestión integrada de las cuencas </w:t>
            </w:r>
            <w:r w:rsidR="00824805" w:rsidRPr="00EE003F">
              <w:rPr>
                <w:rStyle w:val="cuerpodetextotablas"/>
                <w:rFonts w:ascii="Arial Narrow" w:hAnsi="Arial Narrow"/>
                <w:color w:val="auto"/>
                <w:sz w:val="20"/>
                <w:szCs w:val="20"/>
              </w:rPr>
              <w:t xml:space="preserve">hidrográficas </w:t>
            </w:r>
            <w:r w:rsidRPr="00EE003F">
              <w:rPr>
                <w:rStyle w:val="cuerpodetextotablas"/>
                <w:rFonts w:ascii="Arial Narrow" w:hAnsi="Arial Narrow"/>
                <w:color w:val="auto"/>
                <w:sz w:val="20"/>
                <w:szCs w:val="20"/>
              </w:rPr>
              <w:t>con participación ciudadana y promover la creación e implementación de los consejos de recursos hídricos de cuenca.</w:t>
            </w:r>
          </w:p>
        </w:tc>
      </w:tr>
      <w:tr w:rsidR="006E3336" w:rsidRPr="00EE003F" w:rsidTr="008C165D">
        <w:trPr>
          <w:trHeight w:val="60"/>
        </w:trPr>
        <w:tc>
          <w:tcPr>
            <w:tcW w:w="1955" w:type="dxa"/>
            <w:vMerge/>
          </w:tcPr>
          <w:p w:rsidR="0096546A" w:rsidRPr="00EE003F" w:rsidRDefault="0096546A" w:rsidP="00631573">
            <w:pPr>
              <w:pStyle w:val="BasicParagraph"/>
              <w:numPr>
                <w:ilvl w:val="0"/>
                <w:numId w:val="90"/>
              </w:numPr>
              <w:suppressAutoHyphens/>
              <w:spacing w:before="113"/>
              <w:ind w:left="284" w:hanging="284"/>
              <w:rPr>
                <w:rStyle w:val="negritatablas"/>
                <w:rFonts w:ascii="Arial Narrow" w:hAnsi="Arial Narrow"/>
                <w:sz w:val="20"/>
                <w:szCs w:val="20"/>
              </w:rPr>
            </w:pPr>
          </w:p>
        </w:tc>
        <w:tc>
          <w:tcPr>
            <w:tcW w:w="6233" w:type="dxa"/>
          </w:tcPr>
          <w:p w:rsidR="00C67B03" w:rsidRPr="00EE003F" w:rsidRDefault="00C67B03" w:rsidP="00DA4F0D">
            <w:pPr>
              <w:pStyle w:val="BasicParagraph"/>
              <w:numPr>
                <w:ilvl w:val="0"/>
                <w:numId w:val="31"/>
              </w:numPr>
              <w:tabs>
                <w:tab w:val="left" w:pos="227"/>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Promover el uso eficiente del agua para riego agrario, según cultivos y crianzas, mediante la aplicación de riego tecnificado, el tratamiento y uso de aguas residuales</w:t>
            </w:r>
            <w:r w:rsidRPr="00EE003F">
              <w:rPr>
                <w:rStyle w:val="cuerpodetextotablas"/>
                <w:rFonts w:ascii="Arial Narrow" w:hAnsi="Arial Narrow"/>
                <w:color w:val="auto"/>
                <w:sz w:val="20"/>
                <w:szCs w:val="20"/>
                <w:u w:val="single"/>
              </w:rPr>
              <w:t xml:space="preserve"> </w:t>
            </w:r>
            <w:r w:rsidRPr="00EE003F">
              <w:rPr>
                <w:rStyle w:val="cuerpodetextotablas"/>
                <w:rFonts w:ascii="Arial Narrow" w:hAnsi="Arial Narrow"/>
                <w:color w:val="auto"/>
                <w:sz w:val="20"/>
                <w:szCs w:val="20"/>
              </w:rPr>
              <w:t>y mejorar los sistemas de agua potable para reducir el agua no contabilizada.</w:t>
            </w:r>
          </w:p>
        </w:tc>
      </w:tr>
      <w:tr w:rsidR="006E3336" w:rsidRPr="00EE003F" w:rsidTr="008C165D">
        <w:trPr>
          <w:trHeight w:val="60"/>
        </w:trPr>
        <w:tc>
          <w:tcPr>
            <w:tcW w:w="1955" w:type="dxa"/>
            <w:vMerge/>
          </w:tcPr>
          <w:p w:rsidR="0096546A" w:rsidRPr="00EE003F" w:rsidRDefault="0096546A" w:rsidP="00631573">
            <w:pPr>
              <w:pStyle w:val="BasicParagraph"/>
              <w:numPr>
                <w:ilvl w:val="0"/>
                <w:numId w:val="90"/>
              </w:numPr>
              <w:suppressAutoHyphens/>
              <w:spacing w:before="113"/>
              <w:ind w:left="284" w:hanging="284"/>
              <w:rPr>
                <w:rStyle w:val="negritatablas"/>
                <w:rFonts w:ascii="Arial Narrow" w:hAnsi="Arial Narrow"/>
                <w:sz w:val="20"/>
                <w:szCs w:val="20"/>
              </w:rPr>
            </w:pPr>
          </w:p>
        </w:tc>
        <w:tc>
          <w:tcPr>
            <w:tcW w:w="6233" w:type="dxa"/>
          </w:tcPr>
          <w:p w:rsidR="00C67B03" w:rsidRPr="00EE003F" w:rsidRDefault="0096546A" w:rsidP="00DA4F0D">
            <w:pPr>
              <w:pStyle w:val="BasicParagraph"/>
              <w:numPr>
                <w:ilvl w:val="0"/>
                <w:numId w:val="31"/>
              </w:numPr>
              <w:tabs>
                <w:tab w:val="left" w:pos="227"/>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 xml:space="preserve">Desarrollar, rehabilitar, modernizar y conservar infraestructura hidráulica para asegurar el abastecimiento, con el mínimo impacto en los </w:t>
            </w:r>
            <w:r w:rsidR="00C67B03" w:rsidRPr="00EE003F">
              <w:rPr>
                <w:rStyle w:val="cuerpodetextotablas"/>
                <w:rFonts w:ascii="Arial Narrow" w:hAnsi="Arial Narrow"/>
                <w:color w:val="auto"/>
                <w:sz w:val="20"/>
                <w:szCs w:val="20"/>
              </w:rPr>
              <w:t>recursos hídricos</w:t>
            </w:r>
            <w:r w:rsidRPr="00EE003F">
              <w:rPr>
                <w:rStyle w:val="cuerpodetextotablas"/>
                <w:rFonts w:ascii="Arial Narrow" w:hAnsi="Arial Narrow"/>
                <w:color w:val="auto"/>
                <w:sz w:val="20"/>
                <w:szCs w:val="20"/>
              </w:rPr>
              <w:t>.</w:t>
            </w:r>
          </w:p>
        </w:tc>
      </w:tr>
      <w:tr w:rsidR="006E3336" w:rsidRPr="00EE003F" w:rsidTr="008C165D">
        <w:trPr>
          <w:trHeight w:val="60"/>
        </w:trPr>
        <w:tc>
          <w:tcPr>
            <w:tcW w:w="1955" w:type="dxa"/>
            <w:vMerge/>
          </w:tcPr>
          <w:p w:rsidR="00C67B03" w:rsidRPr="00EE003F" w:rsidRDefault="00C67B03" w:rsidP="00631573">
            <w:pPr>
              <w:pStyle w:val="BasicParagraph"/>
              <w:numPr>
                <w:ilvl w:val="0"/>
                <w:numId w:val="90"/>
              </w:numPr>
              <w:suppressAutoHyphens/>
              <w:spacing w:before="113"/>
              <w:ind w:left="284" w:hanging="284"/>
              <w:rPr>
                <w:rStyle w:val="negritatablas"/>
                <w:rFonts w:ascii="Arial Narrow" w:hAnsi="Arial Narrow"/>
                <w:sz w:val="20"/>
                <w:szCs w:val="20"/>
              </w:rPr>
            </w:pPr>
          </w:p>
        </w:tc>
        <w:tc>
          <w:tcPr>
            <w:tcW w:w="6233" w:type="dxa"/>
          </w:tcPr>
          <w:p w:rsidR="00C67B03" w:rsidRPr="00EE003F" w:rsidRDefault="00C67B03" w:rsidP="00DA4F0D">
            <w:pPr>
              <w:pStyle w:val="BasicParagraph"/>
              <w:numPr>
                <w:ilvl w:val="0"/>
                <w:numId w:val="31"/>
              </w:numPr>
              <w:tabs>
                <w:tab w:val="left" w:pos="227"/>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Impulsar la forestación y reforestación en cabeceras de cuenca para procesos de siembra y cosecha de agua y conservación de suelos.</w:t>
            </w:r>
          </w:p>
        </w:tc>
      </w:tr>
      <w:tr w:rsidR="006E3336" w:rsidRPr="00EE003F" w:rsidTr="008C165D">
        <w:trPr>
          <w:trHeight w:val="60"/>
        </w:trPr>
        <w:tc>
          <w:tcPr>
            <w:tcW w:w="1955" w:type="dxa"/>
            <w:vMerge/>
          </w:tcPr>
          <w:p w:rsidR="00C67B03" w:rsidRPr="00EE003F" w:rsidRDefault="00C67B03" w:rsidP="00631573">
            <w:pPr>
              <w:pStyle w:val="BasicParagraph"/>
              <w:numPr>
                <w:ilvl w:val="0"/>
                <w:numId w:val="90"/>
              </w:numPr>
              <w:suppressAutoHyphens/>
              <w:spacing w:before="113"/>
              <w:ind w:left="284" w:hanging="284"/>
              <w:rPr>
                <w:rStyle w:val="negritatablas"/>
                <w:rFonts w:ascii="Arial Narrow" w:hAnsi="Arial Narrow"/>
                <w:sz w:val="20"/>
                <w:szCs w:val="20"/>
              </w:rPr>
            </w:pPr>
          </w:p>
        </w:tc>
        <w:tc>
          <w:tcPr>
            <w:tcW w:w="6233" w:type="dxa"/>
          </w:tcPr>
          <w:p w:rsidR="00C67B03" w:rsidRPr="00EE003F" w:rsidRDefault="00C67B03" w:rsidP="00DA4F0D">
            <w:pPr>
              <w:pStyle w:val="BasicParagraph"/>
              <w:numPr>
                <w:ilvl w:val="0"/>
                <w:numId w:val="31"/>
              </w:numPr>
              <w:tabs>
                <w:tab w:val="left" w:pos="227"/>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 xml:space="preserve">Realizar una evaluación integral de las cuencas hidrográficas en forma individual, identificar presiones, puntos críticos de contaminación y deterioro de las funciones de provisión de agua. </w:t>
            </w:r>
          </w:p>
        </w:tc>
      </w:tr>
      <w:tr w:rsidR="00DA4F0D" w:rsidRPr="00EE003F" w:rsidTr="008C165D">
        <w:trPr>
          <w:trHeight w:val="60"/>
        </w:trPr>
        <w:tc>
          <w:tcPr>
            <w:tcW w:w="1955" w:type="dxa"/>
            <w:vMerge w:val="restart"/>
          </w:tcPr>
          <w:p w:rsidR="00DA4F0D" w:rsidRPr="00EE003F" w:rsidRDefault="00DA4F0D" w:rsidP="008C165D">
            <w:pPr>
              <w:pStyle w:val="BasicParagraph"/>
              <w:numPr>
                <w:ilvl w:val="0"/>
                <w:numId w:val="90"/>
              </w:numPr>
              <w:suppressAutoHyphens/>
              <w:spacing w:before="113"/>
              <w:ind w:left="284" w:hanging="284"/>
              <w:rPr>
                <w:rStyle w:val="negritatablas"/>
                <w:rFonts w:ascii="Arial Narrow" w:hAnsi="Arial Narrow"/>
                <w:sz w:val="20"/>
                <w:szCs w:val="20"/>
              </w:rPr>
            </w:pPr>
            <w:r w:rsidRPr="00EE003F">
              <w:rPr>
                <w:rStyle w:val="negritatablas"/>
                <w:rFonts w:ascii="Arial Narrow" w:hAnsi="Arial Narrow"/>
                <w:color w:val="auto"/>
                <w:sz w:val="20"/>
                <w:szCs w:val="20"/>
              </w:rPr>
              <w:t>Promover la  conservación y aprovechamiento sostenible de la diversidad biológica</w:t>
            </w:r>
          </w:p>
        </w:tc>
        <w:tc>
          <w:tcPr>
            <w:tcW w:w="6233" w:type="dxa"/>
          </w:tcPr>
          <w:p w:rsidR="00DA4F0D" w:rsidRPr="00EE003F" w:rsidRDefault="00DA4F0D" w:rsidP="00DA4F0D">
            <w:pPr>
              <w:pStyle w:val="BasicParagraph"/>
              <w:numPr>
                <w:ilvl w:val="0"/>
                <w:numId w:val="32"/>
              </w:numPr>
              <w:tabs>
                <w:tab w:val="left" w:pos="227"/>
              </w:tabs>
              <w:suppressAutoHyphens/>
              <w:spacing w:before="113"/>
              <w:ind w:left="313" w:hanging="283"/>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Inventariar y monitorear los recursos de la diversidad biológica y promover estudios de valoración económica del patrimonio natural y el pago por servicios ambientales.</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DA4F0D">
            <w:pPr>
              <w:pStyle w:val="BasicParagraph"/>
              <w:numPr>
                <w:ilvl w:val="0"/>
                <w:numId w:val="32"/>
              </w:numPr>
              <w:tabs>
                <w:tab w:val="left" w:pos="227"/>
              </w:tabs>
              <w:suppressAutoHyphens/>
              <w:spacing w:before="113"/>
              <w:ind w:left="313" w:hanging="283"/>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Actualizar el estudio de suelos, contribuyendo a la clasificación de tierras por su capacidad de uso mayor a nivel nacional.</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8C165D">
            <w:pPr>
              <w:pStyle w:val="BasicParagraph"/>
              <w:numPr>
                <w:ilvl w:val="0"/>
                <w:numId w:val="32"/>
              </w:numPr>
              <w:tabs>
                <w:tab w:val="left" w:pos="227"/>
              </w:tabs>
              <w:suppressAutoHyphens/>
              <w:spacing w:before="113"/>
              <w:ind w:left="313" w:hanging="283"/>
              <w:jc w:val="both"/>
              <w:rPr>
                <w:rStyle w:val="cuerpodetextotablas"/>
                <w:rFonts w:ascii="Arial Narrow" w:hAnsi="Arial Narrow"/>
                <w:color w:val="auto"/>
                <w:sz w:val="20"/>
                <w:szCs w:val="20"/>
                <w:lang w:val="es-PE"/>
              </w:rPr>
            </w:pPr>
            <w:r w:rsidRPr="00EE003F">
              <w:rPr>
                <w:rStyle w:val="cuerpodetextotablas"/>
                <w:rFonts w:ascii="Arial Narrow" w:hAnsi="Arial Narrow"/>
                <w:sz w:val="20"/>
                <w:szCs w:val="20"/>
              </w:rPr>
              <w:t>Conservar y manejar los suelos según su capacidad de uso mayor con fines de seguridad alimentaria y promoción de la agricultura familiar.</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8C165D">
            <w:pPr>
              <w:pStyle w:val="BasicParagraph"/>
              <w:numPr>
                <w:ilvl w:val="0"/>
                <w:numId w:val="32"/>
              </w:numPr>
              <w:tabs>
                <w:tab w:val="left" w:pos="227"/>
              </w:tabs>
              <w:suppressAutoHyphens/>
              <w:spacing w:before="113"/>
              <w:ind w:left="313" w:hanging="283"/>
              <w:jc w:val="both"/>
              <w:rPr>
                <w:rStyle w:val="cuerpodetextotablas"/>
                <w:rFonts w:ascii="Arial Narrow" w:hAnsi="Arial Narrow"/>
                <w:sz w:val="20"/>
                <w:szCs w:val="20"/>
              </w:rPr>
            </w:pPr>
            <w:r w:rsidRPr="00EE003F">
              <w:rPr>
                <w:rStyle w:val="cuerpodetextotablas"/>
                <w:rFonts w:ascii="Arial Narrow" w:hAnsi="Arial Narrow"/>
                <w:sz w:val="20"/>
                <w:szCs w:val="20"/>
              </w:rPr>
              <w:t>Fomentar el mayor valor agregado a los productos de la diversidad biológica, a través de la promoción de mercados orgánicos y nutraséuticos</w:t>
            </w:r>
            <w:r w:rsidRPr="00EE003F">
              <w:rPr>
                <w:rStyle w:val="cuerpodetextotablas"/>
                <w:rFonts w:ascii="Arial Narrow" w:hAnsi="Arial Narrow"/>
                <w:sz w:val="20"/>
                <w:szCs w:val="20"/>
                <w:vertAlign w:val="superscript"/>
              </w:rPr>
              <w:footnoteReference w:id="43"/>
            </w:r>
            <w:r w:rsidRPr="00EE003F">
              <w:rPr>
                <w:rStyle w:val="cuerpodetextotablas"/>
                <w:rFonts w:ascii="Arial Narrow" w:hAnsi="Arial Narrow"/>
                <w:sz w:val="20"/>
                <w:szCs w:val="20"/>
              </w:rPr>
              <w:t>.</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DA4F0D">
            <w:pPr>
              <w:pStyle w:val="BasicParagraph"/>
              <w:numPr>
                <w:ilvl w:val="0"/>
                <w:numId w:val="32"/>
              </w:numPr>
              <w:tabs>
                <w:tab w:val="left" w:pos="227"/>
              </w:tabs>
              <w:suppressAutoHyphens/>
              <w:spacing w:before="113"/>
              <w:ind w:left="313" w:hanging="283"/>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Conservar y manejar racionalmente el ecosistema de praderas nativas altoandinas, que soportan el 80% de la ganadería nacional y donde se encuentra una población mayoritariamente en pobreza y extrema pobreza.</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DA4F0D">
            <w:pPr>
              <w:pStyle w:val="BasicParagraph"/>
              <w:numPr>
                <w:ilvl w:val="0"/>
                <w:numId w:val="32"/>
              </w:numPr>
              <w:tabs>
                <w:tab w:val="left" w:pos="227"/>
              </w:tabs>
              <w:suppressAutoHyphens/>
              <w:spacing w:before="113"/>
              <w:ind w:left="313" w:hanging="283"/>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Fomentar la creación de redes de investigación sobre diversidad biológica, Bancos de Germoplasma y generar patentes.</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DA4F0D">
            <w:pPr>
              <w:pStyle w:val="BasicParagraph"/>
              <w:numPr>
                <w:ilvl w:val="0"/>
                <w:numId w:val="32"/>
              </w:numPr>
              <w:tabs>
                <w:tab w:val="left" w:pos="227"/>
              </w:tabs>
              <w:suppressAutoHyphens/>
              <w:spacing w:before="113"/>
              <w:ind w:left="313" w:hanging="283"/>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Fomentar el mayor valor agregado a los productos de la diversidad biológica, a través del biocomercio.</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8C165D">
            <w:pPr>
              <w:pStyle w:val="BasicParagraph"/>
              <w:numPr>
                <w:ilvl w:val="0"/>
                <w:numId w:val="32"/>
              </w:numPr>
              <w:tabs>
                <w:tab w:val="left" w:pos="227"/>
              </w:tabs>
              <w:suppressAutoHyphens/>
              <w:spacing w:before="113"/>
              <w:ind w:left="313" w:hanging="283"/>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Asegurar las condiciones adecuadas para el manejo integral de bosques, impulsando la reforestación y  reposición de los recursos forestales.</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DA4F0D">
            <w:pPr>
              <w:pStyle w:val="BasicParagraph"/>
              <w:numPr>
                <w:ilvl w:val="0"/>
                <w:numId w:val="32"/>
              </w:numPr>
              <w:tabs>
                <w:tab w:val="left" w:pos="227"/>
              </w:tabs>
              <w:suppressAutoHyphens/>
              <w:spacing w:before="113"/>
              <w:ind w:left="313" w:hanging="283"/>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Elaborar el catastro de tierras disponibles para la reforestación y fomentar la asociación entre las comunidades campesinas y las empresas, así como culminar la titulación de tierras en la Amazonía.</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DA4F0D">
            <w:pPr>
              <w:pStyle w:val="BasicParagraph"/>
              <w:numPr>
                <w:ilvl w:val="0"/>
                <w:numId w:val="32"/>
              </w:numPr>
              <w:tabs>
                <w:tab w:val="left" w:pos="227"/>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y generar mejores condiciones para la implementación del saneamiento físico- legal, formalización y titulación de la propiedad agraria.</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DA4F0D">
            <w:pPr>
              <w:pStyle w:val="BasicParagraph"/>
              <w:numPr>
                <w:ilvl w:val="0"/>
                <w:numId w:val="32"/>
              </w:numPr>
              <w:tabs>
                <w:tab w:val="left" w:pos="227"/>
              </w:tabs>
              <w:suppressAutoHyphens/>
              <w:spacing w:before="113"/>
              <w:ind w:left="313" w:hanging="283"/>
              <w:jc w:val="both"/>
              <w:rPr>
                <w:rStyle w:val="cuerpodetextotablas"/>
                <w:rFonts w:ascii="Arial Narrow" w:hAnsi="Arial Narrow"/>
                <w:sz w:val="20"/>
                <w:szCs w:val="20"/>
              </w:rPr>
            </w:pPr>
            <w:r w:rsidRPr="00EE003F">
              <w:rPr>
                <w:rStyle w:val="cuerpodetextotablas"/>
                <w:rFonts w:ascii="Arial Narrow" w:hAnsi="Arial Narrow"/>
                <w:color w:val="auto"/>
                <w:sz w:val="20"/>
                <w:szCs w:val="20"/>
              </w:rPr>
              <w:t>Atraer las inversiones hacia programas de reforestación, sobre todo en áreas degradadas y con especies nativas y asociarlos con industrias de transformación y exportación.</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8D0B6B">
            <w:pPr>
              <w:pStyle w:val="BasicParagraph"/>
              <w:numPr>
                <w:ilvl w:val="0"/>
                <w:numId w:val="32"/>
              </w:numPr>
              <w:tabs>
                <w:tab w:val="left" w:pos="227"/>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Monitorear continuamente las condiciones marinas y controlar la sobrepesca, así como supervisar y fiscalizar el manejo sostenible de los recursos pesqueros.</w:t>
            </w:r>
          </w:p>
        </w:tc>
      </w:tr>
      <w:tr w:rsidR="00DA4F0D" w:rsidRPr="00EE003F" w:rsidTr="008C165D">
        <w:trPr>
          <w:trHeight w:val="60"/>
        </w:trPr>
        <w:tc>
          <w:tcPr>
            <w:tcW w:w="1955" w:type="dxa"/>
            <w:vMerge/>
          </w:tcPr>
          <w:p w:rsidR="00DA4F0D" w:rsidRPr="00EE003F" w:rsidRDefault="00DA4F0D" w:rsidP="0096546A">
            <w:pPr>
              <w:pStyle w:val="NoParagraphStyle"/>
              <w:spacing w:line="240" w:lineRule="auto"/>
              <w:textAlignment w:val="auto"/>
              <w:rPr>
                <w:rFonts w:ascii="Arial Narrow" w:hAnsi="Arial Narrow"/>
                <w:color w:val="auto"/>
                <w:sz w:val="20"/>
                <w:szCs w:val="20"/>
                <w:lang w:val="es-PE"/>
              </w:rPr>
            </w:pPr>
          </w:p>
        </w:tc>
        <w:tc>
          <w:tcPr>
            <w:tcW w:w="6233" w:type="dxa"/>
          </w:tcPr>
          <w:p w:rsidR="00DA4F0D" w:rsidRPr="00EE003F" w:rsidRDefault="00DA4F0D" w:rsidP="008D0B6B">
            <w:pPr>
              <w:pStyle w:val="BasicParagraph"/>
              <w:numPr>
                <w:ilvl w:val="0"/>
                <w:numId w:val="32"/>
              </w:numPr>
              <w:tabs>
                <w:tab w:val="left" w:pos="227"/>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Fomentar la valorización económica de los recursos naturales, de la diversidad biológica y de los servicios ecosistémicos para la toma de decisiones y asegurar la provisión de los mismos para el beneficio de la sociedad.</w:t>
            </w:r>
          </w:p>
        </w:tc>
      </w:tr>
      <w:tr w:rsidR="006E3336" w:rsidRPr="00EE003F" w:rsidTr="008C165D">
        <w:trPr>
          <w:trHeight w:val="60"/>
        </w:trPr>
        <w:tc>
          <w:tcPr>
            <w:tcW w:w="1955" w:type="dxa"/>
            <w:vMerge w:val="restart"/>
          </w:tcPr>
          <w:p w:rsidR="003A2969" w:rsidRPr="00EE003F" w:rsidRDefault="003A2969" w:rsidP="008C165D">
            <w:pPr>
              <w:pStyle w:val="BasicParagraph"/>
              <w:numPr>
                <w:ilvl w:val="0"/>
                <w:numId w:val="90"/>
              </w:numPr>
              <w:suppressAutoHyphens/>
              <w:spacing w:before="113"/>
              <w:ind w:left="284" w:hanging="284"/>
              <w:rPr>
                <w:rStyle w:val="negritatablas"/>
                <w:rFonts w:ascii="Arial Narrow" w:hAnsi="Arial Narrow"/>
                <w:sz w:val="20"/>
                <w:szCs w:val="20"/>
              </w:rPr>
            </w:pPr>
            <w:r w:rsidRPr="00EE003F">
              <w:rPr>
                <w:rStyle w:val="negritatablas"/>
                <w:rFonts w:ascii="Arial Narrow" w:hAnsi="Arial Narrow"/>
                <w:sz w:val="20"/>
                <w:szCs w:val="20"/>
              </w:rPr>
              <w:t>Disminuir la vulnerabilidad ante el cambio climático y promover una economía baja en carbono, impulsando la conservación de bosques</w:t>
            </w:r>
          </w:p>
        </w:tc>
        <w:tc>
          <w:tcPr>
            <w:tcW w:w="6233" w:type="dxa"/>
          </w:tcPr>
          <w:p w:rsidR="003A2969" w:rsidRPr="00EE003F" w:rsidRDefault="003A2969" w:rsidP="00DA4F0D">
            <w:pPr>
              <w:pStyle w:val="BasicParagraph"/>
              <w:numPr>
                <w:ilvl w:val="0"/>
                <w:numId w:val="33"/>
              </w:numPr>
              <w:tabs>
                <w:tab w:val="left" w:pos="227"/>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Promover la ecoeficiencia en el sector público y privado, e incentivar especialmente la eficiencia energética.</w:t>
            </w:r>
          </w:p>
        </w:tc>
      </w:tr>
      <w:tr w:rsidR="006E3336" w:rsidRPr="00EE003F" w:rsidTr="008C165D">
        <w:trPr>
          <w:trHeight w:val="60"/>
        </w:trPr>
        <w:tc>
          <w:tcPr>
            <w:tcW w:w="1955" w:type="dxa"/>
            <w:vMerge/>
          </w:tcPr>
          <w:p w:rsidR="003A2969" w:rsidRPr="00EE003F" w:rsidRDefault="003A2969" w:rsidP="00631573">
            <w:pPr>
              <w:pStyle w:val="BasicParagraph"/>
              <w:numPr>
                <w:ilvl w:val="0"/>
                <w:numId w:val="90"/>
              </w:numPr>
              <w:suppressAutoHyphens/>
              <w:spacing w:before="113"/>
              <w:ind w:left="284" w:hanging="284"/>
              <w:rPr>
                <w:rStyle w:val="negritatablas"/>
                <w:rFonts w:ascii="Arial Narrow" w:hAnsi="Arial Narrow"/>
                <w:sz w:val="20"/>
                <w:szCs w:val="20"/>
              </w:rPr>
            </w:pPr>
          </w:p>
        </w:tc>
        <w:tc>
          <w:tcPr>
            <w:tcW w:w="6233" w:type="dxa"/>
          </w:tcPr>
          <w:p w:rsidR="003A2969" w:rsidRPr="00EE003F" w:rsidRDefault="003A2969" w:rsidP="00DA4F0D">
            <w:pPr>
              <w:pStyle w:val="BasicParagraph"/>
              <w:numPr>
                <w:ilvl w:val="0"/>
                <w:numId w:val="33"/>
              </w:numPr>
              <w:tabs>
                <w:tab w:val="left" w:pos="227"/>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 xml:space="preserve"> Promover el uso de instrumentos que fomenten el crecimiento verde y eliminar los subsidios que ocasionan impactos ambientales negativos, en especial para los combustibles fósiles</w:t>
            </w:r>
          </w:p>
        </w:tc>
      </w:tr>
      <w:tr w:rsidR="006E3336" w:rsidRPr="00EE003F" w:rsidTr="008C165D">
        <w:trPr>
          <w:trHeight w:val="60"/>
        </w:trPr>
        <w:tc>
          <w:tcPr>
            <w:tcW w:w="1955" w:type="dxa"/>
            <w:vMerge/>
          </w:tcPr>
          <w:p w:rsidR="003A2969" w:rsidRPr="00EE003F" w:rsidRDefault="003A2969" w:rsidP="00631573">
            <w:pPr>
              <w:pStyle w:val="BasicParagraph"/>
              <w:numPr>
                <w:ilvl w:val="0"/>
                <w:numId w:val="90"/>
              </w:numPr>
              <w:suppressAutoHyphens/>
              <w:spacing w:before="113"/>
              <w:ind w:left="284" w:hanging="284"/>
              <w:rPr>
                <w:rStyle w:val="negritatablas"/>
                <w:rFonts w:ascii="Arial Narrow" w:hAnsi="Arial Narrow"/>
                <w:sz w:val="20"/>
                <w:szCs w:val="20"/>
              </w:rPr>
            </w:pPr>
          </w:p>
        </w:tc>
        <w:tc>
          <w:tcPr>
            <w:tcW w:w="6233" w:type="dxa"/>
          </w:tcPr>
          <w:p w:rsidR="003A2969" w:rsidRPr="00EE003F" w:rsidRDefault="003A2969" w:rsidP="00DA4F0D">
            <w:pPr>
              <w:pStyle w:val="BasicParagraph"/>
              <w:numPr>
                <w:ilvl w:val="0"/>
                <w:numId w:val="33"/>
              </w:numPr>
              <w:tabs>
                <w:tab w:val="left" w:pos="227"/>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Fortalecer la capacidad adaptativa al cambio climático mediante el manejo eficiente de los ecosistemas.</w:t>
            </w:r>
          </w:p>
        </w:tc>
      </w:tr>
      <w:tr w:rsidR="006E3336" w:rsidRPr="00EE003F" w:rsidTr="008C165D">
        <w:trPr>
          <w:trHeight w:val="60"/>
        </w:trPr>
        <w:tc>
          <w:tcPr>
            <w:tcW w:w="1955" w:type="dxa"/>
            <w:vMerge/>
          </w:tcPr>
          <w:p w:rsidR="003A2969" w:rsidRPr="00EE003F" w:rsidRDefault="003A2969" w:rsidP="00631573">
            <w:pPr>
              <w:pStyle w:val="BasicParagraph"/>
              <w:numPr>
                <w:ilvl w:val="0"/>
                <w:numId w:val="90"/>
              </w:numPr>
              <w:suppressAutoHyphens/>
              <w:spacing w:before="113"/>
              <w:ind w:left="284" w:hanging="284"/>
              <w:rPr>
                <w:rStyle w:val="negritatablas"/>
                <w:rFonts w:ascii="Arial Narrow" w:hAnsi="Arial Narrow"/>
                <w:sz w:val="20"/>
                <w:szCs w:val="20"/>
              </w:rPr>
            </w:pPr>
          </w:p>
        </w:tc>
        <w:tc>
          <w:tcPr>
            <w:tcW w:w="6233" w:type="dxa"/>
          </w:tcPr>
          <w:p w:rsidR="003A2969" w:rsidRPr="00EE003F" w:rsidRDefault="003A2969" w:rsidP="00DA4F0D">
            <w:pPr>
              <w:pStyle w:val="BasicParagraph"/>
              <w:numPr>
                <w:ilvl w:val="0"/>
                <w:numId w:val="33"/>
              </w:numPr>
              <w:tabs>
                <w:tab w:val="left" w:pos="227"/>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Repotenciar las unidades de monitoreo, investigación y predicción climatológica e inventariar en forma continua los gases de efecto invernadero.</w:t>
            </w:r>
          </w:p>
        </w:tc>
      </w:tr>
      <w:tr w:rsidR="006E3336" w:rsidRPr="00EE003F" w:rsidTr="008C165D">
        <w:trPr>
          <w:trHeight w:val="60"/>
        </w:trPr>
        <w:tc>
          <w:tcPr>
            <w:tcW w:w="1955" w:type="dxa"/>
            <w:vMerge/>
          </w:tcPr>
          <w:p w:rsidR="003A2969" w:rsidRPr="00EE003F" w:rsidRDefault="003A2969" w:rsidP="00631573">
            <w:pPr>
              <w:pStyle w:val="BasicParagraph"/>
              <w:numPr>
                <w:ilvl w:val="0"/>
                <w:numId w:val="90"/>
              </w:numPr>
              <w:suppressAutoHyphens/>
              <w:spacing w:before="113"/>
              <w:ind w:left="284" w:hanging="284"/>
              <w:rPr>
                <w:rStyle w:val="negritatablas"/>
                <w:rFonts w:ascii="Arial Narrow" w:hAnsi="Arial Narrow"/>
                <w:sz w:val="20"/>
                <w:szCs w:val="20"/>
              </w:rPr>
            </w:pPr>
          </w:p>
        </w:tc>
        <w:tc>
          <w:tcPr>
            <w:tcW w:w="6233" w:type="dxa"/>
          </w:tcPr>
          <w:p w:rsidR="003A2969" w:rsidRPr="00EE003F" w:rsidRDefault="003A2969" w:rsidP="00DA4F0D">
            <w:pPr>
              <w:pStyle w:val="BasicParagraph"/>
              <w:numPr>
                <w:ilvl w:val="0"/>
                <w:numId w:val="33"/>
              </w:numPr>
              <w:tabs>
                <w:tab w:val="left" w:pos="227"/>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Aprovechar las oportunidades que genera el cambio climático para atraer financiamiento hacia actividades de desarrollo sostenible.</w:t>
            </w:r>
          </w:p>
        </w:tc>
      </w:tr>
      <w:tr w:rsidR="006E3336" w:rsidRPr="00EE003F" w:rsidTr="008C165D">
        <w:trPr>
          <w:trHeight w:val="60"/>
        </w:trPr>
        <w:tc>
          <w:tcPr>
            <w:tcW w:w="1955" w:type="dxa"/>
            <w:vMerge/>
          </w:tcPr>
          <w:p w:rsidR="003A2969" w:rsidRPr="00EE003F" w:rsidRDefault="003A2969" w:rsidP="00631573">
            <w:pPr>
              <w:pStyle w:val="BasicParagraph"/>
              <w:numPr>
                <w:ilvl w:val="0"/>
                <w:numId w:val="90"/>
              </w:numPr>
              <w:suppressAutoHyphens/>
              <w:spacing w:before="113"/>
              <w:ind w:left="284" w:hanging="284"/>
              <w:rPr>
                <w:rStyle w:val="negritatablas"/>
                <w:rFonts w:ascii="Arial Narrow" w:hAnsi="Arial Narrow"/>
                <w:sz w:val="20"/>
                <w:szCs w:val="20"/>
              </w:rPr>
            </w:pPr>
          </w:p>
        </w:tc>
        <w:tc>
          <w:tcPr>
            <w:tcW w:w="6233" w:type="dxa"/>
          </w:tcPr>
          <w:p w:rsidR="003A2969" w:rsidRPr="00EE003F" w:rsidRDefault="003A2969" w:rsidP="00DA4F0D">
            <w:pPr>
              <w:pStyle w:val="BasicParagraph"/>
              <w:numPr>
                <w:ilvl w:val="0"/>
                <w:numId w:val="33"/>
              </w:numPr>
              <w:tabs>
                <w:tab w:val="left" w:pos="227"/>
              </w:tabs>
              <w:suppressAutoHyphens/>
              <w:spacing w:before="113"/>
              <w:ind w:left="313" w:hanging="283"/>
              <w:jc w:val="both"/>
              <w:rPr>
                <w:rStyle w:val="cuerpodetextotablas"/>
                <w:rFonts w:ascii="Arial Narrow" w:hAnsi="Arial Narrow"/>
                <w:color w:val="auto"/>
                <w:sz w:val="20"/>
                <w:szCs w:val="20"/>
              </w:rPr>
            </w:pPr>
            <w:r w:rsidRPr="00EE003F">
              <w:rPr>
                <w:rStyle w:val="cuerpodetextotablas"/>
                <w:rFonts w:ascii="Arial Narrow" w:hAnsi="Arial Narrow"/>
                <w:color w:val="auto"/>
                <w:sz w:val="20"/>
                <w:szCs w:val="20"/>
              </w:rPr>
              <w:t>Implementar con prioridad las acciones que representen intersecciones entre las agendas de adaptación y mitigación, como la conservación y aprovechamiento sostenible de los bosques.</w:t>
            </w:r>
          </w:p>
        </w:tc>
      </w:tr>
      <w:tr w:rsidR="006E3336" w:rsidRPr="00EE003F" w:rsidTr="008C165D">
        <w:trPr>
          <w:trHeight w:val="60"/>
        </w:trPr>
        <w:tc>
          <w:tcPr>
            <w:tcW w:w="1955" w:type="dxa"/>
            <w:vMerge w:val="restart"/>
          </w:tcPr>
          <w:p w:rsidR="003A2969" w:rsidRPr="00EE003F" w:rsidRDefault="003A2969" w:rsidP="008C165D">
            <w:pPr>
              <w:pStyle w:val="BasicParagraph"/>
              <w:numPr>
                <w:ilvl w:val="0"/>
                <w:numId w:val="90"/>
              </w:numPr>
              <w:suppressAutoHyphens/>
              <w:spacing w:before="113"/>
              <w:ind w:left="284" w:hanging="284"/>
              <w:rPr>
                <w:rStyle w:val="negritatablas"/>
                <w:rFonts w:ascii="Arial Narrow" w:hAnsi="Arial Narrow"/>
                <w:sz w:val="20"/>
                <w:szCs w:val="20"/>
              </w:rPr>
            </w:pPr>
            <w:r w:rsidRPr="00EE003F">
              <w:rPr>
                <w:rStyle w:val="negritatablas"/>
                <w:rFonts w:ascii="Arial Narrow" w:hAnsi="Arial Narrow"/>
                <w:color w:val="auto"/>
                <w:sz w:val="20"/>
                <w:szCs w:val="20"/>
              </w:rPr>
              <w:t>Reducir la vulnerabilidad de la población y sus medios de vida ante el riesgo de desastres</w:t>
            </w:r>
          </w:p>
        </w:tc>
        <w:tc>
          <w:tcPr>
            <w:tcW w:w="6233" w:type="dxa"/>
          </w:tcPr>
          <w:p w:rsidR="003A2969" w:rsidRPr="00EE003F" w:rsidRDefault="003A2969" w:rsidP="00DA4F0D">
            <w:pPr>
              <w:pStyle w:val="BasicParagraph"/>
              <w:numPr>
                <w:ilvl w:val="0"/>
                <w:numId w:val="34"/>
              </w:numPr>
              <w:tabs>
                <w:tab w:val="left" w:pos="227"/>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Implementar políticas de ciudades resilientes a escala municipal y promover la adopción de tecnologías que reduzcan la vulnerabilidad para la construcción de infraestructura.</w:t>
            </w:r>
          </w:p>
        </w:tc>
      </w:tr>
      <w:tr w:rsidR="006E3336" w:rsidRPr="00EE003F" w:rsidTr="008C165D">
        <w:trPr>
          <w:trHeight w:val="60"/>
        </w:trPr>
        <w:tc>
          <w:tcPr>
            <w:tcW w:w="1955" w:type="dxa"/>
            <w:vMerge/>
          </w:tcPr>
          <w:p w:rsidR="003A2969" w:rsidRPr="00EE003F" w:rsidRDefault="003A2969" w:rsidP="0096546A">
            <w:pPr>
              <w:pStyle w:val="NoParagraphStyle"/>
              <w:spacing w:line="240" w:lineRule="auto"/>
              <w:textAlignment w:val="auto"/>
              <w:rPr>
                <w:rFonts w:ascii="Arial Narrow" w:hAnsi="Arial Narrow"/>
                <w:color w:val="auto"/>
                <w:sz w:val="20"/>
                <w:szCs w:val="20"/>
                <w:lang w:val="es-PE"/>
              </w:rPr>
            </w:pPr>
          </w:p>
        </w:tc>
        <w:tc>
          <w:tcPr>
            <w:tcW w:w="6233" w:type="dxa"/>
          </w:tcPr>
          <w:p w:rsidR="003A2969" w:rsidRPr="00EE003F" w:rsidRDefault="003A2969" w:rsidP="00DA4F0D">
            <w:pPr>
              <w:pStyle w:val="BasicParagraph"/>
              <w:numPr>
                <w:ilvl w:val="0"/>
                <w:numId w:val="34"/>
              </w:numPr>
              <w:tabs>
                <w:tab w:val="left" w:pos="227"/>
              </w:tabs>
              <w:suppressAutoHyphens/>
              <w:spacing w:before="113"/>
              <w:ind w:left="313" w:hanging="283"/>
              <w:jc w:val="both"/>
              <w:rPr>
                <w:rFonts w:ascii="Arial Narrow" w:hAnsi="Arial Narrow" w:cs="Swis721 LtCn BT"/>
                <w:color w:val="auto"/>
                <w:sz w:val="20"/>
                <w:szCs w:val="20"/>
              </w:rPr>
            </w:pPr>
            <w:r w:rsidRPr="00EE003F">
              <w:rPr>
                <w:rStyle w:val="cuerpodetextotablas"/>
                <w:rFonts w:ascii="Arial Narrow" w:hAnsi="Arial Narrow"/>
                <w:color w:val="auto"/>
                <w:sz w:val="20"/>
                <w:szCs w:val="20"/>
              </w:rPr>
              <w:t>Fomentar la gestión proactiva del gobierno nacional y de los gobiernos locales en materia ambiental y de prevención frente a desastres, en aras de la resiliencia financiera y operativa del Estado y del país.</w:t>
            </w:r>
          </w:p>
        </w:tc>
      </w:tr>
      <w:tr w:rsidR="006E3336" w:rsidRPr="00EE003F" w:rsidTr="008C165D">
        <w:trPr>
          <w:trHeight w:val="60"/>
        </w:trPr>
        <w:tc>
          <w:tcPr>
            <w:tcW w:w="1955" w:type="dxa"/>
            <w:vMerge/>
          </w:tcPr>
          <w:p w:rsidR="003A2969" w:rsidRPr="00EE003F" w:rsidRDefault="003A2969" w:rsidP="0096546A">
            <w:pPr>
              <w:pStyle w:val="NoParagraphStyle"/>
              <w:spacing w:line="240" w:lineRule="auto"/>
              <w:textAlignment w:val="auto"/>
              <w:rPr>
                <w:rFonts w:ascii="Arial Narrow" w:hAnsi="Arial Narrow"/>
                <w:color w:val="auto"/>
                <w:sz w:val="20"/>
                <w:szCs w:val="20"/>
                <w:lang w:val="es-PE"/>
              </w:rPr>
            </w:pPr>
          </w:p>
        </w:tc>
        <w:tc>
          <w:tcPr>
            <w:tcW w:w="6233" w:type="dxa"/>
          </w:tcPr>
          <w:p w:rsidR="003A2969" w:rsidRPr="00EE003F" w:rsidRDefault="003A2969" w:rsidP="00DA4F0D">
            <w:pPr>
              <w:pStyle w:val="BasicParagraph"/>
              <w:numPr>
                <w:ilvl w:val="0"/>
                <w:numId w:val="34"/>
              </w:numPr>
              <w:tabs>
                <w:tab w:val="left" w:pos="227"/>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Priorizar medidas preventivas para afrontar los riesgos climáticos, especialmente heladas intensivas y friaje, implementando acciones de prevención y reducción de riesgos que mitiguen o disminuyan el impacto de los riesgos de desastres, incluyendo a las plataformas de servicios “Tambos” y las Plataformas Itinerantes de Acción Social. “PIAS”.</w:t>
            </w:r>
          </w:p>
        </w:tc>
      </w:tr>
      <w:tr w:rsidR="006E3336" w:rsidRPr="00EE003F" w:rsidTr="008C165D">
        <w:trPr>
          <w:trHeight w:val="60"/>
        </w:trPr>
        <w:tc>
          <w:tcPr>
            <w:tcW w:w="1955" w:type="dxa"/>
            <w:vMerge/>
          </w:tcPr>
          <w:p w:rsidR="003A2969" w:rsidRPr="00EE003F" w:rsidRDefault="003A2969" w:rsidP="0096546A">
            <w:pPr>
              <w:pStyle w:val="NoParagraphStyle"/>
              <w:spacing w:line="240" w:lineRule="auto"/>
              <w:textAlignment w:val="auto"/>
              <w:rPr>
                <w:rFonts w:ascii="Arial Narrow" w:hAnsi="Arial Narrow"/>
                <w:color w:val="auto"/>
                <w:sz w:val="20"/>
                <w:szCs w:val="20"/>
                <w:lang w:val="es-PE"/>
              </w:rPr>
            </w:pPr>
          </w:p>
        </w:tc>
        <w:tc>
          <w:tcPr>
            <w:tcW w:w="6233" w:type="dxa"/>
          </w:tcPr>
          <w:p w:rsidR="003A2969" w:rsidRPr="00EE003F" w:rsidRDefault="003A2969" w:rsidP="00DA4F0D">
            <w:pPr>
              <w:pStyle w:val="BasicParagraph"/>
              <w:numPr>
                <w:ilvl w:val="0"/>
                <w:numId w:val="34"/>
              </w:numPr>
              <w:tabs>
                <w:tab w:val="left" w:pos="227"/>
              </w:tabs>
              <w:suppressAutoHyphens/>
              <w:spacing w:before="113"/>
              <w:ind w:left="313" w:hanging="283"/>
              <w:jc w:val="both"/>
              <w:rPr>
                <w:rFonts w:ascii="Arial Narrow" w:hAnsi="Arial Narrow"/>
                <w:color w:val="auto"/>
                <w:sz w:val="20"/>
                <w:szCs w:val="20"/>
              </w:rPr>
            </w:pPr>
            <w:r w:rsidRPr="00EE003F">
              <w:rPr>
                <w:rStyle w:val="cuerpodetextotablas"/>
                <w:rFonts w:ascii="Arial Narrow" w:hAnsi="Arial Narrow"/>
                <w:color w:val="auto"/>
                <w:sz w:val="20"/>
                <w:szCs w:val="20"/>
              </w:rPr>
              <w:t>Fomentar la resiliencia financiera y operativa de las empresas de todo tamaño así como de los hogares, a través de buenas prácticas de gestión de la continuidad operativa y del aseguramiento frente a desastres naturales.</w:t>
            </w:r>
          </w:p>
        </w:tc>
      </w:tr>
    </w:tbl>
    <w:p w:rsidR="00C76139" w:rsidRPr="00EE003F" w:rsidRDefault="00C76139" w:rsidP="001A4E17">
      <w:pPr>
        <w:rPr>
          <w:rFonts w:ascii="Arial Narrow" w:hAnsi="Arial Narrow"/>
        </w:rPr>
      </w:pPr>
    </w:p>
    <w:p w:rsidR="00C76139" w:rsidRPr="00EE003F" w:rsidRDefault="00C76139">
      <w:pPr>
        <w:rPr>
          <w:rFonts w:ascii="Arial Narrow" w:hAnsi="Arial Narrow"/>
        </w:rPr>
      </w:pPr>
      <w:r w:rsidRPr="00EE003F">
        <w:rPr>
          <w:rFonts w:ascii="Arial Narrow" w:hAnsi="Arial Narrow"/>
        </w:rPr>
        <w:br w:type="page"/>
      </w:r>
    </w:p>
    <w:p w:rsidR="0096546A" w:rsidRPr="00EE003F" w:rsidRDefault="0096546A" w:rsidP="001A4E17">
      <w:pPr>
        <w:rPr>
          <w:rFonts w:ascii="Arial Narrow" w:hAnsi="Arial Narrow"/>
        </w:rPr>
      </w:pPr>
    </w:p>
    <w:p w:rsidR="0096546A" w:rsidRPr="00EE003F" w:rsidRDefault="0096546A" w:rsidP="0096546A">
      <w:pPr>
        <w:pStyle w:val="Prrafobsico"/>
        <w:tabs>
          <w:tab w:val="left" w:pos="227"/>
        </w:tabs>
        <w:suppressAutoHyphens/>
        <w:spacing w:before="113"/>
        <w:rPr>
          <w:rStyle w:val="subtitulo1"/>
          <w:rFonts w:ascii="Arial Narrow" w:hAnsi="Arial Narrow"/>
          <w:color w:val="auto"/>
          <w:sz w:val="32"/>
          <w:szCs w:val="32"/>
        </w:rPr>
      </w:pPr>
      <w:r w:rsidRPr="00EE003F">
        <w:rPr>
          <w:rStyle w:val="subtitulo1"/>
          <w:rFonts w:ascii="Arial Narrow" w:hAnsi="Arial Narrow"/>
          <w:color w:val="auto"/>
          <w:sz w:val="32"/>
          <w:szCs w:val="32"/>
        </w:rPr>
        <w:t>Indicadores y metas</w:t>
      </w:r>
    </w:p>
    <w:tbl>
      <w:tblPr>
        <w:tblStyle w:val="Tablaconcuadrcula"/>
        <w:tblW w:w="0" w:type="auto"/>
        <w:tblInd w:w="137" w:type="dxa"/>
        <w:tblLayout w:type="fixed"/>
        <w:tblLook w:val="0000" w:firstRow="0" w:lastRow="0" w:firstColumn="0" w:lastColumn="0" w:noHBand="0" w:noVBand="0"/>
      </w:tblPr>
      <w:tblGrid>
        <w:gridCol w:w="307"/>
        <w:gridCol w:w="1365"/>
        <w:gridCol w:w="449"/>
        <w:gridCol w:w="1597"/>
        <w:gridCol w:w="1202"/>
        <w:gridCol w:w="827"/>
        <w:gridCol w:w="862"/>
        <w:gridCol w:w="936"/>
      </w:tblGrid>
      <w:tr w:rsidR="006E3336" w:rsidRPr="00EE003F" w:rsidTr="00BD787F">
        <w:trPr>
          <w:trHeight w:val="1111"/>
        </w:trPr>
        <w:tc>
          <w:tcPr>
            <w:tcW w:w="7545" w:type="dxa"/>
            <w:gridSpan w:val="8"/>
          </w:tcPr>
          <w:p w:rsidR="0096546A" w:rsidRPr="00EE003F" w:rsidRDefault="0096546A" w:rsidP="0096546A">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EJE 6: AMBIENTE, DIVERSIDAD BIOLÓGICA Y GESTIÓN DEL RIESGO DE DESASTRES</w:t>
            </w:r>
          </w:p>
          <w:p w:rsidR="0096546A" w:rsidRPr="00EE003F" w:rsidRDefault="0096546A" w:rsidP="0096546A">
            <w:pPr>
              <w:pStyle w:val="BasicParagraph"/>
              <w:suppressAutoHyphens/>
              <w:ind w:left="170"/>
              <w:rPr>
                <w:rStyle w:val="negritatablas"/>
                <w:rFonts w:ascii="Arial Narrow" w:hAnsi="Arial Narrow"/>
                <w:color w:val="auto"/>
              </w:rPr>
            </w:pPr>
            <w:r w:rsidRPr="00EE003F">
              <w:rPr>
                <w:rStyle w:val="negritatablas"/>
                <w:rFonts w:ascii="Arial Narrow" w:hAnsi="Arial Narrow"/>
                <w:color w:val="auto"/>
              </w:rPr>
              <w:t xml:space="preserve">OBJETIVO NACIONAL: </w:t>
            </w:r>
          </w:p>
          <w:p w:rsidR="0096546A" w:rsidRPr="00EE003F" w:rsidRDefault="0096546A" w:rsidP="0096546A">
            <w:pPr>
              <w:pStyle w:val="BasicParagraph"/>
              <w:suppressAutoHyphens/>
              <w:ind w:left="170"/>
              <w:rPr>
                <w:rFonts w:ascii="Arial Narrow" w:hAnsi="Arial Narrow"/>
                <w:color w:val="auto"/>
              </w:rPr>
            </w:pPr>
            <w:r w:rsidRPr="00EE003F">
              <w:rPr>
                <w:rStyle w:val="negritatablas"/>
                <w:rFonts w:ascii="Arial Narrow" w:hAnsi="Arial Narrow"/>
                <w:color w:val="auto"/>
              </w:rPr>
              <w:t xml:space="preserve">“Aprovechamiento eficiente, responsable y sostenible de la diversidad biológica, asegurando una calidad </w:t>
            </w:r>
            <w:r w:rsidR="00240C0D" w:rsidRPr="00EE003F">
              <w:rPr>
                <w:rStyle w:val="negritatablas"/>
                <w:rFonts w:ascii="Arial Narrow" w:hAnsi="Arial Narrow"/>
                <w:color w:val="auto"/>
              </w:rPr>
              <w:t>ambiental adecuada</w:t>
            </w:r>
            <w:r w:rsidRPr="00EE003F">
              <w:rPr>
                <w:rStyle w:val="negritatablas"/>
                <w:rFonts w:ascii="Arial Narrow" w:hAnsi="Arial Narrow"/>
                <w:color w:val="auto"/>
              </w:rPr>
              <w:t xml:space="preserve"> para la vida saludable de las personas y el desarrollo sostenible del país.”</w:t>
            </w:r>
          </w:p>
        </w:tc>
      </w:tr>
      <w:tr w:rsidR="006E3336" w:rsidRPr="00EE003F" w:rsidTr="00BD787F">
        <w:trPr>
          <w:trHeight w:val="60"/>
        </w:trPr>
        <w:tc>
          <w:tcPr>
            <w:tcW w:w="3718" w:type="dxa"/>
            <w:gridSpan w:val="4"/>
          </w:tcPr>
          <w:p w:rsidR="0096546A" w:rsidRPr="00EE003F" w:rsidRDefault="0096546A" w:rsidP="0096546A">
            <w:pPr>
              <w:pStyle w:val="BasicParagraph"/>
              <w:suppressAutoHyphens/>
              <w:rPr>
                <w:rFonts w:ascii="Arial Narrow" w:hAnsi="Arial Narrow"/>
                <w:color w:val="auto"/>
              </w:rPr>
            </w:pPr>
            <w:r w:rsidRPr="00EE003F">
              <w:rPr>
                <w:rStyle w:val="negritatablas"/>
                <w:rFonts w:ascii="Arial Narrow" w:hAnsi="Arial Narrow"/>
                <w:color w:val="auto"/>
              </w:rPr>
              <w:t>Indicador líder</w:t>
            </w:r>
          </w:p>
        </w:tc>
        <w:tc>
          <w:tcPr>
            <w:tcW w:w="1202"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827" w:type="dxa"/>
          </w:tcPr>
          <w:p w:rsidR="0096546A" w:rsidRPr="00EE003F" w:rsidRDefault="0096546A" w:rsidP="0096546A">
            <w:pPr>
              <w:pStyle w:val="BasicParagraph"/>
              <w:suppressAutoHyphens/>
              <w:jc w:val="center"/>
              <w:rPr>
                <w:rStyle w:val="negritatablas"/>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w:t>
            </w:r>
          </w:p>
          <w:p w:rsidR="0096546A" w:rsidRPr="00EE003F" w:rsidRDefault="0096546A" w:rsidP="008E79F1">
            <w:pPr>
              <w:pStyle w:val="BasicParagraph"/>
              <w:suppressAutoHyphens/>
              <w:jc w:val="center"/>
              <w:rPr>
                <w:rFonts w:ascii="Arial Narrow" w:hAnsi="Arial Narrow"/>
                <w:color w:val="auto"/>
              </w:rPr>
            </w:pPr>
            <w:r w:rsidRPr="00EE003F">
              <w:rPr>
                <w:rStyle w:val="negritatablas"/>
                <w:rFonts w:ascii="Arial Narrow" w:hAnsi="Arial Narrow"/>
                <w:color w:val="auto"/>
              </w:rPr>
              <w:t>(</w:t>
            </w:r>
            <w:r w:rsidR="008E79F1" w:rsidRPr="00EE003F">
              <w:rPr>
                <w:rStyle w:val="negritatablas"/>
                <w:rFonts w:ascii="Arial Narrow" w:hAnsi="Arial Narrow"/>
                <w:color w:val="auto"/>
              </w:rPr>
              <w:t>2014</w:t>
            </w:r>
            <w:r w:rsidRPr="00EE003F">
              <w:rPr>
                <w:rStyle w:val="negritatablas"/>
                <w:rFonts w:ascii="Arial Narrow" w:hAnsi="Arial Narrow"/>
                <w:color w:val="auto"/>
              </w:rPr>
              <w:t>)</w:t>
            </w:r>
          </w:p>
        </w:tc>
        <w:tc>
          <w:tcPr>
            <w:tcW w:w="862"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936"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BD787F">
        <w:trPr>
          <w:trHeight w:val="60"/>
        </w:trPr>
        <w:tc>
          <w:tcPr>
            <w:tcW w:w="3718" w:type="dxa"/>
            <w:gridSpan w:val="4"/>
          </w:tcPr>
          <w:p w:rsidR="0096546A" w:rsidRPr="00EE003F" w:rsidRDefault="0096546A" w:rsidP="001A1A28">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EPI (siglas en inglés de Environmental Performance Index</w:t>
            </w:r>
            <w:r w:rsidR="001A1A28" w:rsidRPr="00EE003F">
              <w:rPr>
                <w:rStyle w:val="cuerpodetextotablas"/>
                <w:rFonts w:ascii="Arial Narrow" w:hAnsi="Arial Narrow"/>
                <w:color w:val="auto"/>
              </w:rPr>
              <w:t>, Índice de Desempeño Ambiental</w:t>
            </w:r>
            <w:r w:rsidRPr="00EE003F">
              <w:rPr>
                <w:rStyle w:val="cuerpodetextotablas"/>
                <w:rFonts w:ascii="Arial Narrow" w:hAnsi="Arial Narrow"/>
                <w:color w:val="auto"/>
              </w:rPr>
              <w:t>)</w:t>
            </w:r>
            <w:r w:rsidR="001A1A28" w:rsidRPr="00EE003F">
              <w:rPr>
                <w:rStyle w:val="cuerpodetextotablas"/>
                <w:rFonts w:ascii="Arial Narrow" w:hAnsi="Arial Narrow"/>
                <w:color w:val="auto"/>
              </w:rPr>
              <w:t xml:space="preserve"> </w:t>
            </w:r>
          </w:p>
        </w:tc>
        <w:tc>
          <w:tcPr>
            <w:tcW w:w="1202"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U. de Yale</w:t>
            </w:r>
          </w:p>
        </w:tc>
        <w:tc>
          <w:tcPr>
            <w:tcW w:w="827" w:type="dxa"/>
          </w:tcPr>
          <w:p w:rsidR="0096546A" w:rsidRPr="00EE003F" w:rsidRDefault="0096546A" w:rsidP="0005285B">
            <w:pPr>
              <w:pStyle w:val="BasicParagraph"/>
              <w:suppressAutoHyphens/>
              <w:jc w:val="center"/>
              <w:rPr>
                <w:rFonts w:ascii="Arial Narrow" w:hAnsi="Arial Narrow"/>
                <w:color w:val="auto"/>
              </w:rPr>
            </w:pPr>
            <w:r w:rsidRPr="00EE003F">
              <w:rPr>
                <w:rStyle w:val="cuerpodetextotablas"/>
                <w:rFonts w:ascii="Arial Narrow" w:hAnsi="Arial Narrow"/>
                <w:color w:val="auto"/>
              </w:rPr>
              <w:t>45,</w:t>
            </w:r>
            <w:r w:rsidR="0005285B" w:rsidRPr="00EE003F">
              <w:rPr>
                <w:rStyle w:val="cuerpodetextotablas"/>
                <w:rFonts w:ascii="Arial Narrow" w:hAnsi="Arial Narrow"/>
                <w:color w:val="auto"/>
              </w:rPr>
              <w:t>1</w:t>
            </w:r>
          </w:p>
        </w:tc>
        <w:tc>
          <w:tcPr>
            <w:tcW w:w="862" w:type="dxa"/>
          </w:tcPr>
          <w:p w:rsidR="0096546A" w:rsidRPr="00EE003F" w:rsidRDefault="0005285B" w:rsidP="0005285B">
            <w:pPr>
              <w:pStyle w:val="BasicParagraph"/>
              <w:suppressAutoHyphens/>
              <w:jc w:val="center"/>
              <w:rPr>
                <w:rFonts w:ascii="Arial Narrow" w:hAnsi="Arial Narrow"/>
                <w:color w:val="auto"/>
              </w:rPr>
            </w:pPr>
            <w:r w:rsidRPr="00EE003F">
              <w:rPr>
                <w:rStyle w:val="cuerpodetextotablas"/>
                <w:rFonts w:ascii="Arial Narrow" w:hAnsi="Arial Narrow"/>
                <w:color w:val="auto"/>
              </w:rPr>
              <w:t>47,7</w:t>
            </w:r>
          </w:p>
        </w:tc>
        <w:tc>
          <w:tcPr>
            <w:tcW w:w="936" w:type="dxa"/>
          </w:tcPr>
          <w:p w:rsidR="0096546A" w:rsidRPr="00EE003F" w:rsidRDefault="0005285B"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50,4</w:t>
            </w:r>
          </w:p>
        </w:tc>
      </w:tr>
      <w:tr w:rsidR="006E3336" w:rsidRPr="00EE003F" w:rsidTr="006709D0">
        <w:trPr>
          <w:trHeight w:val="60"/>
        </w:trPr>
        <w:tc>
          <w:tcPr>
            <w:tcW w:w="1672" w:type="dxa"/>
            <w:gridSpan w:val="2"/>
            <w:vMerge w:val="restart"/>
          </w:tcPr>
          <w:p w:rsidR="0096546A" w:rsidRPr="00EE003F" w:rsidRDefault="0096546A" w:rsidP="0096546A">
            <w:pPr>
              <w:pStyle w:val="BasicParagraph"/>
              <w:suppressAutoHyphens/>
              <w:rPr>
                <w:rFonts w:ascii="Arial Narrow" w:hAnsi="Arial Narrow"/>
                <w:color w:val="auto"/>
              </w:rPr>
            </w:pPr>
            <w:r w:rsidRPr="00EE003F">
              <w:rPr>
                <w:rStyle w:val="negritatablas"/>
                <w:rFonts w:ascii="Arial Narrow" w:hAnsi="Arial Narrow"/>
                <w:color w:val="auto"/>
              </w:rPr>
              <w:t>Objetivos Específicos</w:t>
            </w:r>
          </w:p>
        </w:tc>
        <w:tc>
          <w:tcPr>
            <w:tcW w:w="5873" w:type="dxa"/>
            <w:gridSpan w:val="6"/>
          </w:tcPr>
          <w:p w:rsidR="0096546A" w:rsidRPr="00EE003F" w:rsidRDefault="0096546A" w:rsidP="0096546A">
            <w:pPr>
              <w:pStyle w:val="BasicParagraph"/>
              <w:suppressAutoHyphens/>
              <w:rPr>
                <w:rFonts w:ascii="Arial Narrow" w:hAnsi="Arial Narrow"/>
                <w:color w:val="auto"/>
              </w:rPr>
            </w:pPr>
            <w:r w:rsidRPr="00EE003F">
              <w:rPr>
                <w:rStyle w:val="negritatablas"/>
                <w:rFonts w:ascii="Arial Narrow" w:hAnsi="Arial Narrow"/>
                <w:color w:val="auto"/>
              </w:rPr>
              <w:t>Indicadores y metas</w:t>
            </w:r>
          </w:p>
        </w:tc>
      </w:tr>
      <w:tr w:rsidR="006E3336" w:rsidRPr="00EE003F" w:rsidTr="006709D0">
        <w:trPr>
          <w:trHeight w:val="60"/>
        </w:trPr>
        <w:tc>
          <w:tcPr>
            <w:tcW w:w="1672" w:type="dxa"/>
            <w:gridSpan w:val="2"/>
            <w:vMerge/>
          </w:tcPr>
          <w:p w:rsidR="0096546A" w:rsidRPr="00EE003F" w:rsidRDefault="0096546A" w:rsidP="0096546A">
            <w:pPr>
              <w:pStyle w:val="NoParagraphStyle"/>
              <w:spacing w:line="240" w:lineRule="auto"/>
              <w:textAlignment w:val="auto"/>
              <w:rPr>
                <w:rFonts w:ascii="Arial Narrow" w:hAnsi="Arial Narrow"/>
                <w:color w:val="auto"/>
                <w:lang w:val="es-PE"/>
              </w:rPr>
            </w:pPr>
          </w:p>
        </w:tc>
        <w:tc>
          <w:tcPr>
            <w:tcW w:w="449" w:type="dxa"/>
          </w:tcPr>
          <w:p w:rsidR="0096546A" w:rsidRPr="00EE003F" w:rsidRDefault="0096546A" w:rsidP="0096546A">
            <w:pPr>
              <w:pStyle w:val="BasicParagraph"/>
              <w:suppressAutoHyphens/>
              <w:rPr>
                <w:rFonts w:ascii="Arial Narrow" w:hAnsi="Arial Narrow"/>
                <w:color w:val="auto"/>
              </w:rPr>
            </w:pPr>
            <w:r w:rsidRPr="00EE003F">
              <w:rPr>
                <w:rStyle w:val="negritatablas"/>
                <w:rFonts w:ascii="Arial Narrow" w:hAnsi="Arial Narrow"/>
                <w:color w:val="auto"/>
              </w:rPr>
              <w:t>N.°</w:t>
            </w:r>
          </w:p>
        </w:tc>
        <w:tc>
          <w:tcPr>
            <w:tcW w:w="1597"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Indicadores</w:t>
            </w:r>
          </w:p>
        </w:tc>
        <w:tc>
          <w:tcPr>
            <w:tcW w:w="1202"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Fuente</w:t>
            </w:r>
          </w:p>
        </w:tc>
        <w:tc>
          <w:tcPr>
            <w:tcW w:w="827"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Línea </w:t>
            </w:r>
            <w:r w:rsidRPr="00EE003F">
              <w:rPr>
                <w:rStyle w:val="negritatablas"/>
                <w:rFonts w:ascii="Arial Narrow" w:hAnsi="Arial Narrow"/>
                <w:color w:val="auto"/>
              </w:rPr>
              <w:br/>
              <w:t>de base</w:t>
            </w:r>
          </w:p>
        </w:tc>
        <w:tc>
          <w:tcPr>
            <w:tcW w:w="862"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2016</w:t>
            </w:r>
          </w:p>
        </w:tc>
        <w:tc>
          <w:tcPr>
            <w:tcW w:w="936"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 xml:space="preserve">Meta </w:t>
            </w:r>
            <w:r w:rsidRPr="00EE003F">
              <w:rPr>
                <w:rStyle w:val="negritatablas"/>
                <w:rFonts w:ascii="Arial Narrow" w:hAnsi="Arial Narrow"/>
                <w:color w:val="auto"/>
              </w:rPr>
              <w:br/>
              <w:t>al 2021</w:t>
            </w:r>
          </w:p>
        </w:tc>
      </w:tr>
      <w:tr w:rsidR="006E3336" w:rsidRPr="00EE003F" w:rsidTr="006709D0">
        <w:trPr>
          <w:trHeight w:val="1358"/>
        </w:trPr>
        <w:tc>
          <w:tcPr>
            <w:tcW w:w="307"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1</w:t>
            </w:r>
          </w:p>
        </w:tc>
        <w:tc>
          <w:tcPr>
            <w:tcW w:w="1365"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Asegurar una calidad ambiental adecuada para la salud y el desarrollo integral de las personas</w:t>
            </w:r>
          </w:p>
        </w:tc>
        <w:tc>
          <w:tcPr>
            <w:tcW w:w="449"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1</w:t>
            </w:r>
          </w:p>
        </w:tc>
        <w:tc>
          <w:tcPr>
            <w:tcW w:w="1597"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Porcentaje de ciudades prioritarias con valores anuales de PM10 que cumplen con el ECA</w:t>
            </w:r>
          </w:p>
        </w:tc>
        <w:tc>
          <w:tcPr>
            <w:tcW w:w="1202"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Minam</w:t>
            </w:r>
          </w:p>
        </w:tc>
        <w:tc>
          <w:tcPr>
            <w:tcW w:w="827" w:type="dxa"/>
          </w:tcPr>
          <w:p w:rsidR="0096546A" w:rsidRPr="00EE003F" w:rsidRDefault="0096546A"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16%</w:t>
            </w:r>
          </w:p>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(2011)</w:t>
            </w:r>
          </w:p>
        </w:tc>
        <w:tc>
          <w:tcPr>
            <w:tcW w:w="862"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81%</w:t>
            </w:r>
          </w:p>
        </w:tc>
        <w:tc>
          <w:tcPr>
            <w:tcW w:w="936"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100%</w:t>
            </w:r>
          </w:p>
        </w:tc>
      </w:tr>
      <w:tr w:rsidR="006E3336" w:rsidRPr="00EE003F" w:rsidTr="006709D0">
        <w:trPr>
          <w:trHeight w:val="1190"/>
        </w:trPr>
        <w:tc>
          <w:tcPr>
            <w:tcW w:w="307"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2</w:t>
            </w:r>
          </w:p>
        </w:tc>
        <w:tc>
          <w:tcPr>
            <w:tcW w:w="1365"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Garantizar la disponibilidad y calidad de los recursos hídricos</w:t>
            </w:r>
          </w:p>
        </w:tc>
        <w:tc>
          <w:tcPr>
            <w:tcW w:w="449"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2</w:t>
            </w:r>
          </w:p>
        </w:tc>
        <w:tc>
          <w:tcPr>
            <w:tcW w:w="1597" w:type="dxa"/>
          </w:tcPr>
          <w:p w:rsidR="0096546A" w:rsidRPr="00EE003F" w:rsidRDefault="0096546A" w:rsidP="00936D0C">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Porcentaje de productores agrícolas con riego tecnificado</w:t>
            </w:r>
          </w:p>
        </w:tc>
        <w:tc>
          <w:tcPr>
            <w:tcW w:w="1202"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Minagri</w:t>
            </w:r>
          </w:p>
        </w:tc>
        <w:tc>
          <w:tcPr>
            <w:tcW w:w="827"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10.4%</w:t>
            </w:r>
            <w:r w:rsidRPr="00EE003F">
              <w:rPr>
                <w:rStyle w:val="cuerpodetextotablas"/>
                <w:rFonts w:ascii="Arial Narrow" w:hAnsi="Arial Narrow"/>
                <w:color w:val="auto"/>
              </w:rPr>
              <w:br/>
              <w:t>(2013)</w:t>
            </w:r>
          </w:p>
        </w:tc>
        <w:tc>
          <w:tcPr>
            <w:tcW w:w="862"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12%</w:t>
            </w:r>
          </w:p>
        </w:tc>
        <w:tc>
          <w:tcPr>
            <w:tcW w:w="936"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15%</w:t>
            </w:r>
          </w:p>
        </w:tc>
      </w:tr>
      <w:tr w:rsidR="006E3336" w:rsidRPr="00EE003F" w:rsidTr="006709D0">
        <w:trPr>
          <w:trHeight w:val="1672"/>
        </w:trPr>
        <w:tc>
          <w:tcPr>
            <w:tcW w:w="307"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3</w:t>
            </w:r>
          </w:p>
        </w:tc>
        <w:tc>
          <w:tcPr>
            <w:tcW w:w="1365"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Promover la  conservación y aprovechamiento sostenible de la diversidad biológica</w:t>
            </w:r>
          </w:p>
        </w:tc>
        <w:tc>
          <w:tcPr>
            <w:tcW w:w="449"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3</w:t>
            </w:r>
          </w:p>
        </w:tc>
        <w:tc>
          <w:tcPr>
            <w:tcW w:w="1597"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Porcentaje de áreas terrestres y marinas protegidas respecto a la superficie territorial total</w:t>
            </w:r>
          </w:p>
        </w:tc>
        <w:tc>
          <w:tcPr>
            <w:tcW w:w="1202"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Naciones Unidas</w:t>
            </w:r>
          </w:p>
        </w:tc>
        <w:tc>
          <w:tcPr>
            <w:tcW w:w="827"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19,06%</w:t>
            </w:r>
            <w:r w:rsidRPr="00EE003F">
              <w:rPr>
                <w:rStyle w:val="cuerpodetextotablas"/>
                <w:rFonts w:ascii="Arial Narrow" w:hAnsi="Arial Narrow"/>
                <w:color w:val="auto"/>
              </w:rPr>
              <w:br/>
              <w:t>(2012)</w:t>
            </w:r>
          </w:p>
        </w:tc>
        <w:tc>
          <w:tcPr>
            <w:tcW w:w="862"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27,12%</w:t>
            </w:r>
          </w:p>
        </w:tc>
        <w:tc>
          <w:tcPr>
            <w:tcW w:w="936"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32,63%</w:t>
            </w:r>
          </w:p>
        </w:tc>
      </w:tr>
      <w:tr w:rsidR="006E3336" w:rsidRPr="00EE003F" w:rsidTr="006709D0">
        <w:trPr>
          <w:trHeight w:val="2210"/>
        </w:trPr>
        <w:tc>
          <w:tcPr>
            <w:tcW w:w="307"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4</w:t>
            </w:r>
          </w:p>
        </w:tc>
        <w:tc>
          <w:tcPr>
            <w:tcW w:w="1365"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Disminuir la vulnerabilidad ante el cambio climático y promover una economía baja en carbono, impulsando la conservación de bosques</w:t>
            </w:r>
          </w:p>
        </w:tc>
        <w:tc>
          <w:tcPr>
            <w:tcW w:w="449"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4</w:t>
            </w:r>
          </w:p>
        </w:tc>
        <w:tc>
          <w:tcPr>
            <w:tcW w:w="1597"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Emisiones de CO</w:t>
            </w:r>
            <w:r w:rsidRPr="00EE003F">
              <w:rPr>
                <w:rStyle w:val="cuerpodetextotablas"/>
                <w:rFonts w:ascii="Arial Narrow" w:hAnsi="Arial Narrow"/>
                <w:color w:val="auto"/>
                <w:vertAlign w:val="subscript"/>
              </w:rPr>
              <w:t>2</w:t>
            </w:r>
            <w:r w:rsidRPr="00EE003F">
              <w:rPr>
                <w:rStyle w:val="cuerpodetextotablas"/>
                <w:rFonts w:ascii="Arial Narrow" w:hAnsi="Arial Narrow"/>
                <w:color w:val="auto"/>
              </w:rPr>
              <w:t xml:space="preserve"> (toneladas métricas per cápita)</w:t>
            </w:r>
          </w:p>
        </w:tc>
        <w:tc>
          <w:tcPr>
            <w:tcW w:w="1202"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CDIAC</w:t>
            </w:r>
          </w:p>
        </w:tc>
        <w:tc>
          <w:tcPr>
            <w:tcW w:w="827" w:type="dxa"/>
          </w:tcPr>
          <w:p w:rsidR="0096546A" w:rsidRPr="00EE003F" w:rsidRDefault="0096546A"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1,97</w:t>
            </w:r>
          </w:p>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(2010)</w:t>
            </w:r>
          </w:p>
        </w:tc>
        <w:tc>
          <w:tcPr>
            <w:tcW w:w="862"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2,41</w:t>
            </w:r>
          </w:p>
        </w:tc>
        <w:tc>
          <w:tcPr>
            <w:tcW w:w="936"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2,70</w:t>
            </w:r>
          </w:p>
        </w:tc>
      </w:tr>
      <w:tr w:rsidR="006E3336" w:rsidRPr="00EE003F" w:rsidTr="006709D0">
        <w:trPr>
          <w:trHeight w:val="1511"/>
        </w:trPr>
        <w:tc>
          <w:tcPr>
            <w:tcW w:w="307" w:type="dxa"/>
          </w:tcPr>
          <w:p w:rsidR="0096546A" w:rsidRPr="00EE003F" w:rsidRDefault="0096546A" w:rsidP="0096546A">
            <w:pPr>
              <w:pStyle w:val="BasicParagraph"/>
              <w:suppressAutoHyphens/>
              <w:jc w:val="center"/>
              <w:rPr>
                <w:rFonts w:ascii="Arial Narrow" w:hAnsi="Arial Narrow"/>
                <w:color w:val="auto"/>
              </w:rPr>
            </w:pPr>
            <w:r w:rsidRPr="00EE003F">
              <w:rPr>
                <w:rStyle w:val="negritatablas"/>
                <w:rFonts w:ascii="Arial Narrow" w:hAnsi="Arial Narrow"/>
                <w:color w:val="auto"/>
              </w:rPr>
              <w:t>5</w:t>
            </w:r>
          </w:p>
        </w:tc>
        <w:tc>
          <w:tcPr>
            <w:tcW w:w="1365"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Reducir la vulnerabilidad de la población y sus medios de vida ante el riesgo de desastres</w:t>
            </w:r>
          </w:p>
        </w:tc>
        <w:tc>
          <w:tcPr>
            <w:tcW w:w="449"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5</w:t>
            </w:r>
          </w:p>
        </w:tc>
        <w:tc>
          <w:tcPr>
            <w:tcW w:w="1597"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Indicador de Vulnerabilidad</w:t>
            </w:r>
          </w:p>
        </w:tc>
        <w:tc>
          <w:tcPr>
            <w:tcW w:w="1202" w:type="dxa"/>
          </w:tcPr>
          <w:p w:rsidR="0096546A" w:rsidRPr="00EE003F" w:rsidRDefault="0096546A" w:rsidP="0096546A">
            <w:pPr>
              <w:pStyle w:val="BasicParagraph"/>
              <w:suppressAutoHyphens/>
              <w:ind w:left="113" w:right="57"/>
              <w:rPr>
                <w:rFonts w:ascii="Arial Narrow" w:hAnsi="Arial Narrow"/>
                <w:color w:val="auto"/>
              </w:rPr>
            </w:pPr>
            <w:r w:rsidRPr="00EE003F">
              <w:rPr>
                <w:rStyle w:val="cuerpodetextotablas"/>
                <w:rFonts w:ascii="Arial Narrow" w:hAnsi="Arial Narrow"/>
                <w:color w:val="auto"/>
              </w:rPr>
              <w:t>United Nations University</w:t>
            </w:r>
          </w:p>
        </w:tc>
        <w:tc>
          <w:tcPr>
            <w:tcW w:w="827" w:type="dxa"/>
          </w:tcPr>
          <w:p w:rsidR="0096546A" w:rsidRPr="00EE003F" w:rsidRDefault="0096546A" w:rsidP="0096546A">
            <w:pPr>
              <w:pStyle w:val="BasicParagraph"/>
              <w:suppressAutoHyphens/>
              <w:jc w:val="center"/>
              <w:rPr>
                <w:rStyle w:val="cuerpodetextotablas"/>
                <w:rFonts w:ascii="Arial Narrow" w:hAnsi="Arial Narrow"/>
                <w:color w:val="auto"/>
              </w:rPr>
            </w:pPr>
            <w:r w:rsidRPr="00EE003F">
              <w:rPr>
                <w:rStyle w:val="cuerpodetextotablas"/>
                <w:rFonts w:ascii="Arial Narrow" w:hAnsi="Arial Narrow"/>
                <w:color w:val="auto"/>
              </w:rPr>
              <w:t>48,00</w:t>
            </w:r>
          </w:p>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(2014)</w:t>
            </w:r>
          </w:p>
        </w:tc>
        <w:tc>
          <w:tcPr>
            <w:tcW w:w="862"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44,55</w:t>
            </w:r>
          </w:p>
        </w:tc>
        <w:tc>
          <w:tcPr>
            <w:tcW w:w="936" w:type="dxa"/>
          </w:tcPr>
          <w:p w:rsidR="0096546A" w:rsidRPr="00EE003F" w:rsidRDefault="0096546A" w:rsidP="0096546A">
            <w:pPr>
              <w:pStyle w:val="BasicParagraph"/>
              <w:suppressAutoHyphens/>
              <w:jc w:val="center"/>
              <w:rPr>
                <w:rFonts w:ascii="Arial Narrow" w:hAnsi="Arial Narrow"/>
                <w:color w:val="auto"/>
              </w:rPr>
            </w:pPr>
            <w:r w:rsidRPr="00EE003F">
              <w:rPr>
                <w:rStyle w:val="cuerpodetextotablas"/>
                <w:rFonts w:ascii="Arial Narrow" w:hAnsi="Arial Narrow"/>
                <w:color w:val="auto"/>
              </w:rPr>
              <w:t>41,09</w:t>
            </w:r>
          </w:p>
        </w:tc>
      </w:tr>
    </w:tbl>
    <w:p w:rsidR="0096546A" w:rsidRPr="00EE003F" w:rsidRDefault="0096546A" w:rsidP="001A4E17">
      <w:pPr>
        <w:rPr>
          <w:rFonts w:ascii="Arial Narrow" w:hAnsi="Arial Narrow"/>
        </w:rPr>
      </w:pPr>
    </w:p>
    <w:p w:rsidR="0096546A" w:rsidRPr="00EE003F" w:rsidRDefault="006E2BE2" w:rsidP="001A4E17">
      <w:pPr>
        <w:rPr>
          <w:rFonts w:ascii="Arial Narrow" w:hAnsi="Arial Narrow"/>
        </w:rPr>
      </w:pPr>
      <w:r w:rsidRPr="00EE003F">
        <w:rPr>
          <w:rFonts w:ascii="Arial Narrow" w:hAnsi="Arial Narrow"/>
          <w:noProof/>
          <w:lang w:eastAsia="es-PE"/>
        </w:rPr>
        <w:drawing>
          <wp:inline distT="0" distB="0" distL="0" distR="0" wp14:anchorId="5EA2226D" wp14:editId="0D0F883E">
            <wp:extent cx="3877293" cy="269673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cos-pedn-01.gif"/>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878012" cy="2697233"/>
                    </a:xfrm>
                    <a:prstGeom prst="rect">
                      <a:avLst/>
                    </a:prstGeom>
                  </pic:spPr>
                </pic:pic>
              </a:graphicData>
            </a:graphic>
          </wp:inline>
        </w:drawing>
      </w:r>
    </w:p>
    <w:p w:rsidR="0096546A" w:rsidRPr="00EE003F" w:rsidRDefault="0096546A" w:rsidP="00692EE1">
      <w:pPr>
        <w:autoSpaceDE w:val="0"/>
        <w:autoSpaceDN w:val="0"/>
        <w:adjustRightInd w:val="0"/>
        <w:spacing w:before="120" w:after="0" w:line="240" w:lineRule="auto"/>
        <w:jc w:val="both"/>
        <w:textAlignment w:val="center"/>
        <w:rPr>
          <w:rFonts w:ascii="Arial Narrow" w:hAnsi="Arial Narrow" w:cs="Frutiger LT Std 45 Light"/>
          <w:b/>
          <w:spacing w:val="2"/>
          <w:sz w:val="24"/>
          <w:szCs w:val="24"/>
          <w:lang w:val="es-ES_tradnl"/>
        </w:rPr>
      </w:pPr>
      <w:r w:rsidRPr="00EE003F">
        <w:rPr>
          <w:rFonts w:ascii="Arial Narrow" w:hAnsi="Arial Narrow" w:cs="Frutiger LT Std 45 Light"/>
          <w:b/>
          <w:spacing w:val="2"/>
          <w:sz w:val="24"/>
          <w:szCs w:val="24"/>
          <w:lang w:val="es-ES_tradnl"/>
        </w:rPr>
        <w:t>Interpretación:</w:t>
      </w:r>
    </w:p>
    <w:p w:rsidR="0096546A" w:rsidRPr="00EE003F" w:rsidRDefault="00CA01D1" w:rsidP="00692EE1">
      <w:pPr>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 xml:space="preserve">Se </w:t>
      </w:r>
      <w:r w:rsidR="0096546A" w:rsidRPr="00EE003F">
        <w:rPr>
          <w:rFonts w:ascii="Arial Narrow" w:hAnsi="Arial Narrow" w:cs="Frutiger LT Std 45 Light"/>
          <w:spacing w:val="2"/>
          <w:sz w:val="24"/>
          <w:szCs w:val="24"/>
          <w:lang w:val="es-ES_tradnl"/>
        </w:rPr>
        <w:t xml:space="preserve">ha priorizado ciudades a nivel nacional donde deben establecerse medidas orientadas a mejorar y preservar la calidad del aire, así como controlar las emisiones contaminantes. </w:t>
      </w:r>
      <w:r w:rsidRPr="00EE003F">
        <w:rPr>
          <w:rFonts w:ascii="Arial Narrow" w:hAnsi="Arial Narrow" w:cs="Frutiger LT Std 45 Light"/>
          <w:spacing w:val="2"/>
          <w:sz w:val="24"/>
          <w:szCs w:val="24"/>
          <w:lang w:val="es-ES_tradnl"/>
        </w:rPr>
        <w:t>Se espera</w:t>
      </w:r>
      <w:r w:rsidR="0096546A" w:rsidRPr="00EE003F">
        <w:rPr>
          <w:rFonts w:ascii="Arial Narrow" w:hAnsi="Arial Narrow" w:cs="Frutiger LT Std 45 Light"/>
          <w:spacing w:val="2"/>
          <w:sz w:val="24"/>
          <w:szCs w:val="24"/>
          <w:lang w:val="es-ES_tradnl"/>
        </w:rPr>
        <w:t xml:space="preserve"> mejorar la calidad de vida de las personas y al mismo tiempo desarrollar actividades económicas sostenibles.</w:t>
      </w:r>
    </w:p>
    <w:p w:rsidR="000A7AC5" w:rsidRPr="00EE003F" w:rsidRDefault="006E2BE2" w:rsidP="00962397">
      <w:pPr>
        <w:spacing w:after="0" w:line="240" w:lineRule="auto"/>
        <w:rPr>
          <w:rFonts w:ascii="Arial Narrow" w:hAnsi="Arial Narrow" w:cs="Frutiger LT Std 45 Light"/>
          <w:b/>
          <w:spacing w:val="2"/>
          <w:lang w:val="es-ES_tradnl"/>
        </w:rPr>
      </w:pPr>
      <w:r w:rsidRPr="00EE003F">
        <w:rPr>
          <w:rFonts w:ascii="Arial Narrow" w:hAnsi="Arial Narrow"/>
          <w:noProof/>
          <w:lang w:eastAsia="es-PE"/>
        </w:rPr>
        <w:drawing>
          <wp:inline distT="0" distB="0" distL="0" distR="0" wp14:anchorId="27EA616E" wp14:editId="65A8878F">
            <wp:extent cx="3847290" cy="2671948"/>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cos-pedn-02.gif"/>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857447" cy="2679002"/>
                    </a:xfrm>
                    <a:prstGeom prst="rect">
                      <a:avLst/>
                    </a:prstGeom>
                  </pic:spPr>
                </pic:pic>
              </a:graphicData>
            </a:graphic>
          </wp:inline>
        </w:drawing>
      </w:r>
    </w:p>
    <w:p w:rsidR="000A7AC5" w:rsidRPr="00EE003F" w:rsidRDefault="000A7AC5" w:rsidP="00962397">
      <w:pPr>
        <w:spacing w:after="0" w:line="240" w:lineRule="auto"/>
        <w:rPr>
          <w:rFonts w:ascii="Arial Narrow" w:hAnsi="Arial Narrow" w:cs="Frutiger LT Std 45 Light"/>
          <w:b/>
          <w:spacing w:val="2"/>
          <w:lang w:val="es-ES_tradnl"/>
        </w:rPr>
      </w:pPr>
    </w:p>
    <w:p w:rsidR="00CA01D1" w:rsidRPr="00EE003F" w:rsidRDefault="006E2BE2" w:rsidP="000A7AC5">
      <w:pPr>
        <w:spacing w:before="120" w:after="0" w:line="240" w:lineRule="auto"/>
        <w:jc w:val="both"/>
        <w:rPr>
          <w:rFonts w:ascii="Arial Narrow" w:hAnsi="Arial Narrow" w:cs="Frutiger LT Std 45 Light"/>
          <w:b/>
          <w:spacing w:val="2"/>
          <w:sz w:val="24"/>
          <w:szCs w:val="24"/>
          <w:lang w:val="es-ES_tradnl"/>
        </w:rPr>
      </w:pPr>
      <w:r w:rsidRPr="00EE003F">
        <w:rPr>
          <w:rFonts w:ascii="Arial Narrow" w:hAnsi="Arial Narrow" w:cs="Frutiger LT Std 45 Light"/>
          <w:b/>
          <w:spacing w:val="2"/>
          <w:sz w:val="24"/>
          <w:szCs w:val="24"/>
          <w:lang w:val="es-ES_tradnl"/>
        </w:rPr>
        <w:t>Interpretación:</w:t>
      </w:r>
    </w:p>
    <w:p w:rsidR="006E2BE2" w:rsidRPr="00EE003F" w:rsidRDefault="006E2BE2" w:rsidP="000A7AC5">
      <w:pPr>
        <w:spacing w:before="120" w:after="0" w:line="240" w:lineRule="auto"/>
        <w:jc w:val="both"/>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Según cálculos del PNUD, alrededor del 65% del agua destinada para la agricultura se desperdicia a causa de las deficientes prácticas de riego. Ante esta situación, durante los últimos años, se ha promovido a nivel mundial el uso del riego tecnificado, el cual favorece el uso eficiente del agua, logrando que esta sea aprovechada entre un 75% y 100%. En el Perú, programas como “Mi Riego” vienen registrando importantes logros en la provisión de infraestructura y tecnología para el uso adecuado de los recursos hídricos en las actividades agrícolas. En esta medida, se lograrán alcanzar las metas propuestas al 2016 y 2021.</w:t>
      </w:r>
    </w:p>
    <w:p w:rsidR="00553A81" w:rsidRPr="00EE003F" w:rsidRDefault="006E2BE2" w:rsidP="001A4E17">
      <w:pPr>
        <w:rPr>
          <w:rFonts w:ascii="Arial Narrow" w:hAnsi="Arial Narrow"/>
          <w:lang w:val="es-ES_tradnl"/>
        </w:rPr>
      </w:pPr>
      <w:r w:rsidRPr="00EE003F">
        <w:rPr>
          <w:rFonts w:ascii="Arial Narrow" w:hAnsi="Arial Narrow"/>
          <w:noProof/>
          <w:lang w:eastAsia="es-PE"/>
        </w:rPr>
        <w:drawing>
          <wp:inline distT="0" distB="0" distL="0" distR="0" wp14:anchorId="0D65678C" wp14:editId="06421D3C">
            <wp:extent cx="4867275" cy="32602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cos-pedn-03.gif"/>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872781" cy="3263958"/>
                    </a:xfrm>
                    <a:prstGeom prst="rect">
                      <a:avLst/>
                    </a:prstGeom>
                  </pic:spPr>
                </pic:pic>
              </a:graphicData>
            </a:graphic>
          </wp:inline>
        </w:drawing>
      </w:r>
    </w:p>
    <w:p w:rsidR="00553A81" w:rsidRPr="00EE003F" w:rsidRDefault="00030406" w:rsidP="001A4E17">
      <w:pPr>
        <w:rPr>
          <w:rFonts w:ascii="Arial Narrow" w:hAnsi="Arial Narrow"/>
        </w:rPr>
      </w:pPr>
      <w:r w:rsidRPr="00EE003F">
        <w:rPr>
          <w:noProof/>
          <w:lang w:eastAsia="es-PE"/>
        </w:rPr>
        <w:drawing>
          <wp:inline distT="0" distB="0" distL="0" distR="0" wp14:anchorId="31684331" wp14:editId="07E671B7">
            <wp:extent cx="5296204" cy="3179041"/>
            <wp:effectExtent l="0" t="0" r="0" b="254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298223" cy="3180253"/>
                    </a:xfrm>
                    <a:prstGeom prst="rect">
                      <a:avLst/>
                    </a:prstGeom>
                  </pic:spPr>
                </pic:pic>
              </a:graphicData>
            </a:graphic>
          </wp:inline>
        </w:drawing>
      </w:r>
    </w:p>
    <w:p w:rsidR="006E2BE2" w:rsidRPr="00EE003F" w:rsidRDefault="006E2BE2" w:rsidP="000A7AC5">
      <w:pPr>
        <w:autoSpaceDE w:val="0"/>
        <w:autoSpaceDN w:val="0"/>
        <w:adjustRightInd w:val="0"/>
        <w:spacing w:before="120" w:after="0" w:line="240" w:lineRule="auto"/>
        <w:jc w:val="both"/>
        <w:textAlignment w:val="center"/>
        <w:rPr>
          <w:rFonts w:ascii="Arial Narrow" w:hAnsi="Arial Narrow" w:cs="Frutiger LT Std 45 Light"/>
          <w:b/>
          <w:spacing w:val="2"/>
          <w:sz w:val="24"/>
          <w:szCs w:val="24"/>
          <w:lang w:val="es-ES_tradnl"/>
        </w:rPr>
      </w:pPr>
      <w:r w:rsidRPr="00EE003F">
        <w:rPr>
          <w:rFonts w:ascii="Arial Narrow" w:hAnsi="Arial Narrow" w:cs="Frutiger LT Std 45 Light"/>
          <w:b/>
          <w:spacing w:val="2"/>
          <w:sz w:val="24"/>
          <w:szCs w:val="24"/>
          <w:lang w:val="es-ES_tradnl"/>
        </w:rPr>
        <w:t>Interpretación:</w:t>
      </w:r>
    </w:p>
    <w:p w:rsidR="006E2BE2" w:rsidRPr="00EE003F" w:rsidRDefault="006E2BE2" w:rsidP="000A7AC5">
      <w:pPr>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En el Perú, con la finalidad de conservar y aprovechar a largo plazo la naturaleza y sus servicios eco-sistémicos, así como para preservar los valores culturales asociados a ella, el Ministerio del Ambiente ha declarado 166 áreas naturales protegidas (entre terrestres y marinas), lo que equivale al 18.38% del territorio nacional. Para fortalecer un desarrollo sostenible, se estima que el porcentaje de áreas terrestres y marinas protegidas debe alcanzar el 27.12% y el 32.63% en los años 2016 y 2021, respectivamente.</w:t>
      </w:r>
    </w:p>
    <w:p w:rsidR="00553A81" w:rsidRPr="00EE003F" w:rsidRDefault="00553A81" w:rsidP="001A4E17">
      <w:pPr>
        <w:rPr>
          <w:rFonts w:ascii="Arial Narrow" w:hAnsi="Arial Narrow"/>
          <w:lang w:val="es-ES_tradnl"/>
        </w:rPr>
      </w:pPr>
    </w:p>
    <w:p w:rsidR="003F54AD" w:rsidRPr="00EE003F" w:rsidRDefault="006E2BE2" w:rsidP="001A4E17">
      <w:pPr>
        <w:rPr>
          <w:rFonts w:ascii="Arial Narrow" w:hAnsi="Arial Narrow"/>
        </w:rPr>
      </w:pPr>
      <w:r w:rsidRPr="00EE003F">
        <w:rPr>
          <w:rFonts w:ascii="Arial Narrow" w:hAnsi="Arial Narrow"/>
          <w:noProof/>
          <w:lang w:eastAsia="es-PE"/>
        </w:rPr>
        <w:drawing>
          <wp:inline distT="0" distB="0" distL="0" distR="0" wp14:anchorId="2EA534D3" wp14:editId="12E85719">
            <wp:extent cx="5398617" cy="339261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cos-pedn-05.gif"/>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405483" cy="3396928"/>
                    </a:xfrm>
                    <a:prstGeom prst="rect">
                      <a:avLst/>
                    </a:prstGeom>
                  </pic:spPr>
                </pic:pic>
              </a:graphicData>
            </a:graphic>
          </wp:inline>
        </w:drawing>
      </w:r>
    </w:p>
    <w:p w:rsidR="006E2BE2" w:rsidRPr="00EE003F" w:rsidRDefault="00030406" w:rsidP="001A4E17">
      <w:pPr>
        <w:rPr>
          <w:rFonts w:ascii="Arial Narrow" w:hAnsi="Arial Narrow"/>
          <w:b/>
        </w:rPr>
      </w:pPr>
      <w:r w:rsidRPr="00EE003F">
        <w:rPr>
          <w:noProof/>
          <w:lang w:eastAsia="es-PE"/>
        </w:rPr>
        <w:drawing>
          <wp:inline distT="0" distB="0" distL="0" distR="0" wp14:anchorId="766228C1" wp14:editId="2EC269AD">
            <wp:extent cx="5400675" cy="3591284"/>
            <wp:effectExtent l="0" t="0" r="0"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400675" cy="3591284"/>
                    </a:xfrm>
                    <a:prstGeom prst="rect">
                      <a:avLst/>
                    </a:prstGeom>
                  </pic:spPr>
                </pic:pic>
              </a:graphicData>
            </a:graphic>
          </wp:inline>
        </w:drawing>
      </w:r>
    </w:p>
    <w:p w:rsidR="006E2BE2" w:rsidRPr="00EE003F" w:rsidRDefault="006E2BE2" w:rsidP="000A7AC5">
      <w:pPr>
        <w:autoSpaceDE w:val="0"/>
        <w:autoSpaceDN w:val="0"/>
        <w:adjustRightInd w:val="0"/>
        <w:spacing w:before="120" w:after="0" w:line="240" w:lineRule="auto"/>
        <w:jc w:val="both"/>
        <w:textAlignment w:val="center"/>
        <w:rPr>
          <w:rFonts w:ascii="Arial Narrow" w:hAnsi="Arial Narrow" w:cs="Frutiger LT Std 45 Light"/>
          <w:b/>
          <w:spacing w:val="2"/>
          <w:sz w:val="24"/>
          <w:lang w:val="es-ES_tradnl"/>
        </w:rPr>
      </w:pPr>
      <w:r w:rsidRPr="00EE003F">
        <w:rPr>
          <w:rFonts w:ascii="Arial Narrow" w:hAnsi="Arial Narrow" w:cs="Frutiger LT Std 45 Light"/>
          <w:b/>
          <w:spacing w:val="2"/>
          <w:sz w:val="24"/>
          <w:lang w:val="es-ES_tradnl"/>
        </w:rPr>
        <w:t>Interpretación:</w:t>
      </w:r>
    </w:p>
    <w:p w:rsidR="006E2BE2" w:rsidRPr="00EE003F" w:rsidRDefault="006E2BE2" w:rsidP="000A7AC5">
      <w:pPr>
        <w:autoSpaceDE w:val="0"/>
        <w:autoSpaceDN w:val="0"/>
        <w:adjustRightInd w:val="0"/>
        <w:spacing w:before="120" w:after="0" w:line="240" w:lineRule="auto"/>
        <w:jc w:val="both"/>
        <w:textAlignment w:val="center"/>
        <w:rPr>
          <w:rFonts w:ascii="Arial Narrow" w:hAnsi="Arial Narrow" w:cs="Frutiger LT Std 45 Light"/>
          <w:spacing w:val="2"/>
          <w:sz w:val="24"/>
          <w:lang w:val="es-ES_tradnl"/>
        </w:rPr>
      </w:pPr>
      <w:r w:rsidRPr="00EE003F">
        <w:rPr>
          <w:rFonts w:ascii="Arial Narrow" w:hAnsi="Arial Narrow" w:cs="Frutiger LT Std 45 Light"/>
          <w:spacing w:val="2"/>
          <w:sz w:val="24"/>
          <w:lang w:val="es-ES_tradnl"/>
        </w:rPr>
        <w:t>Alrededor del mundo, se observa que el crecimiento económico viene generando un notable incremento en la emisión de gases de efecto invernadero que provienen, principalmente, de las actividades relacionadas a la generación de energía y a la agricultura. Por ese motivo, será conveniente adoptar tecnologías más limpias que ayuden a moderar la emisión de uno de los principales gases contaminantes: el dióxido de carbono. De esta forma, se plantean alcanzar las metas propuestas para los años 2016 y 2021.</w:t>
      </w:r>
    </w:p>
    <w:p w:rsidR="006E2BE2" w:rsidRPr="00EE003F" w:rsidRDefault="006E2BE2" w:rsidP="001A4E17">
      <w:pPr>
        <w:rPr>
          <w:rFonts w:ascii="Arial Narrow" w:hAnsi="Arial Narrow"/>
          <w:lang w:val="es-ES_tradnl"/>
        </w:rPr>
      </w:pPr>
      <w:r w:rsidRPr="00EE003F">
        <w:rPr>
          <w:rFonts w:ascii="Arial Narrow" w:hAnsi="Arial Narrow"/>
          <w:noProof/>
          <w:lang w:eastAsia="es-PE"/>
        </w:rPr>
        <w:drawing>
          <wp:inline distT="0" distB="0" distL="0" distR="0" wp14:anchorId="735CEB89" wp14:editId="4EC4D0DE">
            <wp:extent cx="4619625" cy="3059365"/>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cos-pedn-07.gif"/>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623741" cy="3062091"/>
                    </a:xfrm>
                    <a:prstGeom prst="rect">
                      <a:avLst/>
                    </a:prstGeom>
                  </pic:spPr>
                </pic:pic>
              </a:graphicData>
            </a:graphic>
          </wp:inline>
        </w:drawing>
      </w:r>
    </w:p>
    <w:p w:rsidR="006E2BE2" w:rsidRPr="00EE003F" w:rsidRDefault="00030406" w:rsidP="001A4E17">
      <w:pPr>
        <w:rPr>
          <w:rFonts w:ascii="Arial Narrow" w:hAnsi="Arial Narrow"/>
          <w:lang w:val="es-ES_tradnl"/>
        </w:rPr>
      </w:pPr>
      <w:r w:rsidRPr="00EE003F">
        <w:rPr>
          <w:noProof/>
          <w:lang w:eastAsia="es-PE"/>
        </w:rPr>
        <w:drawing>
          <wp:inline distT="0" distB="0" distL="0" distR="0" wp14:anchorId="6F8DB647" wp14:editId="2A96B5A2">
            <wp:extent cx="5400675" cy="3555230"/>
            <wp:effectExtent l="0" t="0" r="0" b="762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400675" cy="3555230"/>
                    </a:xfrm>
                    <a:prstGeom prst="rect">
                      <a:avLst/>
                    </a:prstGeom>
                  </pic:spPr>
                </pic:pic>
              </a:graphicData>
            </a:graphic>
          </wp:inline>
        </w:drawing>
      </w:r>
    </w:p>
    <w:p w:rsidR="006E2BE2" w:rsidRPr="00EE003F" w:rsidRDefault="006E2BE2" w:rsidP="000A7AC5">
      <w:pPr>
        <w:autoSpaceDE w:val="0"/>
        <w:autoSpaceDN w:val="0"/>
        <w:adjustRightInd w:val="0"/>
        <w:spacing w:before="120" w:after="0" w:line="240" w:lineRule="auto"/>
        <w:jc w:val="both"/>
        <w:textAlignment w:val="center"/>
        <w:rPr>
          <w:rFonts w:ascii="Arial Narrow" w:hAnsi="Arial Narrow" w:cs="Frutiger LT Std 45 Light"/>
          <w:sz w:val="24"/>
          <w:lang w:val="es-ES_tradnl"/>
        </w:rPr>
      </w:pPr>
      <w:r w:rsidRPr="00EE003F">
        <w:rPr>
          <w:rFonts w:ascii="Arial Narrow" w:hAnsi="Arial Narrow" w:cs="Frutiger LT Std 45 Light"/>
          <w:b/>
          <w:bCs/>
          <w:sz w:val="24"/>
          <w:lang w:val="es-ES_tradnl"/>
        </w:rPr>
        <w:t>Interpretación:</w:t>
      </w:r>
    </w:p>
    <w:p w:rsidR="006E2BE2" w:rsidRPr="00EE003F" w:rsidRDefault="006E2BE2" w:rsidP="000A7AC5">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lang w:val="es-ES_tradnl"/>
        </w:rPr>
      </w:pPr>
      <w:r w:rsidRPr="00EE003F">
        <w:rPr>
          <w:rFonts w:ascii="Arial Narrow" w:hAnsi="Arial Narrow" w:cs="Frutiger LT Std 45 Light"/>
          <w:spacing w:val="2"/>
          <w:sz w:val="24"/>
          <w:lang w:val="es-ES_tradnl"/>
        </w:rPr>
        <w:t>La existencia de condiciones geográficas y climáticas diversas, así como la presencia de la Cordillera de los Andes y la ubicación del Perú dentro del Cinturón de Fuego del Pacífico dificultan la implementación de una eficaz gestión del riesgo de desastres. Ante ello, el Gobierno ha venido impulsando la formulación y la adopción de políticas que logren una sociedad segura y resiliente ante la ocurrencia de fenómenos de origen natural. Así, recientemente, se ha aprobado el Plan Nacional de Gestión del Riesgo de Desastres (PLANAGERD 2014-2021), cuya ejecución haría posible la reducción de la vulnerabilidad de la población y permitiría alcanzar las metas establecidas al 2016 y 2021.</w:t>
      </w:r>
    </w:p>
    <w:p w:rsidR="00CA01D1" w:rsidRPr="00EE003F" w:rsidRDefault="00CA01D1">
      <w:pPr>
        <w:rPr>
          <w:rFonts w:ascii="Arial Narrow" w:hAnsi="Arial Narrow"/>
          <w:lang w:val="es-ES_tradnl"/>
        </w:rPr>
      </w:pPr>
      <w:r w:rsidRPr="00EE003F">
        <w:rPr>
          <w:rFonts w:ascii="Arial Narrow" w:hAnsi="Arial Narrow"/>
          <w:lang w:val="es-ES_tradnl"/>
        </w:rPr>
        <w:br w:type="page"/>
      </w:r>
    </w:p>
    <w:p w:rsidR="006E2BE2" w:rsidRPr="00EE003F" w:rsidRDefault="00A450DA" w:rsidP="009054AC">
      <w:pPr>
        <w:pStyle w:val="Ttulo1"/>
        <w:jc w:val="center"/>
        <w:rPr>
          <w:rStyle w:val="Ttulo2Car"/>
        </w:rPr>
      </w:pPr>
      <w:bookmarkStart w:id="42" w:name="_Toc453004677"/>
      <w:r w:rsidRPr="00EE003F">
        <w:rPr>
          <w:rFonts w:ascii="Arial Narrow" w:hAnsi="Arial Narrow"/>
          <w:b/>
          <w:sz w:val="32"/>
          <w:szCs w:val="32"/>
        </w:rPr>
        <w:t>CAPITULO [</w:t>
      </w:r>
      <w:r w:rsidR="006E2BE2" w:rsidRPr="00EE003F">
        <w:rPr>
          <w:rFonts w:ascii="Arial Narrow" w:hAnsi="Arial Narrow"/>
          <w:b/>
          <w:sz w:val="32"/>
          <w:szCs w:val="32"/>
        </w:rPr>
        <w:t>6</w:t>
      </w:r>
      <w:r w:rsidRPr="00EE003F">
        <w:rPr>
          <w:rFonts w:ascii="Arial Narrow" w:hAnsi="Arial Narrow"/>
          <w:b/>
          <w:sz w:val="32"/>
          <w:szCs w:val="32"/>
        </w:rPr>
        <w:t>]</w:t>
      </w:r>
      <w:r w:rsidR="009054AC" w:rsidRPr="00EE003F">
        <w:rPr>
          <w:rFonts w:ascii="Arial Narrow" w:hAnsi="Arial Narrow"/>
          <w:b/>
          <w:sz w:val="32"/>
          <w:szCs w:val="32"/>
        </w:rPr>
        <w:t xml:space="preserve"> </w:t>
      </w:r>
      <w:r w:rsidR="009054AC" w:rsidRPr="00EE003F">
        <w:rPr>
          <w:rFonts w:ascii="Arial Narrow" w:hAnsi="Arial Narrow"/>
          <w:b/>
          <w:sz w:val="32"/>
          <w:szCs w:val="32"/>
        </w:rPr>
        <w:br/>
      </w:r>
      <w:r w:rsidR="006E2BE2" w:rsidRPr="00EE003F">
        <w:rPr>
          <w:rStyle w:val="Ttulo2Car"/>
        </w:rPr>
        <w:t>Visión del Perú al 2050</w:t>
      </w:r>
      <w:r w:rsidR="009054AC" w:rsidRPr="00EE003F">
        <w:rPr>
          <w:rFonts w:ascii="Arial Narrow" w:hAnsi="Arial Narrow"/>
          <w:b/>
          <w:sz w:val="32"/>
          <w:szCs w:val="32"/>
        </w:rPr>
        <w:br/>
      </w:r>
      <w:r w:rsidR="006E2BE2" w:rsidRPr="00EE003F">
        <w:rPr>
          <w:rStyle w:val="Ttulo2Car"/>
        </w:rPr>
        <w:t>Inicio del proceso “Perú Tres Tiempos”</w:t>
      </w:r>
      <w:bookmarkEnd w:id="42"/>
    </w:p>
    <w:p w:rsidR="00820171" w:rsidRPr="00EE003F" w:rsidRDefault="00820171" w:rsidP="000A7A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lang w:val="es-ES_tradnl"/>
        </w:rPr>
      </w:pPr>
    </w:p>
    <w:p w:rsidR="00820171" w:rsidRPr="00EE003F" w:rsidRDefault="00820171" w:rsidP="000A7A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lang w:val="es-ES_tradnl"/>
        </w:rPr>
      </w:pPr>
    </w:p>
    <w:p w:rsidR="006E2BE2" w:rsidRPr="00EE003F" w:rsidRDefault="006E2BE2" w:rsidP="000A7A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lang w:val="es-ES_tradnl"/>
        </w:rPr>
      </w:pPr>
      <w:r w:rsidRPr="00EE003F">
        <w:rPr>
          <w:rFonts w:ascii="Arial Narrow" w:hAnsi="Arial Narrow" w:cs="Frutiger LT Std 45 Light"/>
          <w:spacing w:val="2"/>
          <w:sz w:val="24"/>
          <w:lang w:val="es-ES_tradnl"/>
        </w:rPr>
        <w:t>Conducir el proceso de construcción de una visión compartida y concertada del futuro del país, en un marco unitario y descentralizado; es uno de los principales mandatos de la ley de creación del Sistema Nacional de Planeamiento Estratégico y del Centro Nacional de Planeamiento Estratégico. Pero, cuando hacemos referencia al futuro debemos preguntarnos: ¿en qué horizonte de tiempo estamos pensando? ¿Qué es más importante, el corto, el mediano o el largo plazo? ¿Qué cambios justifican pensar en un horizonte de tiempo determinado? Pensar en estas y otras preguntas es clave para definir el horizonte de tiempo de un proceso prospectivo y de planeamiento estratégico.</w:t>
      </w:r>
    </w:p>
    <w:p w:rsidR="006E2BE2" w:rsidRPr="00EE003F" w:rsidRDefault="006E2BE2" w:rsidP="000A7A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lang w:val="es-ES_tradnl"/>
        </w:rPr>
      </w:pPr>
      <w:r w:rsidRPr="00EE003F">
        <w:rPr>
          <w:rFonts w:ascii="Arial Narrow" w:hAnsi="Arial Narrow" w:cs="Frutiger LT Std 45 Light"/>
          <w:spacing w:val="2"/>
          <w:sz w:val="24"/>
          <w:lang w:val="es-ES_tradnl"/>
        </w:rPr>
        <w:t xml:space="preserve">Entre los temas de mayor importancia en el modelamiento de los futuros posibles, se encuentra el desarrollo tecnológico, dado que la mayoría de herramientas de pronóstico cuantitativas y cualitativas han sido desarrolladas en ese campo. Según Raymond Kurzweil hacia el 2050 el desarrollo tecnológico llegará a ser tan avanzado que permitirá a la humanidad ampliar radicalmente su esperanza de vida y la calidad de esta, ralentizar los procesos de envejecimiento, detenerlos y finalmente revertirlos. Así mismo hacia el 2029, se presume que </w:t>
      </w:r>
      <w:r w:rsidR="00D827D8" w:rsidRPr="00EE003F">
        <w:rPr>
          <w:rFonts w:ascii="Arial Narrow" w:hAnsi="Arial Narrow" w:cs="Frutiger LT Std 45 Light"/>
          <w:spacing w:val="2"/>
          <w:sz w:val="24"/>
          <w:lang w:val="es-ES_tradnl"/>
        </w:rPr>
        <w:t>habrá</w:t>
      </w:r>
      <w:r w:rsidRPr="00EE003F">
        <w:rPr>
          <w:rFonts w:ascii="Arial Narrow" w:hAnsi="Arial Narrow" w:cs="Frutiger LT Std 45 Light"/>
          <w:spacing w:val="2"/>
          <w:sz w:val="24"/>
          <w:lang w:val="es-ES_tradnl"/>
        </w:rPr>
        <w:t xml:space="preserve"> computadoras con inteligencia artificial que les permita ser conscientes de sí mismas y tener emociones, al punto que no podremos distinguirlos de un ser humano. Este fenómeno, ha sido bautizado por los expertos en tecnología como “Singularidad Tecnológica”; los pronósticos más optimistas plantean que sucederá al 2029 y los más pesimistas al 2045.</w:t>
      </w:r>
    </w:p>
    <w:p w:rsidR="006E2BE2" w:rsidRPr="00EE003F" w:rsidRDefault="006E2BE2" w:rsidP="000A7A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lang w:val="es-ES_tradnl"/>
        </w:rPr>
      </w:pPr>
      <w:r w:rsidRPr="00EE003F">
        <w:rPr>
          <w:rFonts w:ascii="Arial Narrow" w:hAnsi="Arial Narrow" w:cs="Frutiger LT Std 45 Light"/>
          <w:spacing w:val="2"/>
          <w:sz w:val="24"/>
          <w:lang w:val="es-ES_tradnl"/>
        </w:rPr>
        <w:t>Este cambio disruptivo será de tal magnitud, que muchos futuristas dudan de la posibilidad de realizar pronósticos más allá del 2030. No obstante, mediante la prospectiva podemos explorar distintas alternativas de futuro, socializarlas con los diversos grupos de interés en el país, para tomar decisiones estratégicas sobre nuestro posicionamiento en los posibles futuros de la economía mundial.</w:t>
      </w:r>
    </w:p>
    <w:p w:rsidR="006E2BE2" w:rsidRPr="00EE003F" w:rsidRDefault="006E2BE2" w:rsidP="000A7A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lang w:val="es-ES_tradnl"/>
        </w:rPr>
      </w:pPr>
      <w:r w:rsidRPr="00EE003F">
        <w:rPr>
          <w:rFonts w:ascii="Arial Narrow" w:hAnsi="Arial Narrow" w:cs="Frutiger LT Std 45 Light"/>
          <w:spacing w:val="2"/>
          <w:sz w:val="24"/>
          <w:lang w:val="es-ES_tradnl"/>
        </w:rPr>
        <w:t xml:space="preserve">Al 2030, la proporción de personas en edad potencialmente productivas, va a crecer de manera </w:t>
      </w:r>
      <w:r w:rsidR="00D827D8" w:rsidRPr="00EE003F">
        <w:rPr>
          <w:rFonts w:ascii="Arial Narrow" w:hAnsi="Arial Narrow" w:cs="Frutiger LT Std 45 Light"/>
          <w:spacing w:val="2"/>
          <w:sz w:val="24"/>
          <w:lang w:val="es-ES_tradnl"/>
        </w:rPr>
        <w:t xml:space="preserve">sostenida en relación al grupo </w:t>
      </w:r>
      <w:r w:rsidRPr="00EE003F">
        <w:rPr>
          <w:rFonts w:ascii="Arial Narrow" w:hAnsi="Arial Narrow" w:cs="Frutiger LT Std 45 Light"/>
          <w:spacing w:val="2"/>
          <w:sz w:val="24"/>
          <w:lang w:val="es-ES_tradnl"/>
        </w:rPr>
        <w:t xml:space="preserve">de personas en edad potencialmente inactivas.  Este proceso es conocido como bono demográfico, y si esta oportunidad es aprovechada con responsabilidad, puede </w:t>
      </w:r>
      <w:r w:rsidR="00D827D8" w:rsidRPr="00EE003F">
        <w:rPr>
          <w:rFonts w:ascii="Arial Narrow" w:hAnsi="Arial Narrow" w:cs="Frutiger LT Std 45 Light"/>
          <w:spacing w:val="2"/>
          <w:sz w:val="24"/>
          <w:lang w:val="es-ES_tradnl"/>
        </w:rPr>
        <w:t>brindar diversos</w:t>
      </w:r>
      <w:r w:rsidRPr="00EE003F">
        <w:rPr>
          <w:rFonts w:ascii="Arial Narrow" w:hAnsi="Arial Narrow" w:cs="Frutiger LT Std 45 Light"/>
          <w:spacing w:val="2"/>
          <w:sz w:val="24"/>
          <w:lang w:val="es-ES_tradnl"/>
        </w:rPr>
        <w:t xml:space="preserve">  beneficios en materia de ahorro, inversión y crecimiento económico</w:t>
      </w:r>
      <w:r w:rsidRPr="00EE003F">
        <w:rPr>
          <w:rFonts w:ascii="Arial Narrow" w:hAnsi="Arial Narrow" w:cs="Frutiger LT Std 45 Light"/>
          <w:spacing w:val="2"/>
          <w:sz w:val="24"/>
          <w:vertAlign w:val="superscript"/>
          <w:lang w:val="es-ES_tradnl"/>
        </w:rPr>
        <w:footnoteReference w:id="44"/>
      </w:r>
      <w:r w:rsidRPr="00EE003F">
        <w:rPr>
          <w:rFonts w:ascii="Arial Narrow" w:hAnsi="Arial Narrow" w:cs="Frutiger LT Std 45 Light"/>
          <w:spacing w:val="2"/>
          <w:sz w:val="24"/>
          <w:lang w:val="es-ES_tradnl"/>
        </w:rPr>
        <w:t>.</w:t>
      </w:r>
    </w:p>
    <w:p w:rsidR="00D827D8" w:rsidRPr="00EE003F" w:rsidRDefault="00D827D8" w:rsidP="006E2BE2">
      <w:pPr>
        <w:suppressAutoHyphens/>
        <w:autoSpaceDE w:val="0"/>
        <w:autoSpaceDN w:val="0"/>
        <w:adjustRightInd w:val="0"/>
        <w:spacing w:before="113" w:after="0" w:line="288" w:lineRule="auto"/>
        <w:jc w:val="both"/>
        <w:textAlignment w:val="center"/>
        <w:rPr>
          <w:rFonts w:ascii="Arial Narrow" w:hAnsi="Arial Narrow" w:cs="Frutiger LT Std 45 Light"/>
          <w:spacing w:val="2"/>
          <w:lang w:val="es-ES_tradnl"/>
        </w:rPr>
      </w:pPr>
    </w:p>
    <w:p w:rsidR="003F54AD" w:rsidRPr="00EE003F" w:rsidRDefault="00D827D8" w:rsidP="001A4E17">
      <w:pPr>
        <w:rPr>
          <w:rFonts w:ascii="Arial Narrow" w:hAnsi="Arial Narrow" w:cs="Frutiger LT Std 45 Light"/>
          <w:spacing w:val="2"/>
          <w:lang w:val="es-ES_tradnl"/>
        </w:rPr>
      </w:pPr>
      <w:r w:rsidRPr="00EE003F">
        <w:rPr>
          <w:rFonts w:ascii="Arial Narrow" w:hAnsi="Arial Narrow" w:cs="Frutiger LT Std 45 Light"/>
          <w:noProof/>
          <w:spacing w:val="2"/>
          <w:lang w:eastAsia="es-PE"/>
        </w:rPr>
        <w:drawing>
          <wp:inline distT="0" distB="0" distL="0" distR="0" wp14:anchorId="72C2DACB" wp14:editId="3850A0DF">
            <wp:extent cx="4981903" cy="2831421"/>
            <wp:effectExtent l="0" t="0" r="0" b="76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cos-pedn-09.gif"/>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995208" cy="2838983"/>
                    </a:xfrm>
                    <a:prstGeom prst="rect">
                      <a:avLst/>
                    </a:prstGeom>
                  </pic:spPr>
                </pic:pic>
              </a:graphicData>
            </a:graphic>
          </wp:inline>
        </w:drawing>
      </w:r>
    </w:p>
    <w:p w:rsidR="00D827D8" w:rsidRPr="00EE003F" w:rsidRDefault="00D827D8" w:rsidP="000A7AC5">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 xml:space="preserve">Asimismo, es importante considerar que para el 2030 habrán 1,9 millones de adultos mayores (0,6 millones más de los que hay hoy) y, de este modo, se requerirán mayores servicios básicos tales como salud, así como mejores pensiones de jubilación para asegurar una vida digna y mejorar el bienestar de esta creciente población.  </w:t>
      </w:r>
    </w:p>
    <w:p w:rsidR="003F54AD" w:rsidRPr="00EE003F" w:rsidRDefault="00D827D8" w:rsidP="000A7AC5">
      <w:pPr>
        <w:spacing w:before="120" w:line="240" w:lineRule="auto"/>
        <w:jc w:val="both"/>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Es por ello importante observar la evolución de la tasa de dependencia, que expresa la relación existente entre la población dependiente y la población productiva.  A medida que la tasa se incrementa, aumenta la carga que supone para la parte productiva de la población mantener a la parte económicamente dependiente: por un lado los niños y por otro la PEA adulta mayor.</w:t>
      </w:r>
    </w:p>
    <w:p w:rsidR="003F54AD" w:rsidRPr="00EE003F" w:rsidRDefault="00D827D8" w:rsidP="001A4E17">
      <w:pPr>
        <w:rPr>
          <w:rFonts w:ascii="Arial Narrow" w:hAnsi="Arial Narrow"/>
        </w:rPr>
      </w:pPr>
      <w:r w:rsidRPr="00EE003F">
        <w:rPr>
          <w:rFonts w:ascii="Arial Narrow" w:hAnsi="Arial Narrow"/>
          <w:noProof/>
          <w:lang w:eastAsia="es-PE"/>
        </w:rPr>
        <w:drawing>
          <wp:inline distT="0" distB="0" distL="0" distR="0" wp14:anchorId="0838600F" wp14:editId="75C9D924">
            <wp:extent cx="4267200" cy="2318522"/>
            <wp:effectExtent l="0" t="0" r="0" b="571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cos-pedn-10.gif"/>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272343" cy="2321316"/>
                    </a:xfrm>
                    <a:prstGeom prst="rect">
                      <a:avLst/>
                    </a:prstGeom>
                  </pic:spPr>
                </pic:pic>
              </a:graphicData>
            </a:graphic>
          </wp:inline>
        </w:drawing>
      </w:r>
    </w:p>
    <w:p w:rsidR="00D827D8" w:rsidRPr="00EE003F" w:rsidRDefault="00D827D8" w:rsidP="000A7AC5">
      <w:pPr>
        <w:suppressAutoHyphens/>
        <w:autoSpaceDE w:val="0"/>
        <w:autoSpaceDN w:val="0"/>
        <w:adjustRightInd w:val="0"/>
        <w:spacing w:before="120" w:after="0" w:line="240" w:lineRule="auto"/>
        <w:jc w:val="both"/>
        <w:textAlignment w:val="center"/>
        <w:rPr>
          <w:rFonts w:ascii="Arial Narrow" w:hAnsi="Arial Narrow" w:cs="Frutiger LT Std 45 Light"/>
          <w:spacing w:val="2"/>
          <w:lang w:val="es-ES_tradnl"/>
        </w:rPr>
      </w:pPr>
      <w:r w:rsidRPr="00EE003F">
        <w:rPr>
          <w:rFonts w:ascii="Arial Narrow" w:hAnsi="Arial Narrow" w:cs="Frutiger LT Std 45 Light"/>
          <w:spacing w:val="2"/>
          <w:lang w:val="es-ES_tradnl"/>
        </w:rPr>
        <w:t>Al 2030 Perú dispondrá de una población económicamente activa que tendrá que soportar una menor tasa de dependencia que las registradas históricamente debido al bono demográfico que actualmente está ocurriendo en nuestro país.</w:t>
      </w:r>
    </w:p>
    <w:p w:rsidR="00D827D8" w:rsidRPr="00EE003F" w:rsidRDefault="00D827D8" w:rsidP="000A7AC5">
      <w:pPr>
        <w:suppressAutoHyphens/>
        <w:autoSpaceDE w:val="0"/>
        <w:autoSpaceDN w:val="0"/>
        <w:adjustRightInd w:val="0"/>
        <w:spacing w:before="120" w:after="0" w:line="240" w:lineRule="auto"/>
        <w:jc w:val="both"/>
        <w:textAlignment w:val="center"/>
        <w:rPr>
          <w:rFonts w:ascii="Arial Narrow" w:hAnsi="Arial Narrow" w:cs="Frutiger LT Std 45 Light"/>
          <w:spacing w:val="2"/>
          <w:lang w:val="es-ES_tradnl"/>
        </w:rPr>
      </w:pPr>
      <w:r w:rsidRPr="00EE003F">
        <w:rPr>
          <w:rFonts w:ascii="Arial Narrow" w:hAnsi="Arial Narrow" w:cs="Frutiger LT Std 45 Light"/>
          <w:spacing w:val="2"/>
          <w:lang w:val="es-ES_tradnl"/>
        </w:rPr>
        <w:t>Al 2050 la población peruana ascenderá a 39 millones de personas, de las cuales el 68,5% estará apta para ingresar al mercado laboral.</w:t>
      </w:r>
    </w:p>
    <w:p w:rsidR="003F54AD" w:rsidRPr="00EE003F" w:rsidRDefault="00D827D8" w:rsidP="000A7AC5">
      <w:pPr>
        <w:spacing w:before="120" w:after="0" w:line="240" w:lineRule="auto"/>
        <w:rPr>
          <w:rFonts w:ascii="Arial Narrow" w:hAnsi="Arial Narrow" w:cs="Frutiger LT Std 45 Light"/>
          <w:spacing w:val="2"/>
          <w:lang w:val="es-ES_tradnl"/>
        </w:rPr>
      </w:pPr>
      <w:r w:rsidRPr="00EE003F">
        <w:rPr>
          <w:rFonts w:ascii="Arial Narrow" w:hAnsi="Arial Narrow" w:cs="Frutiger LT Std 45 Light"/>
          <w:spacing w:val="2"/>
          <w:lang w:val="es-ES_tradnl"/>
        </w:rPr>
        <w:t>En ese sentido, hay evidencia clara del proceso de transición demográfica en la evolución de la fuerza laboral por grupos de edad</w:t>
      </w:r>
    </w:p>
    <w:p w:rsidR="003F54AD" w:rsidRPr="00EE003F" w:rsidRDefault="00D827D8" w:rsidP="001A4E17">
      <w:pPr>
        <w:rPr>
          <w:rFonts w:ascii="Arial Narrow" w:hAnsi="Arial Narrow"/>
        </w:rPr>
      </w:pPr>
      <w:r w:rsidRPr="00EE003F">
        <w:rPr>
          <w:rFonts w:ascii="Arial Narrow" w:hAnsi="Arial Narrow"/>
          <w:noProof/>
          <w:lang w:eastAsia="es-PE"/>
        </w:rPr>
        <w:drawing>
          <wp:inline distT="0" distB="0" distL="0" distR="0" wp14:anchorId="5B9C3509" wp14:editId="12AB76F5">
            <wp:extent cx="4629150" cy="2477994"/>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cos-pedn-11.gif"/>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636139" cy="2481735"/>
                    </a:xfrm>
                    <a:prstGeom prst="rect">
                      <a:avLst/>
                    </a:prstGeom>
                  </pic:spPr>
                </pic:pic>
              </a:graphicData>
            </a:graphic>
          </wp:inline>
        </w:drawing>
      </w:r>
    </w:p>
    <w:p w:rsidR="00D827D8" w:rsidRPr="00EE003F" w:rsidRDefault="00D827D8" w:rsidP="00125BE8">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Al 2030, cerca de 20 millones de peruanos se encontrarán económicamente activos en el mercado laboral, principalmente, en la población adulta de 30 a 64 años que representa el 65% de la PEA.</w:t>
      </w:r>
    </w:p>
    <w:p w:rsidR="00D827D8" w:rsidRPr="00EE003F" w:rsidRDefault="00D827D8" w:rsidP="00125BE8">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Al 2050, se estima que la PEA ascenderá a poco más de 23 millones de personas.</w:t>
      </w:r>
    </w:p>
    <w:p w:rsidR="00D827D8" w:rsidRPr="00EE003F" w:rsidRDefault="00D827D8" w:rsidP="00125BE8">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 xml:space="preserve">En cuanto a la evolución de la pobreza para el periodo 2030-2050, </w:t>
      </w:r>
      <w:r w:rsidR="00125BE8" w:rsidRPr="00EE003F">
        <w:rPr>
          <w:rFonts w:ascii="Arial Narrow" w:hAnsi="Arial Narrow" w:cs="Frutiger LT Std 45 Light"/>
          <w:spacing w:val="2"/>
          <w:sz w:val="24"/>
          <w:szCs w:val="24"/>
          <w:lang w:val="es-ES_tradnl"/>
        </w:rPr>
        <w:t xml:space="preserve">para el primer año alcanzará el 5% y se espera que haya prácticamente desaparecido hacia el 2050, año en que adoptará un valor de </w:t>
      </w:r>
      <w:r w:rsidRPr="00EE003F">
        <w:rPr>
          <w:rFonts w:ascii="Arial Narrow" w:hAnsi="Arial Narrow" w:cs="Frutiger LT Std 45 Light"/>
          <w:spacing w:val="2"/>
          <w:sz w:val="24"/>
          <w:szCs w:val="24"/>
          <w:lang w:val="es-ES_tradnl"/>
        </w:rPr>
        <w:t>0.3%</w:t>
      </w:r>
      <w:r w:rsidR="00125BE8" w:rsidRPr="00EE003F">
        <w:rPr>
          <w:rFonts w:ascii="Arial Narrow" w:hAnsi="Arial Narrow" w:cs="Frutiger LT Std 45 Light"/>
          <w:spacing w:val="2"/>
          <w:sz w:val="24"/>
          <w:szCs w:val="24"/>
          <w:lang w:val="es-ES_tradnl"/>
        </w:rPr>
        <w:t>.</w:t>
      </w:r>
    </w:p>
    <w:p w:rsidR="00125BE8" w:rsidRPr="00EE003F" w:rsidRDefault="00125BE8" w:rsidP="000A7AC5">
      <w:pPr>
        <w:suppressAutoHyphens/>
        <w:autoSpaceDE w:val="0"/>
        <w:autoSpaceDN w:val="0"/>
        <w:adjustRightInd w:val="0"/>
        <w:spacing w:before="113" w:after="0" w:line="240" w:lineRule="auto"/>
        <w:jc w:val="both"/>
        <w:textAlignment w:val="center"/>
        <w:rPr>
          <w:rFonts w:ascii="Arial Narrow" w:hAnsi="Arial Narrow" w:cs="Frutiger LT Std 45 Light"/>
          <w:spacing w:val="2"/>
          <w:lang w:val="es-ES_tradnl"/>
        </w:rPr>
      </w:pPr>
    </w:p>
    <w:p w:rsidR="003F54AD" w:rsidRPr="00EE003F" w:rsidRDefault="003F54AD" w:rsidP="001A4E17">
      <w:pPr>
        <w:rPr>
          <w:rFonts w:ascii="Arial Narrow" w:hAnsi="Arial Narrow"/>
        </w:rPr>
      </w:pPr>
    </w:p>
    <w:p w:rsidR="003F54AD" w:rsidRPr="00EE003F" w:rsidRDefault="00E21E5B" w:rsidP="001A4E17">
      <w:pPr>
        <w:rPr>
          <w:rFonts w:ascii="Arial Narrow" w:hAnsi="Arial Narrow"/>
        </w:rPr>
      </w:pPr>
      <w:r w:rsidRPr="00EE003F">
        <w:rPr>
          <w:noProof/>
          <w:lang w:eastAsia="es-PE"/>
        </w:rPr>
        <w:drawing>
          <wp:inline distT="0" distB="0" distL="0" distR="0" wp14:anchorId="56FF62EE" wp14:editId="1E831AB5">
            <wp:extent cx="5400675" cy="2621509"/>
            <wp:effectExtent l="0" t="0" r="0" b="762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400675" cy="2621509"/>
                    </a:xfrm>
                    <a:prstGeom prst="rect">
                      <a:avLst/>
                    </a:prstGeom>
                  </pic:spPr>
                </pic:pic>
              </a:graphicData>
            </a:graphic>
          </wp:inline>
        </w:drawing>
      </w:r>
    </w:p>
    <w:p w:rsidR="00E21E5B" w:rsidRPr="00EE003F" w:rsidRDefault="00E21E5B" w:rsidP="001A4E17">
      <w:pPr>
        <w:rPr>
          <w:rFonts w:ascii="Arial Narrow" w:hAnsi="Arial Narrow" w:cs="Frutiger LT Std 45 Light"/>
          <w:noProof/>
          <w:spacing w:val="2"/>
          <w:lang w:eastAsia="es-PE"/>
        </w:rPr>
      </w:pPr>
    </w:p>
    <w:p w:rsidR="00D827D8" w:rsidRPr="00EE003F" w:rsidRDefault="00E21E5B" w:rsidP="001A4E17">
      <w:pPr>
        <w:rPr>
          <w:rFonts w:ascii="Arial Narrow" w:hAnsi="Arial Narrow" w:cs="Frutiger LT Std 45 Light"/>
          <w:spacing w:val="2"/>
          <w:lang w:val="es-ES_tradnl"/>
        </w:rPr>
      </w:pPr>
      <w:r w:rsidRPr="00EE003F">
        <w:rPr>
          <w:rFonts w:ascii="Arial Narrow" w:hAnsi="Arial Narrow" w:cs="Frutiger LT Std 45 Light"/>
          <w:noProof/>
          <w:spacing w:val="2"/>
          <w:lang w:eastAsia="es-PE"/>
        </w:rPr>
        <w:drawing>
          <wp:inline distT="0" distB="0" distL="0" distR="0" wp14:anchorId="26A447DB" wp14:editId="07655595">
            <wp:extent cx="5365069" cy="2760149"/>
            <wp:effectExtent l="0" t="0" r="762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79865" cy="2767761"/>
                    </a:xfrm>
                    <a:prstGeom prst="rect">
                      <a:avLst/>
                    </a:prstGeom>
                    <a:noFill/>
                  </pic:spPr>
                </pic:pic>
              </a:graphicData>
            </a:graphic>
          </wp:inline>
        </w:drawing>
      </w:r>
    </w:p>
    <w:p w:rsidR="00E92B4A" w:rsidRPr="00EE003F" w:rsidRDefault="00E92B4A" w:rsidP="0060085C">
      <w:pPr>
        <w:spacing w:after="0"/>
        <w:rPr>
          <w:rFonts w:ascii="Arial Narrow" w:hAnsi="Arial Narrow" w:cs="Frutiger LT Std 45 Light"/>
          <w:spacing w:val="2"/>
          <w:sz w:val="18"/>
          <w:szCs w:val="18"/>
        </w:rPr>
      </w:pPr>
      <w:r w:rsidRPr="00EE003F">
        <w:rPr>
          <w:rFonts w:ascii="Arial Narrow" w:hAnsi="Arial Narrow" w:cs="Frutiger LT Std 45 Light"/>
          <w:spacing w:val="2"/>
          <w:sz w:val="18"/>
          <w:szCs w:val="18"/>
        </w:rPr>
        <w:t>Fuente: PNUD, Modelo IFs Ceplan</w:t>
      </w:r>
    </w:p>
    <w:p w:rsidR="00E92B4A" w:rsidRPr="00EE003F" w:rsidRDefault="00E92B4A" w:rsidP="0060085C">
      <w:pPr>
        <w:spacing w:after="0"/>
        <w:rPr>
          <w:rFonts w:ascii="Arial Narrow" w:hAnsi="Arial Narrow" w:cs="Frutiger LT Std 45 Light"/>
          <w:spacing w:val="2"/>
          <w:sz w:val="18"/>
          <w:szCs w:val="18"/>
        </w:rPr>
      </w:pPr>
      <w:r w:rsidRPr="00EE003F">
        <w:rPr>
          <w:rFonts w:ascii="Arial Narrow" w:hAnsi="Arial Narrow" w:cs="Frutiger LT Std 45 Light"/>
          <w:spacing w:val="2"/>
          <w:sz w:val="18"/>
          <w:szCs w:val="18"/>
        </w:rPr>
        <w:t>Elaboración propia</w:t>
      </w:r>
    </w:p>
    <w:p w:rsidR="00EA47D0" w:rsidRPr="00EE003F" w:rsidRDefault="00EA47D0" w:rsidP="000F6FC5">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p>
    <w:p w:rsidR="00D827D8" w:rsidRPr="00EE003F" w:rsidRDefault="00D827D8" w:rsidP="000F6FC5">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El Índice de Desarrollo Humano, mide el logro promedio de tres dimensiones básicas del desarrollo humano: esperanza de vida, nivel de educación y calidad de vida</w:t>
      </w:r>
      <w:r w:rsidR="0058759B" w:rsidRPr="00EE003F">
        <w:rPr>
          <w:rFonts w:ascii="Arial Narrow" w:hAnsi="Arial Narrow" w:cs="Frutiger LT Std 45 Light"/>
          <w:spacing w:val="2"/>
          <w:sz w:val="24"/>
          <w:szCs w:val="24"/>
          <w:lang w:val="es-ES_tradnl"/>
        </w:rPr>
        <w:t xml:space="preserve">. </w:t>
      </w:r>
      <w:r w:rsidRPr="00EE003F">
        <w:rPr>
          <w:rFonts w:ascii="Arial Narrow" w:hAnsi="Arial Narrow" w:cs="Frutiger LT Std 45 Light"/>
          <w:spacing w:val="2"/>
          <w:sz w:val="24"/>
          <w:szCs w:val="24"/>
          <w:lang w:val="es-ES_tradnl"/>
        </w:rPr>
        <w:t xml:space="preserve">Para el 2030 se alcanzará un valor de 0.82, y alcanzará a países como Polonia.  Esta mejora será el reflejo de las eficientes políticas, las cuales le dan un mayor énfasis a la educación, el aseguramiento integral de la población y las políticas de inclusión social que lograrán una mejor distribución del ingreso. </w:t>
      </w:r>
    </w:p>
    <w:p w:rsidR="003F54AD" w:rsidRPr="00EE003F" w:rsidRDefault="00D827D8" w:rsidP="000F6FC5">
      <w:pPr>
        <w:spacing w:before="120" w:line="240" w:lineRule="auto"/>
        <w:jc w:val="both"/>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Para el 2050, el IDH alcanzará un valor de 0.94,</w:t>
      </w:r>
      <w:r w:rsidR="008E4B72" w:rsidRPr="00EE003F">
        <w:rPr>
          <w:rFonts w:ascii="Arial Narrow" w:hAnsi="Arial Narrow" w:cs="Frutiger LT Std 45 Light"/>
          <w:spacing w:val="2"/>
          <w:sz w:val="24"/>
          <w:szCs w:val="24"/>
          <w:lang w:val="es-ES_tradnl"/>
        </w:rPr>
        <w:t xml:space="preserve"> </w:t>
      </w:r>
      <w:r w:rsidRPr="00EE003F">
        <w:rPr>
          <w:rFonts w:ascii="Arial Narrow" w:hAnsi="Arial Narrow" w:cs="Frutiger LT Std 45 Light"/>
          <w:spacing w:val="2"/>
          <w:sz w:val="24"/>
          <w:szCs w:val="24"/>
          <w:lang w:val="es-ES_tradnl"/>
        </w:rPr>
        <w:t xml:space="preserve">comparable con niveles de Australia, que ocupa el segundo lugar en el </w:t>
      </w:r>
      <w:r w:rsidR="0058759B" w:rsidRPr="00EE003F">
        <w:rPr>
          <w:rFonts w:ascii="Arial Narrow" w:hAnsi="Arial Narrow" w:cs="Frutiger LT Std 45 Light"/>
          <w:spacing w:val="2"/>
          <w:sz w:val="24"/>
          <w:szCs w:val="24"/>
          <w:lang w:val="es-ES_tradnl"/>
        </w:rPr>
        <w:t>ranking</w:t>
      </w:r>
      <w:r w:rsidRPr="00EE003F">
        <w:rPr>
          <w:rFonts w:ascii="Arial Narrow" w:hAnsi="Arial Narrow" w:cs="Frutiger LT Std 45 Light"/>
          <w:spacing w:val="2"/>
          <w:sz w:val="24"/>
          <w:szCs w:val="24"/>
          <w:lang w:val="es-ES_tradnl"/>
        </w:rPr>
        <w:t xml:space="preserve"> mundial del año 2014.</w:t>
      </w:r>
    </w:p>
    <w:p w:rsidR="003F54AD" w:rsidRPr="00EE003F" w:rsidRDefault="0060085C" w:rsidP="001A4E17">
      <w:pPr>
        <w:rPr>
          <w:rFonts w:ascii="Arial Narrow" w:hAnsi="Arial Narrow"/>
        </w:rPr>
      </w:pPr>
      <w:r w:rsidRPr="00EE003F">
        <w:rPr>
          <w:rFonts w:ascii="Arial Narrow" w:hAnsi="Arial Narrow"/>
          <w:noProof/>
          <w:lang w:eastAsia="es-PE"/>
        </w:rPr>
        <w:drawing>
          <wp:inline distT="0" distB="0" distL="0" distR="0" wp14:anchorId="5590F15F" wp14:editId="3488A4DA">
            <wp:extent cx="5308270" cy="2692607"/>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08953" cy="2692953"/>
                    </a:xfrm>
                    <a:prstGeom prst="rect">
                      <a:avLst/>
                    </a:prstGeom>
                    <a:noFill/>
                  </pic:spPr>
                </pic:pic>
              </a:graphicData>
            </a:graphic>
          </wp:inline>
        </w:drawing>
      </w:r>
    </w:p>
    <w:p w:rsidR="003F54AD" w:rsidRPr="00EE003F" w:rsidRDefault="003F54AD" w:rsidP="001A4E17">
      <w:pPr>
        <w:rPr>
          <w:rFonts w:ascii="Arial Narrow" w:hAnsi="Arial Narrow"/>
        </w:rPr>
      </w:pPr>
    </w:p>
    <w:p w:rsidR="003F54AD" w:rsidRPr="00EE003F" w:rsidRDefault="00D827D8" w:rsidP="00346DF6">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lang w:val="es-ES_tradnl"/>
        </w:rPr>
      </w:pPr>
      <w:r w:rsidRPr="00EE003F">
        <w:rPr>
          <w:rFonts w:ascii="Arial Narrow" w:hAnsi="Arial Narrow" w:cs="Frutiger LT Std 45 Light"/>
          <w:spacing w:val="2"/>
          <w:sz w:val="24"/>
          <w:lang w:val="es-ES_tradnl"/>
        </w:rPr>
        <w:t>Al 2030, el PBI per cápita será alrededor de US$ 2</w:t>
      </w:r>
      <w:r w:rsidR="000F6FC5" w:rsidRPr="00EE003F">
        <w:rPr>
          <w:rFonts w:ascii="Arial Narrow" w:hAnsi="Arial Narrow" w:cs="Frutiger LT Std 45 Light"/>
          <w:spacing w:val="2"/>
          <w:sz w:val="24"/>
          <w:lang w:val="es-ES_tradnl"/>
        </w:rPr>
        <w:t>1,</w:t>
      </w:r>
      <w:r w:rsidR="000F06B9" w:rsidRPr="00EE003F">
        <w:rPr>
          <w:rFonts w:ascii="Arial Narrow" w:hAnsi="Arial Narrow" w:cs="Frutiger LT Std 45 Light"/>
          <w:spacing w:val="2"/>
          <w:sz w:val="24"/>
          <w:lang w:val="es-ES_tradnl"/>
        </w:rPr>
        <w:t>151</w:t>
      </w:r>
      <w:r w:rsidRPr="00EE003F">
        <w:rPr>
          <w:rFonts w:ascii="Arial Narrow" w:hAnsi="Arial Narrow" w:cs="Frutiger LT Std 45 Light"/>
          <w:spacing w:val="2"/>
          <w:sz w:val="24"/>
          <w:lang w:val="es-ES_tradnl"/>
        </w:rPr>
        <w:t>, muy similar al que actualmente tiene una economía como Nueva Zelanda (país OCDE). Así mismo, al 2050 el PBI per cápita será aproximadamente de US$ 5</w:t>
      </w:r>
      <w:r w:rsidR="000F6FC5" w:rsidRPr="00EE003F">
        <w:rPr>
          <w:rFonts w:ascii="Arial Narrow" w:hAnsi="Arial Narrow" w:cs="Frutiger LT Std 45 Light"/>
          <w:spacing w:val="2"/>
          <w:sz w:val="24"/>
          <w:lang w:val="es-ES_tradnl"/>
        </w:rPr>
        <w:t>0</w:t>
      </w:r>
      <w:r w:rsidRPr="00EE003F">
        <w:rPr>
          <w:rFonts w:ascii="Arial Narrow" w:hAnsi="Arial Narrow" w:cs="Frutiger LT Std 45 Light"/>
          <w:spacing w:val="2"/>
          <w:sz w:val="24"/>
          <w:lang w:val="es-ES_tradnl"/>
        </w:rPr>
        <w:t>,</w:t>
      </w:r>
      <w:r w:rsidR="000F06B9" w:rsidRPr="00EE003F">
        <w:rPr>
          <w:rFonts w:ascii="Arial Narrow" w:hAnsi="Arial Narrow" w:cs="Frutiger LT Std 45 Light"/>
          <w:spacing w:val="2"/>
          <w:sz w:val="24"/>
          <w:lang w:val="es-ES_tradnl"/>
        </w:rPr>
        <w:t>16</w:t>
      </w:r>
      <w:r w:rsidR="00696AC7" w:rsidRPr="00EE003F">
        <w:rPr>
          <w:rFonts w:ascii="Arial Narrow" w:hAnsi="Arial Narrow" w:cs="Frutiger LT Std 45 Light"/>
          <w:spacing w:val="2"/>
          <w:sz w:val="24"/>
          <w:lang w:val="es-ES_tradnl"/>
        </w:rPr>
        <w:t>6</w:t>
      </w:r>
      <w:r w:rsidRPr="00EE003F">
        <w:rPr>
          <w:rFonts w:ascii="Arial Narrow" w:hAnsi="Arial Narrow" w:cs="Frutiger LT Std 45 Light"/>
          <w:spacing w:val="2"/>
          <w:sz w:val="24"/>
          <w:lang w:val="es-ES_tradnl"/>
        </w:rPr>
        <w:t>, muy similar al que tiene actualmente Luxemburgo.</w:t>
      </w:r>
    </w:p>
    <w:p w:rsidR="003F54AD" w:rsidRPr="00EE003F" w:rsidRDefault="00D827D8" w:rsidP="001A4E17">
      <w:pPr>
        <w:rPr>
          <w:rFonts w:ascii="Arial Narrow" w:hAnsi="Arial Narrow"/>
        </w:rPr>
      </w:pPr>
      <w:r w:rsidRPr="00EE003F">
        <w:rPr>
          <w:rFonts w:ascii="Arial Narrow" w:hAnsi="Arial Narrow"/>
          <w:noProof/>
          <w:lang w:eastAsia="es-PE"/>
        </w:rPr>
        <w:drawing>
          <wp:inline distT="0" distB="0" distL="0" distR="0" wp14:anchorId="792902C7" wp14:editId="355C865A">
            <wp:extent cx="5722882" cy="3431269"/>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cos-pedn-15.gif"/>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741036" cy="3442154"/>
                    </a:xfrm>
                    <a:prstGeom prst="rect">
                      <a:avLst/>
                    </a:prstGeom>
                  </pic:spPr>
                </pic:pic>
              </a:graphicData>
            </a:graphic>
          </wp:inline>
        </w:drawing>
      </w:r>
    </w:p>
    <w:p w:rsidR="00D827D8" w:rsidRPr="00EE003F" w:rsidRDefault="00D827D8" w:rsidP="000F6FC5">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 xml:space="preserve">Al 2030, la clase consumidora será de 22,7 millones de personas; es decir, un total de 61% de la población total. </w:t>
      </w:r>
    </w:p>
    <w:p w:rsidR="00D827D8" w:rsidRPr="00EE003F" w:rsidRDefault="00D827D8" w:rsidP="000F6FC5">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Al 2050, la clase consumidora será de casi el 82% de la población total, lo que implica que el mercado nacional tendrá otras dinámicas -que dependerán de su estructura productiva- y las expectativas de vida serán totalmente distintas a lo que se conoce actualmente.</w:t>
      </w:r>
    </w:p>
    <w:p w:rsidR="00D827D8" w:rsidRPr="00EE003F" w:rsidRDefault="00D827D8" w:rsidP="000F6FC5">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Así como para el desarrollo, es importante la población económicamente activa que se tendrá en un futuro no muy lejano, otro factor relevante es la infraestructura. Nuestro país posee brechas importantes en todo tipo de infraestructura, no sólo para conectarnos con la economía internacional sino también para transportarnos dentro del país.</w:t>
      </w:r>
    </w:p>
    <w:p w:rsidR="00D827D8" w:rsidRPr="00EE003F" w:rsidRDefault="00D827D8" w:rsidP="000F6FC5">
      <w:pPr>
        <w:spacing w:before="120" w:line="240" w:lineRule="auto"/>
        <w:jc w:val="both"/>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El Índice de Calidad de la Infraestructura Total es una medida de la valoración de la calidad de la infraestructura total existente en un país. Los tipos de infraestructura que se valoran son las carreteras, las vías ferroviarias, los puertos marítimos, los puertos aéreos, el suministro eléctrico y las líneas telefónicas.</w:t>
      </w:r>
    </w:p>
    <w:p w:rsidR="003F54AD" w:rsidRPr="00EE003F" w:rsidRDefault="00E21E5B" w:rsidP="001A4E17">
      <w:pPr>
        <w:rPr>
          <w:rFonts w:ascii="Arial Narrow" w:hAnsi="Arial Narrow"/>
        </w:rPr>
      </w:pPr>
      <w:r w:rsidRPr="00EE003F">
        <w:rPr>
          <w:rFonts w:ascii="Arial Narrow" w:hAnsi="Arial Narrow"/>
          <w:noProof/>
          <w:lang w:eastAsia="es-PE"/>
        </w:rPr>
        <w:drawing>
          <wp:inline distT="0" distB="0" distL="0" distR="0" wp14:anchorId="399B007D" wp14:editId="0A6E946E">
            <wp:extent cx="5664740" cy="293804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676040" cy="2943901"/>
                    </a:xfrm>
                    <a:prstGeom prst="rect">
                      <a:avLst/>
                    </a:prstGeom>
                    <a:noFill/>
                  </pic:spPr>
                </pic:pic>
              </a:graphicData>
            </a:graphic>
          </wp:inline>
        </w:drawing>
      </w:r>
    </w:p>
    <w:p w:rsidR="00D827D8" w:rsidRPr="00EE003F" w:rsidRDefault="00D827D8" w:rsidP="000F6FC5">
      <w:pPr>
        <w:suppressAutoHyphens/>
        <w:autoSpaceDE w:val="0"/>
        <w:autoSpaceDN w:val="0"/>
        <w:adjustRightInd w:val="0"/>
        <w:spacing w:before="120"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Para el 2030, el índice será de 5.12, valor que nos sitúa al nivel de Japón y Portugal en el año 2014.</w:t>
      </w:r>
      <w:r w:rsidR="000F6FC5" w:rsidRPr="00EE003F">
        <w:rPr>
          <w:rFonts w:ascii="Arial Narrow" w:hAnsi="Arial Narrow" w:cs="Frutiger LT Std 45 Light"/>
          <w:spacing w:val="2"/>
          <w:sz w:val="24"/>
          <w:szCs w:val="24"/>
          <w:lang w:val="es-ES_tradnl"/>
        </w:rPr>
        <w:t xml:space="preserve"> </w:t>
      </w:r>
      <w:r w:rsidRPr="00EE003F">
        <w:rPr>
          <w:rFonts w:ascii="Arial Narrow" w:hAnsi="Arial Narrow" w:cs="Frutiger LT Std 45 Light"/>
          <w:spacing w:val="2"/>
          <w:sz w:val="24"/>
          <w:szCs w:val="24"/>
          <w:lang w:val="es-ES_tradnl"/>
        </w:rPr>
        <w:t>Para el 2050, el valor del índice será de 6.12, nivel en el que se encuentra Bélgica en el año 2014.</w:t>
      </w:r>
    </w:p>
    <w:p w:rsidR="00D827D8" w:rsidRPr="00EE003F" w:rsidRDefault="00D827D8" w:rsidP="000F6FC5">
      <w:pPr>
        <w:spacing w:before="120" w:after="0" w:line="240" w:lineRule="auto"/>
        <w:jc w:val="both"/>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No se puede dejar de lado el rol de la tecnología en crecimiento, ella puede potenciar la estructura económica hacia actividades intensivas en tecnología. El desarrollo de la capacidad productiva del país se mide a través de la participación porcentual de las exportaciones de alta tecnología, como porcentaje de las exportaciones de manufacturas del país.</w:t>
      </w:r>
    </w:p>
    <w:p w:rsidR="00D827D8" w:rsidRPr="00EE003F" w:rsidRDefault="00D827D8" w:rsidP="00D827D8">
      <w:pPr>
        <w:rPr>
          <w:rFonts w:ascii="Arial Narrow" w:hAnsi="Arial Narrow" w:cs="Frutiger LT Std 45 Light"/>
          <w:spacing w:val="2"/>
          <w:lang w:val="es-ES_tradnl"/>
        </w:rPr>
      </w:pPr>
    </w:p>
    <w:p w:rsidR="000F6FC5" w:rsidRPr="00EE003F" w:rsidRDefault="00E21E5B" w:rsidP="00D827D8">
      <w:pPr>
        <w:rPr>
          <w:rFonts w:ascii="Arial Narrow" w:hAnsi="Arial Narrow" w:cs="Frutiger LT Std 45 Light"/>
          <w:spacing w:val="2"/>
          <w:lang w:val="es-ES_tradnl"/>
        </w:rPr>
      </w:pPr>
      <w:r w:rsidRPr="00EE003F">
        <w:rPr>
          <w:rFonts w:ascii="Arial Narrow" w:hAnsi="Arial Narrow" w:cs="Frutiger LT Std 45 Light"/>
          <w:noProof/>
          <w:spacing w:val="2"/>
          <w:lang w:eastAsia="es-PE"/>
        </w:rPr>
        <w:drawing>
          <wp:inline distT="0" distB="0" distL="0" distR="0" wp14:anchorId="4F40EB58" wp14:editId="08916F55">
            <wp:extent cx="5178088" cy="2245787"/>
            <wp:effectExtent l="0" t="0" r="3810" b="254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205875" cy="2257838"/>
                    </a:xfrm>
                    <a:prstGeom prst="rect">
                      <a:avLst/>
                    </a:prstGeom>
                    <a:noFill/>
                  </pic:spPr>
                </pic:pic>
              </a:graphicData>
            </a:graphic>
          </wp:inline>
        </w:drawing>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Para el 2030, la proporción de las exportaciones de alta tecnología tendrá un valor de 8.61, valor que nos situará al nivel de España en el año 2013.</w:t>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Para el 2050, la proporción de las exportaciones de alta tecnología tendrá un valor de 10.71, nivel similar al de Brasil y nueva Zelanda en el año 2013.</w:t>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En cuanto al componente participativo, en un ejercicio inicial se realizó una encuesta de opinión a la población para conocer, entre otros temas, su visión del país a los años 2021 y 2050. Los resultados muestran que la concepción de los ciudadanos sobre el Perú en el año 2021 es primordialmente económica. Así, la mayoría confía en el progreso de nuestro país, el cual tendrá una economía sostenible que generará mayores tasas de empleo, que dispondrá de un significativo grado de desarrollo industrial, innovación tecnológica y respeto por el medio ambiente.</w:t>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De otro lado, al 2050 un mayoritario porcentaje de la población espera que el Perú sea “un país de ciudadanos con alta calidad de vida”, así como “un país con una democracia consolidada y sin corrupción”. Esta evolución en la concepción de la visión del Perú del 2021 al 2050,  pasa por lograr un fortalecimiento del sistema democrático y por mejorar el grado de desarrollo humano, en una situación de desarrollo económico.</w:t>
      </w:r>
    </w:p>
    <w:p w:rsidR="00D827D8" w:rsidRPr="00EE003F" w:rsidRDefault="00D827D8" w:rsidP="00D827D8">
      <w:pPr>
        <w:suppressAutoHyphens/>
        <w:autoSpaceDE w:val="0"/>
        <w:autoSpaceDN w:val="0"/>
        <w:adjustRightInd w:val="0"/>
        <w:spacing w:before="113" w:after="0" w:line="288" w:lineRule="auto"/>
        <w:jc w:val="both"/>
        <w:textAlignment w:val="center"/>
        <w:rPr>
          <w:rFonts w:ascii="Arial Narrow" w:hAnsi="Arial Narrow" w:cs="Frutiger LT Std 45 Light"/>
          <w:spacing w:val="2"/>
          <w:lang w:val="es-ES_tradnl"/>
        </w:rPr>
      </w:pPr>
    </w:p>
    <w:p w:rsidR="00D827D8" w:rsidRPr="00EE003F" w:rsidRDefault="00D827D8" w:rsidP="00D827D8">
      <w:pPr>
        <w:suppressAutoHyphens/>
        <w:autoSpaceDE w:val="0"/>
        <w:autoSpaceDN w:val="0"/>
        <w:adjustRightInd w:val="0"/>
        <w:spacing w:before="113" w:after="113" w:line="288" w:lineRule="auto"/>
        <w:jc w:val="both"/>
        <w:textAlignment w:val="center"/>
        <w:rPr>
          <w:rFonts w:ascii="Arial Narrow" w:hAnsi="Arial Narrow" w:cs="Frutiger LT Std 45 Light"/>
          <w:b/>
          <w:spacing w:val="2"/>
          <w:sz w:val="28"/>
          <w:szCs w:val="28"/>
          <w:lang w:val="es-ES_tradnl"/>
        </w:rPr>
      </w:pPr>
      <w:r w:rsidRPr="00EE003F">
        <w:rPr>
          <w:rFonts w:ascii="Arial Narrow" w:hAnsi="Arial Narrow" w:cs="Frutiger LT Std 45 Light"/>
          <w:b/>
          <w:spacing w:val="2"/>
          <w:sz w:val="28"/>
          <w:szCs w:val="28"/>
          <w:lang w:val="es-ES_tradnl"/>
        </w:rPr>
        <w:t xml:space="preserve">Perú </w:t>
      </w:r>
      <w:r w:rsidR="002B2829" w:rsidRPr="00EE003F">
        <w:rPr>
          <w:rFonts w:ascii="Arial Narrow" w:hAnsi="Arial Narrow" w:cs="Frutiger LT Std 45 Light"/>
          <w:b/>
          <w:spacing w:val="2"/>
          <w:sz w:val="28"/>
          <w:szCs w:val="28"/>
          <w:lang w:val="es-ES_tradnl"/>
        </w:rPr>
        <w:t>Tres Tiempos: 2021, 2030 y 2050</w:t>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 xml:space="preserve">Perú en Tres Tiempos, será un documento vivo, más aun, un proceso, actualizado periódicamente para corresponder a las dinámicas de la realidad. </w:t>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El proceso prospectivo y de planeamiento estratégico de largo plazo en el Perú.</w:t>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Luego de revisar experiencias de planificación de largo plazo en América Latina, se ha identificado que la única experiencia basada en un proceso prospectivo para la formulación de un plan de largo plazo, ha sido el caso brasileño. Este proceso contó con el apoyo político del Presidente de la República durante dos períodos de gobierno, lo que facilitó el trabajo del Núcleo de Asuntos Estratégicos, así como su fortalecimiento posterior al integrarse con la Oficina de la Presidencia de la República, para denominarse, Secretaria de Asuntos Estratégicos. El proceso es conocido como Brasil Tres Tiempos, y tiene el valor de pensar futuros en tres distintos horizontes de tiempo.</w:t>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Esta experiencia, es una fuente de inspiración para los países latinoamericanos, por lo cual, el Ceplan plantea diseñar un proceso para la construcción de la visión de largo plazo del Perú al 2050, mediante un metodología similar a la aplicada en Brasil, la cual será conocida como Perú Tres Tiempos, y tendrá como horizontes estratégicos la celebración del bicentenario del Perú (2021), el horizonte más temprano de un posible cambio disruptivo (2030) y finalmente un horizonte de largo plazo donde se tendrá un alta incertidumbre sobre lo que podría suceder (2050). De esta forma, será posible definir una visión compartida de largo plazo y una ruta estratégica para llegar a ella.</w:t>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En este proceso se considerarán los siguientes aspectos:</w:t>
      </w:r>
    </w:p>
    <w:p w:rsidR="00D827D8" w:rsidRPr="00EE003F" w:rsidRDefault="00D827D8" w:rsidP="000F6FC5">
      <w:pPr>
        <w:pStyle w:val="Prrafodelista"/>
        <w:numPr>
          <w:ilvl w:val="0"/>
          <w:numId w:val="16"/>
        </w:numPr>
        <w:tabs>
          <w:tab w:val="left" w:pos="426"/>
        </w:tabs>
        <w:suppressAutoHyphens/>
        <w:autoSpaceDE w:val="0"/>
        <w:autoSpaceDN w:val="0"/>
        <w:adjustRightInd w:val="0"/>
        <w:spacing w:before="113" w:after="0" w:line="240" w:lineRule="auto"/>
        <w:ind w:left="426" w:hanging="426"/>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Se profundizará el análisis realizado en el proceso para identificar oportunidades, evitar o minimizar riesgos, consolidar tendencias positivas, generar alternativas estratégicas para el desarrollo nacional, así como orientar a los tres niveles de gobierno.</w:t>
      </w:r>
    </w:p>
    <w:p w:rsidR="00D827D8" w:rsidRPr="00EE003F" w:rsidRDefault="00D827D8" w:rsidP="000F6FC5">
      <w:pPr>
        <w:pStyle w:val="Prrafodelista"/>
        <w:numPr>
          <w:ilvl w:val="0"/>
          <w:numId w:val="16"/>
        </w:numPr>
        <w:tabs>
          <w:tab w:val="left" w:pos="426"/>
        </w:tabs>
        <w:suppressAutoHyphens/>
        <w:autoSpaceDE w:val="0"/>
        <w:autoSpaceDN w:val="0"/>
        <w:adjustRightInd w:val="0"/>
        <w:spacing w:before="113" w:after="0" w:line="240" w:lineRule="auto"/>
        <w:ind w:left="426" w:hanging="426"/>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Se realizarán proyecciones adaptadas a nuestra realidad y se generarán escenarios prospectivos utilizando principalmente el modelo IFs.</w:t>
      </w:r>
    </w:p>
    <w:p w:rsidR="00D827D8" w:rsidRPr="00EE003F" w:rsidRDefault="00D827D8" w:rsidP="000F6FC5">
      <w:pPr>
        <w:pStyle w:val="Prrafodelista"/>
        <w:numPr>
          <w:ilvl w:val="0"/>
          <w:numId w:val="16"/>
        </w:numPr>
        <w:tabs>
          <w:tab w:val="left" w:pos="426"/>
        </w:tabs>
        <w:suppressAutoHyphens/>
        <w:autoSpaceDE w:val="0"/>
        <w:autoSpaceDN w:val="0"/>
        <w:adjustRightInd w:val="0"/>
        <w:spacing w:before="113" w:after="0" w:line="240" w:lineRule="auto"/>
        <w:ind w:left="426" w:hanging="426"/>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Se analizará el impacto de las nuevas tecnologías, los cambios potenciales y los eventos emergentes que podrían tener un alto impacto en el Perú, para plantear opciones estratégicas y facilitar la gestión estratégica del Estado mirando el largo plazo.</w:t>
      </w:r>
    </w:p>
    <w:p w:rsidR="00D827D8" w:rsidRPr="00EE003F" w:rsidRDefault="00D827D8" w:rsidP="000F6FC5">
      <w:pPr>
        <w:pStyle w:val="Prrafodelista"/>
        <w:numPr>
          <w:ilvl w:val="0"/>
          <w:numId w:val="16"/>
        </w:numPr>
        <w:tabs>
          <w:tab w:val="left" w:pos="426"/>
        </w:tabs>
        <w:suppressAutoHyphens/>
        <w:autoSpaceDE w:val="0"/>
        <w:autoSpaceDN w:val="0"/>
        <w:adjustRightInd w:val="0"/>
        <w:spacing w:before="113" w:after="0" w:line="240" w:lineRule="auto"/>
        <w:ind w:left="426" w:hanging="426"/>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Se propondrán rutas estratégicas que orienten al país a la mejora de índices de competitividad para aprovechar las oportunidades que la dinámica internacional ofrece en el marco de los acuerdos comerciales.</w:t>
      </w:r>
    </w:p>
    <w:p w:rsidR="00D827D8" w:rsidRPr="00EE003F" w:rsidRDefault="00D827D8" w:rsidP="000F6FC5">
      <w:pPr>
        <w:pStyle w:val="Prrafodelista"/>
        <w:numPr>
          <w:ilvl w:val="0"/>
          <w:numId w:val="16"/>
        </w:numPr>
        <w:tabs>
          <w:tab w:val="left" w:pos="426"/>
        </w:tabs>
        <w:suppressAutoHyphens/>
        <w:autoSpaceDE w:val="0"/>
        <w:autoSpaceDN w:val="0"/>
        <w:adjustRightInd w:val="0"/>
        <w:spacing w:before="113" w:after="0" w:line="240" w:lineRule="auto"/>
        <w:ind w:left="426" w:hanging="426"/>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Se promoverá la generación de redes de conocimiento para el planeamiento estratégico tanto en el ámbito público como privado.</w:t>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 xml:space="preserve">Este ejercicio prospectivo considera escuchar las opiniones de los ciudadanos, contrastarlas con evidencias de la más alta calidad técnica y configurarlas como el principal marco orientador del camino hacia el desarrollo. </w:t>
      </w:r>
    </w:p>
    <w:p w:rsidR="00D827D8" w:rsidRPr="00EE003F" w:rsidRDefault="00D827D8" w:rsidP="000F6FC5">
      <w:pPr>
        <w:suppressAutoHyphens/>
        <w:autoSpaceDE w:val="0"/>
        <w:autoSpaceDN w:val="0"/>
        <w:adjustRightInd w:val="0"/>
        <w:spacing w:before="113" w:after="0" w:line="240" w:lineRule="auto"/>
        <w:jc w:val="both"/>
        <w:textAlignment w:val="center"/>
        <w:rPr>
          <w:rFonts w:ascii="Arial Narrow" w:hAnsi="Arial Narrow" w:cs="Frutiger LT Std 45 Light"/>
          <w:spacing w:val="2"/>
          <w:sz w:val="24"/>
          <w:szCs w:val="24"/>
          <w:lang w:val="es-ES_tradnl"/>
        </w:rPr>
      </w:pPr>
      <w:r w:rsidRPr="00EE003F">
        <w:rPr>
          <w:rFonts w:ascii="Arial Narrow" w:hAnsi="Arial Narrow" w:cs="Frutiger LT Std 45 Light"/>
          <w:spacing w:val="2"/>
          <w:sz w:val="24"/>
          <w:szCs w:val="24"/>
          <w:lang w:val="es-ES_tradnl"/>
        </w:rPr>
        <w:t>Finalmente, una visión de largo plazo se construye a partir de la creación de una visión prospectiva en donde se puedan desarrollar los impulsores del crecimiento, luego de un análisis prospectivo se pueden presentar estrategias para el desarrollo sostenible.</w:t>
      </w:r>
    </w:p>
    <w:p w:rsidR="00ED0091" w:rsidRPr="00EE003F" w:rsidRDefault="00A450DA" w:rsidP="009054AC">
      <w:pPr>
        <w:pStyle w:val="Ttulo1"/>
        <w:jc w:val="center"/>
        <w:rPr>
          <w:rFonts w:ascii="Arial Narrow" w:hAnsi="Arial Narrow"/>
          <w:b/>
          <w:sz w:val="32"/>
          <w:szCs w:val="32"/>
        </w:rPr>
      </w:pPr>
      <w:r w:rsidRPr="00EE003F">
        <w:rPr>
          <w:rFonts w:ascii="Arial Narrow" w:hAnsi="Arial Narrow"/>
        </w:rPr>
        <w:br w:type="page"/>
      </w:r>
      <w:bookmarkStart w:id="43" w:name="_Toc453004678"/>
      <w:r w:rsidR="00ED0091" w:rsidRPr="00EE003F">
        <w:rPr>
          <w:rFonts w:ascii="Arial Narrow" w:hAnsi="Arial Narrow"/>
          <w:b/>
          <w:sz w:val="32"/>
          <w:szCs w:val="32"/>
        </w:rPr>
        <w:t>ANEXOS</w:t>
      </w:r>
      <w:bookmarkEnd w:id="43"/>
    </w:p>
    <w:p w:rsidR="00ED0091" w:rsidRPr="00EE003F" w:rsidRDefault="003F54AD" w:rsidP="00EF313F">
      <w:pPr>
        <w:pStyle w:val="Ttulo2"/>
        <w:jc w:val="left"/>
        <w:rPr>
          <w:rFonts w:asciiTheme="minorHAnsi" w:hAnsiTheme="minorHAnsi"/>
          <w:lang w:val="es-ES_tradnl"/>
        </w:rPr>
      </w:pPr>
      <w:bookmarkStart w:id="44" w:name="_Toc453004679"/>
      <w:r w:rsidRPr="00EE003F">
        <w:rPr>
          <w:rFonts w:asciiTheme="minorHAnsi" w:hAnsiTheme="minorHAnsi"/>
          <w:lang w:val="es-ES_tradnl"/>
        </w:rPr>
        <w:t>Fichas de Indicadores</w:t>
      </w:r>
      <w:bookmarkEnd w:id="44"/>
    </w:p>
    <w:p w:rsidR="00EF313F" w:rsidRPr="00EE003F" w:rsidRDefault="00EF313F" w:rsidP="00962397">
      <w:pPr>
        <w:rPr>
          <w:rStyle w:val="negritanombre"/>
          <w:rFonts w:ascii="Arial Narrow" w:hAnsi="Arial Narrow"/>
          <w:color w:val="auto"/>
          <w:sz w:val="16"/>
          <w:szCs w:val="16"/>
        </w:rPr>
      </w:pPr>
    </w:p>
    <w:p w:rsidR="00375169" w:rsidRPr="00EE003F" w:rsidRDefault="00375169" w:rsidP="00962397">
      <w:pPr>
        <w:rPr>
          <w:rStyle w:val="cuerpodetexto"/>
          <w:rFonts w:ascii="Arial Narrow" w:hAnsi="Arial Narrow"/>
          <w:color w:val="auto"/>
          <w:sz w:val="16"/>
          <w:szCs w:val="16"/>
        </w:rPr>
      </w:pPr>
      <w:r w:rsidRPr="00EE003F">
        <w:rPr>
          <w:rStyle w:val="negritanombre"/>
          <w:rFonts w:ascii="Arial Narrow" w:hAnsi="Arial Narrow"/>
          <w:color w:val="auto"/>
          <w:sz w:val="16"/>
          <w:szCs w:val="16"/>
        </w:rPr>
        <w:t>EJE 1</w:t>
      </w:r>
      <w:r w:rsidRPr="00EE003F">
        <w:rPr>
          <w:rStyle w:val="negritanombre"/>
          <w:rFonts w:ascii="Arial Narrow" w:hAnsi="Arial Narrow"/>
          <w:color w:val="auto"/>
          <w:sz w:val="16"/>
          <w:szCs w:val="16"/>
        </w:rPr>
        <w:tab/>
      </w:r>
    </w:p>
    <w:p w:rsidR="00375169" w:rsidRPr="00EE003F" w:rsidRDefault="00375169" w:rsidP="00375169">
      <w:pPr>
        <w:pStyle w:val="BasicParagraph"/>
        <w:spacing w:before="227" w:line="240" w:lineRule="auto"/>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Desarrollo Humano</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281"/>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 compuesto que mide el logro promedio de tres dimensiones básicas del desarrollo humano: esperanza de vida, nivel de educación y calidad de vida. Cabe resaltar que no siempre representa a la mayoría de la población, por ser una medida de tendencia central sensible a valores extremos.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2005-2014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PNUD</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0,734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6D6783"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0,756</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0,776</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Incidencia de la pobreza (% de la población)</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Son considerados como pobres monetarios aquellas personas que residen en hogares cuyo gasto per cápita es insuficiente para adquirir la canasta básica de consumo de alimentos y no alimentos (vivienda, vestido, educación, salud, transporte, etc.). Los gastos de los hogares incluyen no solo las compras sino también el autoconsumo, el autosuministro, los pagos en especies, las transferencias de otros hogares y las donaciones públicas.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6D6783"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2004-2015</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INEI-Enaho</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Dato más reciente </w:t>
            </w:r>
            <w:r w:rsidR="006D6783" w:rsidRPr="00EE003F">
              <w:rPr>
                <w:rFonts w:ascii="Arial Narrow" w:hAnsi="Arial Narrow" w:cs="Swis721 LtCn BT"/>
                <w:sz w:val="16"/>
                <w:szCs w:val="16"/>
                <w:lang w:val="es-ES_tradnl"/>
              </w:rPr>
              <w:t>disponible (2015</w:t>
            </w:r>
            <w:r w:rsidRPr="00EE003F">
              <w:rPr>
                <w:rFonts w:ascii="Arial Narrow" w:hAnsi="Arial Narrow" w:cs="Swis721 LtCn BT"/>
                <w:sz w:val="16"/>
                <w:szCs w:val="16"/>
                <w:lang w:val="es-ES_tradnl"/>
              </w:rPr>
              <w:t>)</w:t>
            </w:r>
          </w:p>
        </w:tc>
        <w:tc>
          <w:tcPr>
            <w:tcW w:w="2014" w:type="dxa"/>
          </w:tcPr>
          <w:p w:rsidR="00375169" w:rsidRPr="00EE003F" w:rsidRDefault="006D6783"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21,80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18,70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6D6783"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10,00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Midis</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Incidencia de la pobreza extrema (% de la población)</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6D6783">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6D6783">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Son pobres extremos aquellos individuos en hogares cuyos gastos per cápita están por debajo del costo de la canasta básica de alimentos. Los gastos de los hogares incluyen no solo las compras sino también el autoconsumo, el autosuministro, los pagos en especies, las transferencias de otros hogares y las donaciones públicas.</w:t>
            </w:r>
          </w:p>
        </w:tc>
      </w:tr>
      <w:tr w:rsidR="006E3336" w:rsidRPr="00EE003F" w:rsidTr="006D6783">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6D6783">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6D6783"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2004-2015</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6D6783">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INEI-Enaho</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6D6783">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w:t>
            </w:r>
            <w:r w:rsidR="006D6783" w:rsidRPr="00EE003F">
              <w:rPr>
                <w:rFonts w:ascii="Arial Narrow" w:hAnsi="Arial Narrow" w:cs="Swis721 LtCn BT"/>
                <w:sz w:val="16"/>
                <w:szCs w:val="16"/>
                <w:lang w:val="es-ES_tradnl"/>
              </w:rPr>
              <w:t>to más reciente disponible (2015</w:t>
            </w:r>
            <w:r w:rsidRPr="00EE003F">
              <w:rPr>
                <w:rFonts w:ascii="Arial Narrow" w:hAnsi="Arial Narrow" w:cs="Swis721 LtCn BT"/>
                <w:sz w:val="16"/>
                <w:szCs w:val="16"/>
                <w:lang w:val="es-ES_tradnl"/>
              </w:rPr>
              <w:t>)</w:t>
            </w:r>
          </w:p>
        </w:tc>
        <w:tc>
          <w:tcPr>
            <w:tcW w:w="2014" w:type="dxa"/>
          </w:tcPr>
          <w:p w:rsidR="00375169" w:rsidRPr="00EE003F" w:rsidRDefault="006D6783"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4,1</w:t>
            </w:r>
            <w:r w:rsidR="00375169" w:rsidRPr="00EE003F">
              <w:rPr>
                <w:rFonts w:ascii="Arial Narrow" w:hAnsi="Arial Narrow" w:cs="Swis721 LtCn BT"/>
                <w:sz w:val="16"/>
                <w:szCs w:val="16"/>
                <w:lang w:val="es-ES_tradnl"/>
              </w:rPr>
              <w:t>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5A17FD" w:rsidRPr="00EE003F" w:rsidTr="006D6783">
        <w:trPr>
          <w:trHeight w:val="60"/>
        </w:trPr>
        <w:tc>
          <w:tcPr>
            <w:tcW w:w="2013" w:type="dxa"/>
          </w:tcPr>
          <w:p w:rsidR="005A17FD" w:rsidRPr="00EE003F" w:rsidRDefault="005A17FD" w:rsidP="00060401">
            <w:pPr>
              <w:autoSpaceDE w:val="0"/>
              <w:autoSpaceDN w:val="0"/>
              <w:adjustRightInd w:val="0"/>
              <w:spacing w:line="288" w:lineRule="auto"/>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Meta 2016</w:t>
            </w:r>
          </w:p>
        </w:tc>
        <w:tc>
          <w:tcPr>
            <w:tcW w:w="2014" w:type="dxa"/>
          </w:tcPr>
          <w:p w:rsidR="005A17FD" w:rsidRPr="00EE003F" w:rsidRDefault="004D2B54" w:rsidP="00060401">
            <w:pPr>
              <w:autoSpaceDE w:val="0"/>
              <w:autoSpaceDN w:val="0"/>
              <w:adjustRightInd w:val="0"/>
              <w:spacing w:line="288" w:lineRule="auto"/>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2,2</w:t>
            </w:r>
            <w:r w:rsidR="00C22D93" w:rsidRPr="00EE003F">
              <w:rPr>
                <w:rFonts w:ascii="Arial Narrow" w:hAnsi="Arial Narrow" w:cs="Swis721 LtCn BT"/>
                <w:sz w:val="16"/>
                <w:szCs w:val="16"/>
                <w:lang w:val="es-ES_tradnl"/>
              </w:rPr>
              <w:t>0</w:t>
            </w:r>
          </w:p>
        </w:tc>
        <w:tc>
          <w:tcPr>
            <w:tcW w:w="236" w:type="dxa"/>
            <w:vMerge/>
          </w:tcPr>
          <w:p w:rsidR="005A17FD" w:rsidRPr="00EE003F" w:rsidRDefault="005A17FD" w:rsidP="00060401">
            <w:pPr>
              <w:autoSpaceDE w:val="0"/>
              <w:autoSpaceDN w:val="0"/>
              <w:adjustRightInd w:val="0"/>
              <w:rPr>
                <w:rFonts w:ascii="Arial Narrow" w:hAnsi="Arial Narrow"/>
                <w:sz w:val="16"/>
                <w:szCs w:val="16"/>
              </w:rPr>
            </w:pPr>
          </w:p>
        </w:tc>
        <w:tc>
          <w:tcPr>
            <w:tcW w:w="3505" w:type="dxa"/>
            <w:vMerge/>
          </w:tcPr>
          <w:p w:rsidR="005A17FD" w:rsidRPr="00EE003F" w:rsidRDefault="005A17FD" w:rsidP="00060401">
            <w:pPr>
              <w:autoSpaceDE w:val="0"/>
              <w:autoSpaceDN w:val="0"/>
              <w:adjustRightInd w:val="0"/>
              <w:rPr>
                <w:rFonts w:ascii="Arial Narrow" w:hAnsi="Arial Narrow"/>
                <w:sz w:val="16"/>
                <w:szCs w:val="16"/>
              </w:rPr>
            </w:pPr>
          </w:p>
        </w:tc>
      </w:tr>
      <w:tr w:rsidR="006E3336" w:rsidRPr="00EE003F" w:rsidTr="006D6783">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6D6783"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1,50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6D6783">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6D6783"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Midis </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Coeficiente de Gini</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8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8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coeficiente de Gini mide hasta qué punto la distribución del ingreso (o, en algunos casos, el gasto de consumo) entre individuos u hogares dentro de una economía, se aleja de una distribución perfectamente equitativa. Cuando este coeficiente asume el valor de 1, significa que existe perfecta desigualdad; si asume el valor 0 significa que existe perfecta igualdad.</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2009-2014</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INEI-Enaho</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0,44</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0,41</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0,35</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Midis</w:t>
            </w:r>
          </w:p>
        </w:tc>
        <w:tc>
          <w:tcPr>
            <w:tcW w:w="18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Proporción de menores de 5 años con desnutrición crónica (Patrón OMS)</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nivel de desnutrición crónica en niños próximos a cumplir los cinco años, es un indicador de los efectos acumulativos del retardo en el crecimiento, y se determina al comparar la talla del niño con la esperada para su edad y sexo. Además, sirve como indicador alternativo (proxy) para medir los problemas de desarrollo en la niñez, por su estrecha relación con problemas de aprendizaje y deserción escolar.</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2008-2014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14,60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307383">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w:t>
            </w:r>
            <w:r w:rsidR="00E26827" w:rsidRPr="00EE003F">
              <w:rPr>
                <w:rFonts w:ascii="Arial Narrow" w:hAnsi="Arial Narrow" w:cs="Swis721 LtCn BT"/>
                <w:sz w:val="16"/>
                <w:szCs w:val="16"/>
                <w:lang w:val="es-ES_tradnl"/>
              </w:rPr>
              <w:t>4</w:t>
            </w:r>
            <w:r w:rsidR="006D6783" w:rsidRPr="00EE003F">
              <w:rPr>
                <w:rFonts w:ascii="Arial Narrow" w:hAnsi="Arial Narrow" w:cs="Swis721 LtCn BT"/>
                <w:sz w:val="16"/>
                <w:szCs w:val="16"/>
                <w:lang w:val="es-ES_tradnl"/>
              </w:rPr>
              <w:t>,00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E26827"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10</w:t>
            </w:r>
            <w:r w:rsidR="006D6783" w:rsidRPr="00EE003F">
              <w:rPr>
                <w:rFonts w:ascii="Arial Narrow" w:hAnsi="Arial Narrow" w:cs="Swis721 LtCn BT"/>
                <w:sz w:val="16"/>
                <w:szCs w:val="16"/>
                <w:lang w:val="es-ES_tradnl"/>
              </w:rPr>
              <w:t>,00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Minsa</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Desigualdad de Género</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IDG mide la desigualdad de género en tres aspectos importantes del desarrollo humano: salud reproductiva, medida por la tasa de mortalidad materna y la tasa de embarazo adolescente; empoderamiento, medido por la proporción de escaños parlamentarios ocupados por mujeres y la proporción de mujeres y varones de 25 años a más con al menos educación secundaria; status económico expresado como la participación del mercado de trabajo, y medido por el ratio de participación laboral de la población femenina y masculina de 15 años a más.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332"/>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2008-2014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PNUD</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0,406</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0,252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0,220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Democracia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índice mide el estado de la Democracia en base a 5 categorías: proceso electoral y pluralismo; libertades civiles; funcionamiento del gobierno; participación política; y cultura política.</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4814C0">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2006-</w:t>
            </w:r>
            <w:r w:rsidR="0016767E" w:rsidRPr="00EE003F">
              <w:rPr>
                <w:rFonts w:ascii="Arial Narrow" w:hAnsi="Arial Narrow" w:cs="Swis721 LtCn BT"/>
                <w:sz w:val="16"/>
                <w:szCs w:val="16"/>
                <w:lang w:val="es-ES_tradnl"/>
              </w:rPr>
              <w:t>201</w:t>
            </w:r>
            <w:r w:rsidR="004814C0" w:rsidRPr="00EE003F">
              <w:rPr>
                <w:rFonts w:ascii="Arial Narrow" w:hAnsi="Arial Narrow" w:cs="Swis721 LtCn BT"/>
                <w:sz w:val="16"/>
                <w:szCs w:val="16"/>
                <w:lang w:val="es-ES_tradnl"/>
              </w:rPr>
              <w:t>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Economist Intelligence Unit</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16767E">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w:t>
            </w:r>
            <w:r w:rsidR="0016767E" w:rsidRPr="00EE003F">
              <w:rPr>
                <w:rFonts w:ascii="Arial Narrow" w:hAnsi="Arial Narrow" w:cs="Swis721 LtCn BT"/>
                <w:sz w:val="16"/>
                <w:szCs w:val="16"/>
                <w:lang w:val="es-ES_tradnl"/>
              </w:rPr>
              <w:t>201</w:t>
            </w:r>
            <w:r w:rsidR="004814C0" w:rsidRPr="00EE003F">
              <w:rPr>
                <w:rFonts w:ascii="Arial Narrow" w:hAnsi="Arial Narrow" w:cs="Swis721 LtCn BT"/>
                <w:sz w:val="16"/>
                <w:szCs w:val="16"/>
                <w:lang w:val="es-ES_tradnl"/>
              </w:rPr>
              <w:t>5</w:t>
            </w:r>
            <w:r w:rsidRPr="00EE003F">
              <w:rPr>
                <w:rFonts w:ascii="Arial Narrow" w:hAnsi="Arial Narrow" w:cs="Swis721 LtCn BT"/>
                <w:sz w:val="16"/>
                <w:szCs w:val="16"/>
                <w:lang w:val="es-ES_tradnl"/>
              </w:rPr>
              <w:t>)</w:t>
            </w:r>
          </w:p>
        </w:tc>
        <w:tc>
          <w:tcPr>
            <w:tcW w:w="2014" w:type="dxa"/>
          </w:tcPr>
          <w:p w:rsidR="00375169" w:rsidRPr="00EE003F" w:rsidRDefault="00375169" w:rsidP="004814C0">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6,5</w:t>
            </w:r>
            <w:r w:rsidR="004814C0" w:rsidRPr="00EE003F">
              <w:rPr>
                <w:rFonts w:ascii="Arial Narrow" w:hAnsi="Arial Narrow" w:cs="Swis721 LtCn BT"/>
                <w:sz w:val="16"/>
                <w:szCs w:val="16"/>
                <w:lang w:val="es-ES_tradnl"/>
              </w:rPr>
              <w:t>8</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16767E">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w:t>
            </w:r>
            <w:r w:rsidR="004814C0" w:rsidRPr="00EE003F">
              <w:rPr>
                <w:rFonts w:ascii="Arial Narrow" w:hAnsi="Arial Narrow" w:cs="Swis721 LtCn BT"/>
                <w:sz w:val="16"/>
                <w:szCs w:val="16"/>
                <w:lang w:val="es-ES_tradnl"/>
              </w:rPr>
              <w:t>83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6D6783" w:rsidP="004814C0">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6,9</w:t>
            </w:r>
            <w:r w:rsidR="004814C0" w:rsidRPr="00EE003F">
              <w:rPr>
                <w:rFonts w:ascii="Arial Narrow" w:hAnsi="Arial Narrow" w:cs="Swis721 LtCn BT"/>
                <w:sz w:val="16"/>
                <w:szCs w:val="16"/>
                <w:lang w:val="es-ES_tradnl"/>
              </w:rPr>
              <w:t>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Libertad en el Mundo</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43"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43"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Índice de libertad en el Mundo mide la libertad de los individuos (la oportunidad de actuar espontáneamente en una variedad de campos fuera del control del gobierno y otros centros de dominación potencial) según dos grandes categorías: los derechos políticos y libertades civiles. El promedio del rating de cada categoría determina el estado de libertad de un país, cuanto menor sea el valor del índice más libre será el país: Libre (1 a 2.5), Parcialmente Libre (3 a 5), No Libre (5.5 a 7).</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0-7</w:t>
            </w:r>
          </w:p>
        </w:tc>
        <w:tc>
          <w:tcPr>
            <w:tcW w:w="143"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79739E"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1992-2014</w:t>
            </w:r>
          </w:p>
        </w:tc>
        <w:tc>
          <w:tcPr>
            <w:tcW w:w="143"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Freedom House</w:t>
            </w:r>
          </w:p>
        </w:tc>
        <w:tc>
          <w:tcPr>
            <w:tcW w:w="143"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w:t>
            </w:r>
            <w:r w:rsidR="0079739E" w:rsidRPr="00EE003F">
              <w:rPr>
                <w:rFonts w:ascii="Arial Narrow" w:hAnsi="Arial Narrow" w:cs="Swis721 LtCn BT"/>
                <w:sz w:val="16"/>
                <w:szCs w:val="16"/>
                <w:lang w:val="es-ES_tradnl"/>
              </w:rPr>
              <w:t>4</w:t>
            </w:r>
            <w:r w:rsidRPr="00EE003F">
              <w:rPr>
                <w:rFonts w:ascii="Arial Narrow" w:hAnsi="Arial Narrow" w:cs="Swis721 LtCn BT"/>
                <w:sz w:val="16"/>
                <w:szCs w:val="16"/>
                <w:lang w:val="es-ES_tradnl"/>
              </w:rPr>
              <w:t>)</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2.5</w:t>
            </w:r>
            <w:r w:rsidR="0079739E" w:rsidRPr="00EE003F">
              <w:rPr>
                <w:rFonts w:ascii="Arial Narrow" w:hAnsi="Arial Narrow" w:cs="Swis721 LtCn BT"/>
                <w:sz w:val="16"/>
                <w:szCs w:val="16"/>
                <w:lang w:val="es-ES_tradnl"/>
              </w:rPr>
              <w:t>0</w:t>
            </w:r>
          </w:p>
        </w:tc>
        <w:tc>
          <w:tcPr>
            <w:tcW w:w="143"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79739E"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2,35</w:t>
            </w:r>
          </w:p>
        </w:tc>
        <w:tc>
          <w:tcPr>
            <w:tcW w:w="143"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79739E"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w:t>
            </w:r>
          </w:p>
        </w:tc>
        <w:tc>
          <w:tcPr>
            <w:tcW w:w="143"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43"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rPr>
          <w:rFonts w:ascii="Arial Narrow" w:hAnsi="Arial Narrow"/>
          <w:sz w:val="16"/>
          <w:szCs w:val="16"/>
        </w:rPr>
      </w:pPr>
    </w:p>
    <w:p w:rsidR="00375169" w:rsidRPr="00EE003F" w:rsidRDefault="00375169" w:rsidP="00375169">
      <w:pPr>
        <w:rPr>
          <w:rFonts w:ascii="Arial Narrow" w:hAnsi="Arial Narrow"/>
          <w:sz w:val="16"/>
          <w:szCs w:val="16"/>
        </w:rPr>
      </w:pPr>
    </w:p>
    <w:p w:rsidR="00375169" w:rsidRPr="00EE003F" w:rsidRDefault="00375169" w:rsidP="00375169">
      <w:pPr>
        <w:pStyle w:val="BasicParagraph"/>
        <w:spacing w:before="113" w:line="240" w:lineRule="auto"/>
        <w:rPr>
          <w:rStyle w:val="negritanombre"/>
          <w:rFonts w:ascii="Arial Narrow" w:hAnsi="Arial Narrow"/>
          <w:color w:val="auto"/>
          <w:sz w:val="16"/>
          <w:szCs w:val="16"/>
        </w:rPr>
      </w:pPr>
      <w:r w:rsidRPr="00EE003F">
        <w:rPr>
          <w:rStyle w:val="negritanombre"/>
          <w:rFonts w:ascii="Arial Narrow" w:hAnsi="Arial Narrow"/>
          <w:color w:val="auto"/>
          <w:sz w:val="16"/>
          <w:szCs w:val="16"/>
        </w:rPr>
        <w:t>EJE 2</w:t>
      </w:r>
    </w:p>
    <w:p w:rsidR="00375169" w:rsidRPr="00EE003F" w:rsidRDefault="00375169" w:rsidP="00375169">
      <w:pPr>
        <w:pStyle w:val="BasicParagraph"/>
        <w:spacing w:before="227" w:line="240" w:lineRule="auto"/>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Pobreza Multidimensional</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79739E">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Índice de Pobreza Multidimensional (IPM) complementa las aproximaciones monetarias de medición de la pobreza, al considerar en su cálculo el número total de privaciones sufridas simultáneamente por las personas, en un momento específico. El índice identifica las privaciones en las mismas tres dimensiones que toma el IDH (educación, salud y estándar de vida), y muestra tanto el número de personas que son multi-dimensionalmente pobres (que sufren privaciones en 33% o más de los indicadores ponderados) como el número de privaciones que los hogares pobres enfrentan típicamente.</w:t>
            </w: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16767E">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2008-</w:t>
            </w:r>
            <w:r w:rsidR="0016767E" w:rsidRPr="00EE003F">
              <w:rPr>
                <w:rFonts w:ascii="Arial Narrow" w:hAnsi="Arial Narrow" w:cs="Swis721 LtCn BT"/>
                <w:sz w:val="16"/>
                <w:szCs w:val="16"/>
                <w:lang w:val="es-ES_tradnl"/>
              </w:rPr>
              <w:t>201</w:t>
            </w:r>
            <w:r w:rsidR="00541452" w:rsidRPr="00EE003F">
              <w:rPr>
                <w:rFonts w:ascii="Arial Narrow" w:hAnsi="Arial Narrow" w:cs="Swis721 LtCn BT"/>
                <w:sz w:val="16"/>
                <w:szCs w:val="16"/>
                <w:lang w:val="es-ES_tradnl"/>
              </w:rPr>
              <w:t>3</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PNUD</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w:t>
            </w:r>
            <w:r w:rsidR="009E1053" w:rsidRPr="00EE003F">
              <w:rPr>
                <w:rFonts w:ascii="Arial Narrow" w:hAnsi="Arial Narrow" w:cs="Swis721 LtCn BT"/>
                <w:sz w:val="16"/>
                <w:szCs w:val="16"/>
                <w:lang w:val="es-ES_tradnl"/>
              </w:rPr>
              <w:t>to más reciente disponible (2013</w:t>
            </w:r>
            <w:r w:rsidRPr="00EE003F">
              <w:rPr>
                <w:rFonts w:ascii="Arial Narrow" w:hAnsi="Arial Narrow" w:cs="Swis721 LtCn BT"/>
                <w:sz w:val="16"/>
                <w:szCs w:val="16"/>
                <w:lang w:val="es-ES_tradnl"/>
              </w:rPr>
              <w:t>)</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0,043</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EA034E" w:rsidRPr="00EE003F" w:rsidTr="0079739E">
        <w:trPr>
          <w:trHeight w:val="60"/>
        </w:trPr>
        <w:tc>
          <w:tcPr>
            <w:tcW w:w="2013" w:type="dxa"/>
          </w:tcPr>
          <w:p w:rsidR="00EA034E" w:rsidRPr="00EE003F" w:rsidRDefault="00EA034E" w:rsidP="00060401">
            <w:pPr>
              <w:autoSpaceDE w:val="0"/>
              <w:autoSpaceDN w:val="0"/>
              <w:adjustRightInd w:val="0"/>
              <w:spacing w:line="288" w:lineRule="auto"/>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Meta 2016</w:t>
            </w:r>
          </w:p>
        </w:tc>
        <w:tc>
          <w:tcPr>
            <w:tcW w:w="2014" w:type="dxa"/>
          </w:tcPr>
          <w:p w:rsidR="00EA034E" w:rsidRPr="00EE003F" w:rsidRDefault="00EA034E" w:rsidP="00060401">
            <w:pPr>
              <w:autoSpaceDE w:val="0"/>
              <w:autoSpaceDN w:val="0"/>
              <w:adjustRightInd w:val="0"/>
              <w:spacing w:line="288" w:lineRule="auto"/>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0,040</w:t>
            </w:r>
          </w:p>
        </w:tc>
        <w:tc>
          <w:tcPr>
            <w:tcW w:w="236" w:type="dxa"/>
            <w:vMerge/>
          </w:tcPr>
          <w:p w:rsidR="00EA034E" w:rsidRPr="00EE003F" w:rsidRDefault="00EA034E" w:rsidP="00060401">
            <w:pPr>
              <w:autoSpaceDE w:val="0"/>
              <w:autoSpaceDN w:val="0"/>
              <w:adjustRightInd w:val="0"/>
              <w:rPr>
                <w:rFonts w:ascii="Arial Narrow" w:hAnsi="Arial Narrow"/>
                <w:sz w:val="16"/>
                <w:szCs w:val="16"/>
              </w:rPr>
            </w:pPr>
          </w:p>
        </w:tc>
        <w:tc>
          <w:tcPr>
            <w:tcW w:w="3505" w:type="dxa"/>
            <w:vMerge/>
          </w:tcPr>
          <w:p w:rsidR="00EA034E" w:rsidRPr="00EE003F" w:rsidRDefault="00EA034E" w:rsidP="00060401">
            <w:pPr>
              <w:autoSpaceDE w:val="0"/>
              <w:autoSpaceDN w:val="0"/>
              <w:adjustRightInd w:val="0"/>
              <w:rPr>
                <w:rFonts w:ascii="Arial Narrow" w:hAnsi="Arial Narrow"/>
                <w:sz w:val="16"/>
                <w:szCs w:val="16"/>
              </w:rPr>
            </w:pP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0,014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A24A2A" w:rsidRPr="00EE003F" w:rsidRDefault="00A24A2A" w:rsidP="00820171">
      <w:pPr>
        <w:pStyle w:val="BasicParagraph"/>
        <w:spacing w:before="227" w:line="240" w:lineRule="auto"/>
        <w:rPr>
          <w:rStyle w:val="cuerpodetexto"/>
          <w:rFonts w:ascii="Arial Narrow" w:hAnsi="Arial Narrow"/>
          <w:color w:val="auto"/>
          <w:sz w:val="16"/>
          <w:szCs w:val="16"/>
        </w:rPr>
      </w:pPr>
      <w:r w:rsidRPr="00EE003F">
        <w:rPr>
          <w:rStyle w:val="cuerpodetexto"/>
          <w:rFonts w:ascii="Arial Narrow" w:hAnsi="Arial Narrow"/>
          <w:color w:val="auto"/>
          <w:sz w:val="16"/>
          <w:szCs w:val="16"/>
        </w:rPr>
        <w:t>Tasa neta de matrícula de niños de 3 a 5 años en educación inicial</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16767E" w:rsidRPr="00EE003F" w:rsidTr="001B688D">
        <w:trPr>
          <w:trHeight w:val="60"/>
        </w:trPr>
        <w:tc>
          <w:tcPr>
            <w:tcW w:w="4027" w:type="dxa"/>
            <w:gridSpan w:val="2"/>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16767E" w:rsidRPr="00EE003F" w:rsidRDefault="0016767E" w:rsidP="001B688D">
            <w:pPr>
              <w:autoSpaceDE w:val="0"/>
              <w:autoSpaceDN w:val="0"/>
              <w:adjustRightInd w:val="0"/>
              <w:rPr>
                <w:rFonts w:ascii="Arial Narrow" w:hAnsi="Arial Narrow"/>
                <w:sz w:val="16"/>
                <w:szCs w:val="16"/>
              </w:rPr>
            </w:pPr>
          </w:p>
        </w:tc>
        <w:tc>
          <w:tcPr>
            <w:tcW w:w="3505"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16767E" w:rsidRPr="00EE003F" w:rsidTr="001B688D">
        <w:trPr>
          <w:trHeight w:val="60"/>
        </w:trPr>
        <w:tc>
          <w:tcPr>
            <w:tcW w:w="2013"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16767E" w:rsidRPr="00EE003F" w:rsidRDefault="0016767E" w:rsidP="001B688D">
            <w:pPr>
              <w:autoSpaceDE w:val="0"/>
              <w:autoSpaceDN w:val="0"/>
              <w:adjustRightInd w:val="0"/>
              <w:rPr>
                <w:rFonts w:ascii="Arial Narrow" w:hAnsi="Arial Narrow"/>
                <w:sz w:val="16"/>
                <w:szCs w:val="16"/>
              </w:rPr>
            </w:pPr>
          </w:p>
        </w:tc>
        <w:tc>
          <w:tcPr>
            <w:tcW w:w="3505" w:type="dxa"/>
            <w:vMerge w:val="restart"/>
          </w:tcPr>
          <w:p w:rsidR="0016767E" w:rsidRPr="00EE003F" w:rsidRDefault="0016767E" w:rsidP="001B688D">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Tasa neta de matrícula escolar de la población de 3 a 5 años de edad, se refiere a la matrícula de la población de este grupo de edad a educación inicial, respecto de la población del mismo grupo de edad, se expresa en porcentaje (INEI,2016).</w:t>
            </w:r>
          </w:p>
        </w:tc>
      </w:tr>
      <w:tr w:rsidR="0016767E" w:rsidRPr="00EE003F" w:rsidTr="001B688D">
        <w:trPr>
          <w:trHeight w:val="60"/>
        </w:trPr>
        <w:tc>
          <w:tcPr>
            <w:tcW w:w="2013"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16767E" w:rsidRPr="00EE003F" w:rsidRDefault="0016767E" w:rsidP="001B688D">
            <w:pPr>
              <w:autoSpaceDE w:val="0"/>
              <w:autoSpaceDN w:val="0"/>
              <w:adjustRightInd w:val="0"/>
              <w:rPr>
                <w:rFonts w:ascii="Arial Narrow" w:hAnsi="Arial Narrow"/>
                <w:sz w:val="16"/>
                <w:szCs w:val="16"/>
              </w:rPr>
            </w:pPr>
          </w:p>
        </w:tc>
        <w:tc>
          <w:tcPr>
            <w:tcW w:w="3505" w:type="dxa"/>
            <w:vMerge/>
          </w:tcPr>
          <w:p w:rsidR="0016767E" w:rsidRPr="00EE003F" w:rsidRDefault="0016767E" w:rsidP="001B688D">
            <w:pPr>
              <w:autoSpaceDE w:val="0"/>
              <w:autoSpaceDN w:val="0"/>
              <w:adjustRightInd w:val="0"/>
              <w:rPr>
                <w:rFonts w:ascii="Arial Narrow" w:hAnsi="Arial Narrow"/>
                <w:sz w:val="16"/>
                <w:szCs w:val="16"/>
              </w:rPr>
            </w:pPr>
          </w:p>
        </w:tc>
      </w:tr>
      <w:tr w:rsidR="0016767E" w:rsidRPr="00EE003F" w:rsidTr="001B688D">
        <w:trPr>
          <w:trHeight w:val="60"/>
        </w:trPr>
        <w:tc>
          <w:tcPr>
            <w:tcW w:w="2013"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16767E" w:rsidRPr="00EE003F" w:rsidRDefault="00A011B1" w:rsidP="00A011B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2008</w:t>
            </w:r>
            <w:r w:rsidR="0016767E" w:rsidRPr="00EE003F">
              <w:rPr>
                <w:rFonts w:ascii="Arial Narrow" w:hAnsi="Arial Narrow"/>
                <w:sz w:val="16"/>
                <w:szCs w:val="16"/>
                <w:lang w:val="es-ES_tradnl"/>
              </w:rPr>
              <w:t>-2014</w:t>
            </w:r>
          </w:p>
        </w:tc>
        <w:tc>
          <w:tcPr>
            <w:tcW w:w="160" w:type="dxa"/>
            <w:vMerge/>
          </w:tcPr>
          <w:p w:rsidR="0016767E" w:rsidRPr="00EE003F" w:rsidRDefault="0016767E" w:rsidP="001B688D">
            <w:pPr>
              <w:autoSpaceDE w:val="0"/>
              <w:autoSpaceDN w:val="0"/>
              <w:adjustRightInd w:val="0"/>
              <w:rPr>
                <w:rFonts w:ascii="Arial Narrow" w:hAnsi="Arial Narrow"/>
                <w:sz w:val="16"/>
                <w:szCs w:val="16"/>
              </w:rPr>
            </w:pPr>
          </w:p>
        </w:tc>
        <w:tc>
          <w:tcPr>
            <w:tcW w:w="3505" w:type="dxa"/>
            <w:vMerge/>
          </w:tcPr>
          <w:p w:rsidR="0016767E" w:rsidRPr="00EE003F" w:rsidRDefault="0016767E" w:rsidP="001B688D">
            <w:pPr>
              <w:autoSpaceDE w:val="0"/>
              <w:autoSpaceDN w:val="0"/>
              <w:adjustRightInd w:val="0"/>
              <w:rPr>
                <w:rFonts w:ascii="Arial Narrow" w:hAnsi="Arial Narrow"/>
                <w:sz w:val="16"/>
                <w:szCs w:val="16"/>
              </w:rPr>
            </w:pPr>
          </w:p>
        </w:tc>
      </w:tr>
      <w:tr w:rsidR="0016767E" w:rsidRPr="00EE003F" w:rsidTr="001B688D">
        <w:trPr>
          <w:trHeight w:val="60"/>
        </w:trPr>
        <w:tc>
          <w:tcPr>
            <w:tcW w:w="2013"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 - Enaho</w:t>
            </w:r>
          </w:p>
        </w:tc>
        <w:tc>
          <w:tcPr>
            <w:tcW w:w="160" w:type="dxa"/>
            <w:vMerge/>
          </w:tcPr>
          <w:p w:rsidR="0016767E" w:rsidRPr="00EE003F" w:rsidRDefault="0016767E" w:rsidP="001B688D">
            <w:pPr>
              <w:autoSpaceDE w:val="0"/>
              <w:autoSpaceDN w:val="0"/>
              <w:adjustRightInd w:val="0"/>
              <w:rPr>
                <w:rFonts w:ascii="Arial Narrow" w:hAnsi="Arial Narrow"/>
                <w:sz w:val="16"/>
                <w:szCs w:val="16"/>
              </w:rPr>
            </w:pPr>
          </w:p>
        </w:tc>
        <w:tc>
          <w:tcPr>
            <w:tcW w:w="3505" w:type="dxa"/>
            <w:vMerge/>
          </w:tcPr>
          <w:p w:rsidR="0016767E" w:rsidRPr="00EE003F" w:rsidRDefault="0016767E" w:rsidP="001B688D">
            <w:pPr>
              <w:autoSpaceDE w:val="0"/>
              <w:autoSpaceDN w:val="0"/>
              <w:adjustRightInd w:val="0"/>
              <w:rPr>
                <w:rFonts w:ascii="Arial Narrow" w:hAnsi="Arial Narrow"/>
                <w:sz w:val="16"/>
                <w:szCs w:val="16"/>
              </w:rPr>
            </w:pPr>
          </w:p>
        </w:tc>
      </w:tr>
      <w:tr w:rsidR="0016767E" w:rsidRPr="00EE003F" w:rsidTr="001B688D">
        <w:trPr>
          <w:trHeight w:val="170"/>
        </w:trPr>
        <w:tc>
          <w:tcPr>
            <w:tcW w:w="2013"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16767E" w:rsidRPr="00EE003F" w:rsidRDefault="00A011B1"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81.5</w:t>
            </w:r>
          </w:p>
        </w:tc>
        <w:tc>
          <w:tcPr>
            <w:tcW w:w="160" w:type="dxa"/>
            <w:vMerge/>
          </w:tcPr>
          <w:p w:rsidR="0016767E" w:rsidRPr="00EE003F" w:rsidRDefault="0016767E" w:rsidP="001B688D">
            <w:pPr>
              <w:autoSpaceDE w:val="0"/>
              <w:autoSpaceDN w:val="0"/>
              <w:adjustRightInd w:val="0"/>
              <w:rPr>
                <w:rFonts w:ascii="Arial Narrow" w:hAnsi="Arial Narrow"/>
                <w:sz w:val="16"/>
                <w:szCs w:val="16"/>
              </w:rPr>
            </w:pPr>
          </w:p>
        </w:tc>
        <w:tc>
          <w:tcPr>
            <w:tcW w:w="3505" w:type="dxa"/>
            <w:vMerge/>
          </w:tcPr>
          <w:p w:rsidR="0016767E" w:rsidRPr="00EE003F" w:rsidRDefault="0016767E" w:rsidP="001B688D">
            <w:pPr>
              <w:autoSpaceDE w:val="0"/>
              <w:autoSpaceDN w:val="0"/>
              <w:adjustRightInd w:val="0"/>
              <w:rPr>
                <w:rFonts w:ascii="Arial Narrow" w:hAnsi="Arial Narrow"/>
                <w:sz w:val="16"/>
                <w:szCs w:val="16"/>
              </w:rPr>
            </w:pPr>
          </w:p>
        </w:tc>
      </w:tr>
      <w:tr w:rsidR="0016767E" w:rsidRPr="00EE003F" w:rsidTr="001B688D">
        <w:trPr>
          <w:trHeight w:val="60"/>
        </w:trPr>
        <w:tc>
          <w:tcPr>
            <w:tcW w:w="2013"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16767E" w:rsidRPr="00EE003F" w:rsidRDefault="005F79D0"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8</w:t>
            </w:r>
            <w:r w:rsidR="0046138F" w:rsidRPr="00EE003F">
              <w:rPr>
                <w:rFonts w:ascii="Arial Narrow" w:hAnsi="Arial Narrow" w:cs="Swis721 LtCn BT"/>
                <w:sz w:val="16"/>
                <w:szCs w:val="16"/>
                <w:lang w:val="es-ES_tradnl"/>
              </w:rPr>
              <w:t>5</w:t>
            </w:r>
          </w:p>
        </w:tc>
        <w:tc>
          <w:tcPr>
            <w:tcW w:w="160" w:type="dxa"/>
            <w:vMerge/>
          </w:tcPr>
          <w:p w:rsidR="0016767E" w:rsidRPr="00EE003F" w:rsidRDefault="0016767E" w:rsidP="001B688D">
            <w:pPr>
              <w:autoSpaceDE w:val="0"/>
              <w:autoSpaceDN w:val="0"/>
              <w:adjustRightInd w:val="0"/>
              <w:rPr>
                <w:rFonts w:ascii="Arial Narrow" w:hAnsi="Arial Narrow"/>
                <w:sz w:val="16"/>
                <w:szCs w:val="16"/>
              </w:rPr>
            </w:pPr>
          </w:p>
        </w:tc>
        <w:tc>
          <w:tcPr>
            <w:tcW w:w="3505" w:type="dxa"/>
            <w:vMerge/>
          </w:tcPr>
          <w:p w:rsidR="0016767E" w:rsidRPr="00EE003F" w:rsidRDefault="0016767E" w:rsidP="001B688D">
            <w:pPr>
              <w:autoSpaceDE w:val="0"/>
              <w:autoSpaceDN w:val="0"/>
              <w:adjustRightInd w:val="0"/>
              <w:rPr>
                <w:rFonts w:ascii="Arial Narrow" w:hAnsi="Arial Narrow"/>
                <w:sz w:val="16"/>
                <w:szCs w:val="16"/>
              </w:rPr>
            </w:pPr>
          </w:p>
        </w:tc>
      </w:tr>
      <w:tr w:rsidR="0016767E" w:rsidRPr="00EE003F" w:rsidTr="001B688D">
        <w:trPr>
          <w:trHeight w:val="60"/>
        </w:trPr>
        <w:tc>
          <w:tcPr>
            <w:tcW w:w="2013"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16767E" w:rsidRPr="00EE003F" w:rsidRDefault="00A011B1" w:rsidP="004814C0">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9</w:t>
            </w:r>
            <w:r w:rsidR="0046138F" w:rsidRPr="00EE003F">
              <w:rPr>
                <w:rFonts w:ascii="Arial Narrow" w:hAnsi="Arial Narrow" w:cs="Swis721 LtCn BT"/>
                <w:sz w:val="16"/>
                <w:szCs w:val="16"/>
                <w:lang w:val="es-ES_tradnl"/>
              </w:rPr>
              <w:t>7</w:t>
            </w:r>
          </w:p>
        </w:tc>
        <w:tc>
          <w:tcPr>
            <w:tcW w:w="160" w:type="dxa"/>
            <w:vMerge/>
          </w:tcPr>
          <w:p w:rsidR="0016767E" w:rsidRPr="00EE003F" w:rsidRDefault="0016767E" w:rsidP="001B688D">
            <w:pPr>
              <w:autoSpaceDE w:val="0"/>
              <w:autoSpaceDN w:val="0"/>
              <w:adjustRightInd w:val="0"/>
              <w:rPr>
                <w:rFonts w:ascii="Arial Narrow" w:hAnsi="Arial Narrow"/>
                <w:sz w:val="16"/>
                <w:szCs w:val="16"/>
              </w:rPr>
            </w:pPr>
          </w:p>
        </w:tc>
        <w:tc>
          <w:tcPr>
            <w:tcW w:w="3505" w:type="dxa"/>
            <w:vMerge/>
          </w:tcPr>
          <w:p w:rsidR="0016767E" w:rsidRPr="00EE003F" w:rsidRDefault="0016767E" w:rsidP="001B688D">
            <w:pPr>
              <w:autoSpaceDE w:val="0"/>
              <w:autoSpaceDN w:val="0"/>
              <w:adjustRightInd w:val="0"/>
              <w:rPr>
                <w:rFonts w:ascii="Arial Narrow" w:hAnsi="Arial Narrow"/>
                <w:sz w:val="16"/>
                <w:szCs w:val="16"/>
              </w:rPr>
            </w:pPr>
          </w:p>
        </w:tc>
      </w:tr>
      <w:tr w:rsidR="0016767E" w:rsidRPr="00EE003F" w:rsidTr="001B688D">
        <w:trPr>
          <w:trHeight w:val="60"/>
        </w:trPr>
        <w:tc>
          <w:tcPr>
            <w:tcW w:w="2013"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16767E" w:rsidRPr="00EE003F" w:rsidRDefault="0016767E"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Minedu</w:t>
            </w:r>
          </w:p>
        </w:tc>
        <w:tc>
          <w:tcPr>
            <w:tcW w:w="160" w:type="dxa"/>
          </w:tcPr>
          <w:p w:rsidR="0016767E" w:rsidRPr="00EE003F" w:rsidRDefault="0016767E" w:rsidP="001B688D">
            <w:pPr>
              <w:autoSpaceDE w:val="0"/>
              <w:autoSpaceDN w:val="0"/>
              <w:adjustRightInd w:val="0"/>
              <w:rPr>
                <w:rFonts w:ascii="Arial Narrow" w:hAnsi="Arial Narrow"/>
                <w:sz w:val="16"/>
                <w:szCs w:val="16"/>
              </w:rPr>
            </w:pPr>
          </w:p>
        </w:tc>
        <w:tc>
          <w:tcPr>
            <w:tcW w:w="3505" w:type="dxa"/>
            <w:vMerge/>
          </w:tcPr>
          <w:p w:rsidR="0016767E" w:rsidRPr="00EE003F" w:rsidRDefault="0016767E" w:rsidP="001B688D">
            <w:pPr>
              <w:autoSpaceDE w:val="0"/>
              <w:autoSpaceDN w:val="0"/>
              <w:adjustRightInd w:val="0"/>
              <w:rPr>
                <w:rFonts w:ascii="Arial Narrow" w:hAnsi="Arial Narrow"/>
                <w:sz w:val="16"/>
                <w:szCs w:val="16"/>
              </w:rPr>
            </w:pPr>
          </w:p>
        </w:tc>
      </w:tr>
    </w:tbl>
    <w:p w:rsidR="00375169" w:rsidRPr="00EE003F" w:rsidRDefault="002D1DC8" w:rsidP="00375169">
      <w:pPr>
        <w:pStyle w:val="BasicParagraph"/>
        <w:spacing w:before="227" w:line="240" w:lineRule="auto"/>
        <w:rPr>
          <w:rStyle w:val="cuerpodetexto"/>
          <w:rFonts w:ascii="Arial Narrow" w:hAnsi="Arial Narrow" w:cs="Swis721 LtCn BT"/>
          <w:color w:val="auto"/>
          <w:sz w:val="16"/>
          <w:szCs w:val="16"/>
        </w:rPr>
      </w:pPr>
      <w:r w:rsidRPr="00EE003F">
        <w:rPr>
          <w:rStyle w:val="cuerpodetextotablas"/>
          <w:rFonts w:ascii="Arial Narrow" w:hAnsi="Arial Narrow"/>
          <w:color w:val="auto"/>
        </w:rPr>
        <w:t>Porcentaje de estudiantes en el nivel satisfactorio de comprensión lectora (ECE)</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2D1DC8">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2D1DC8">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Porcentaje</w:t>
            </w:r>
          </w:p>
        </w:tc>
        <w:tc>
          <w:tcPr>
            <w:tcW w:w="236" w:type="dxa"/>
            <w:vMerge w:val="restart"/>
            <w:shd w:val="clear" w:color="auto" w:fill="auto"/>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shd w:val="clear" w:color="auto" w:fill="auto"/>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Consiste en la aplicación de pruebas estandarizadas a estudiantes, tanto, de segundo grado de primaria como a estudiantes de cuarto grado de primaria que tienen una lengua materna originaria distinta al castellano y asisten a una escuela de Educación Intercultural Bilingüe (EIB). El indicador mide el porcentaje de niños y niñas que alcanzan el nivel satisfactorio en comprensión lectora (Minedu-UMC, 2016).</w:t>
            </w:r>
          </w:p>
        </w:tc>
      </w:tr>
      <w:tr w:rsidR="006E3336" w:rsidRPr="00EE003F" w:rsidTr="002D1DC8">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 xml:space="preserve">0 </w:t>
            </w:r>
            <w:r w:rsidR="007674D0" w:rsidRPr="00EE003F">
              <w:rPr>
                <w:rFonts w:ascii="Arial Narrow" w:hAnsi="Arial Narrow"/>
                <w:sz w:val="16"/>
                <w:szCs w:val="16"/>
                <w:lang w:val="es-ES_tradnl"/>
              </w:rPr>
              <w:t>–</w:t>
            </w:r>
            <w:r w:rsidRPr="00EE003F">
              <w:rPr>
                <w:rFonts w:ascii="Arial Narrow" w:hAnsi="Arial Narrow"/>
                <w:sz w:val="16"/>
                <w:szCs w:val="16"/>
                <w:lang w:val="es-ES_tradnl"/>
              </w:rPr>
              <w:t xml:space="preserve"> 100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2D1DC8">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A24A2A">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2007-</w:t>
            </w:r>
            <w:r w:rsidR="00A24A2A" w:rsidRPr="00EE003F">
              <w:rPr>
                <w:rFonts w:ascii="Arial Narrow" w:hAnsi="Arial Narrow"/>
                <w:sz w:val="16"/>
                <w:szCs w:val="16"/>
                <w:lang w:val="es-ES_tradnl"/>
              </w:rPr>
              <w:t>2015</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2D1DC8">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 xml:space="preserve">Minedu </w:t>
            </w:r>
            <w:r w:rsidR="007674D0" w:rsidRPr="00EE003F">
              <w:rPr>
                <w:rFonts w:ascii="Arial Narrow" w:hAnsi="Arial Narrow"/>
                <w:sz w:val="16"/>
                <w:szCs w:val="16"/>
                <w:lang w:val="es-ES_tradnl"/>
              </w:rPr>
              <w:t>–</w:t>
            </w:r>
            <w:r w:rsidRPr="00EE003F">
              <w:rPr>
                <w:rFonts w:ascii="Arial Narrow" w:hAnsi="Arial Narrow"/>
                <w:sz w:val="16"/>
                <w:szCs w:val="16"/>
                <w:lang w:val="es-ES_tradnl"/>
              </w:rPr>
              <w:t xml:space="preserve"> UMC</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2D1DC8">
        <w:trPr>
          <w:trHeight w:val="60"/>
        </w:trPr>
        <w:tc>
          <w:tcPr>
            <w:tcW w:w="2013" w:type="dxa"/>
          </w:tcPr>
          <w:p w:rsidR="00375169" w:rsidRPr="00EE003F" w:rsidRDefault="00375169" w:rsidP="00A011B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w:t>
            </w:r>
            <w:r w:rsidR="00A011B1" w:rsidRPr="00EE003F">
              <w:rPr>
                <w:rFonts w:ascii="Arial Narrow" w:hAnsi="Arial Narrow" w:cs="Swis721 LtCn BT"/>
                <w:sz w:val="16"/>
                <w:szCs w:val="16"/>
                <w:lang w:val="es-ES_tradnl"/>
              </w:rPr>
              <w:t>2015</w:t>
            </w:r>
            <w:r w:rsidRPr="00EE003F">
              <w:rPr>
                <w:rFonts w:ascii="Arial Narrow" w:hAnsi="Arial Narrow" w:cs="Swis721 LtCn BT"/>
                <w:sz w:val="16"/>
                <w:szCs w:val="16"/>
                <w:lang w:val="es-ES_tradnl"/>
              </w:rPr>
              <w:t>)</w:t>
            </w:r>
          </w:p>
        </w:tc>
        <w:tc>
          <w:tcPr>
            <w:tcW w:w="2014" w:type="dxa"/>
          </w:tcPr>
          <w:p w:rsidR="00375169" w:rsidRPr="00EE003F" w:rsidRDefault="00A011B1"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50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2D1DC8">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A011B1"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54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2D1DC8">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B349FA" w:rsidP="00B349FA">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69</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2D1DC8">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 xml:space="preserve">Minedu </w:t>
            </w:r>
            <w:r w:rsidR="007674D0" w:rsidRPr="00EE003F">
              <w:rPr>
                <w:rFonts w:ascii="Arial Narrow" w:hAnsi="Arial Narrow"/>
                <w:sz w:val="16"/>
                <w:szCs w:val="16"/>
                <w:lang w:val="es-ES_tradnl"/>
              </w:rPr>
              <w:t>–</w:t>
            </w:r>
            <w:r w:rsidRPr="00EE003F">
              <w:rPr>
                <w:rFonts w:ascii="Arial Narrow" w:hAnsi="Arial Narrow"/>
                <w:sz w:val="16"/>
                <w:szCs w:val="16"/>
                <w:lang w:val="es-ES_tradnl"/>
              </w:rPr>
              <w:t xml:space="preserve"> Ceplan</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2D1DC8" w:rsidP="00375169">
      <w:pPr>
        <w:pStyle w:val="BasicParagraph"/>
        <w:spacing w:before="227" w:line="240" w:lineRule="auto"/>
        <w:rPr>
          <w:rStyle w:val="cuerpodetexto"/>
          <w:rFonts w:ascii="Arial Narrow" w:hAnsi="Arial Narrow"/>
          <w:color w:val="auto"/>
          <w:sz w:val="16"/>
          <w:szCs w:val="16"/>
        </w:rPr>
      </w:pPr>
      <w:r w:rsidRPr="00EE003F">
        <w:rPr>
          <w:rStyle w:val="cuerpodetextotablas"/>
          <w:rFonts w:ascii="Arial Narrow" w:hAnsi="Arial Narrow"/>
          <w:color w:val="auto"/>
        </w:rPr>
        <w:t>Porcentaje de estudiantes en el nivel satisfactorio en matemática (ECE)</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Consiste en la aplicación de pruebas estandarizadas a estudiantes, tanto, de segundo grado de primaria como a estudiantes de cuarto grado de primaria que tienen una lengua materna originaria distinta al castellano y asisten a una escuela de Educación Intercultural Bilingüe (EIB). El indicador mide el porcentaje de niños y niñas que alcanzan el nivel satisfactorio en matemática (Minedu-UMC, 2016).</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 xml:space="preserve">0 </w:t>
            </w:r>
            <w:r w:rsidR="007674D0" w:rsidRPr="00EE003F">
              <w:rPr>
                <w:rFonts w:ascii="Arial Narrow" w:hAnsi="Arial Narrow"/>
                <w:sz w:val="16"/>
                <w:szCs w:val="16"/>
                <w:lang w:val="es-ES_tradnl"/>
              </w:rPr>
              <w:t>–</w:t>
            </w:r>
            <w:r w:rsidRPr="00EE003F">
              <w:rPr>
                <w:rFonts w:ascii="Arial Narrow" w:hAnsi="Arial Narrow"/>
                <w:sz w:val="16"/>
                <w:szCs w:val="16"/>
                <w:lang w:val="es-ES_tradnl"/>
              </w:rPr>
              <w:t xml:space="preserve"> 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A011B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2007-</w:t>
            </w:r>
            <w:r w:rsidR="00A011B1" w:rsidRPr="00EE003F">
              <w:rPr>
                <w:rFonts w:ascii="Arial Narrow" w:hAnsi="Arial Narrow"/>
                <w:sz w:val="16"/>
                <w:szCs w:val="16"/>
                <w:lang w:val="es-ES_tradnl"/>
              </w:rPr>
              <w:t>2015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 xml:space="preserve">Minedu </w:t>
            </w:r>
            <w:r w:rsidR="007674D0" w:rsidRPr="00EE003F">
              <w:rPr>
                <w:rFonts w:ascii="Arial Narrow" w:hAnsi="Arial Narrow"/>
                <w:sz w:val="16"/>
                <w:szCs w:val="16"/>
                <w:lang w:val="es-ES_tradnl"/>
              </w:rPr>
              <w:t>–</w:t>
            </w:r>
            <w:r w:rsidRPr="00EE003F">
              <w:rPr>
                <w:rFonts w:ascii="Arial Narrow" w:hAnsi="Arial Narrow"/>
                <w:sz w:val="16"/>
                <w:szCs w:val="16"/>
                <w:lang w:val="es-ES_tradnl"/>
              </w:rPr>
              <w:t xml:space="preserve"> UMC</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A011B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w:t>
            </w:r>
            <w:r w:rsidR="00A011B1" w:rsidRPr="00EE003F">
              <w:rPr>
                <w:rFonts w:ascii="Arial Narrow" w:hAnsi="Arial Narrow" w:cs="Swis721 LtCn BT"/>
                <w:sz w:val="16"/>
                <w:szCs w:val="16"/>
                <w:lang w:val="es-ES_tradnl"/>
              </w:rPr>
              <w:t>2015</w:t>
            </w:r>
            <w:r w:rsidRPr="00EE003F">
              <w:rPr>
                <w:rFonts w:ascii="Arial Narrow" w:hAnsi="Arial Narrow" w:cs="Swis721 LtCn BT"/>
                <w:sz w:val="16"/>
                <w:szCs w:val="16"/>
                <w:lang w:val="es-ES_tradnl"/>
              </w:rPr>
              <w:t>)</w:t>
            </w:r>
          </w:p>
        </w:tc>
        <w:tc>
          <w:tcPr>
            <w:tcW w:w="2014" w:type="dxa"/>
          </w:tcPr>
          <w:p w:rsidR="00375169" w:rsidRPr="00EE003F" w:rsidRDefault="00A011B1"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27</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A011B1"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30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A011B1"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43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Minedu – 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Puntuación media en la prueba PISA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Puntuación</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programa para el logro estudiantil internacional (PISA) es una encuesta internacional trienal, que evalúa los sistemas de educación a nivel mundial con pruebas de habilidades y conocimiento a los estudiantes de 15 años de edad. La puntuación media refleja el promedio de notas del país en las pruebas de comprensión lectora, matemática y ciencias.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 niveles</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2009-2012</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OCDE-MINEDU</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(2012)</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375,1 (Nivel 1)</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Nivel 2</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Nivel 3</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 xml:space="preserve">Población afiliada a algún </w:t>
      </w:r>
      <w:r w:rsidR="00E44F4B" w:rsidRPr="00EE003F">
        <w:rPr>
          <w:rStyle w:val="cuerpodetexto"/>
          <w:rFonts w:ascii="Arial Narrow" w:hAnsi="Arial Narrow"/>
          <w:color w:val="auto"/>
          <w:sz w:val="16"/>
          <w:szCs w:val="16"/>
        </w:rPr>
        <w:t>seguro de salud</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2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2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Este indicador representa la proporción de personas afiliadas en el seguro de salud, respecto del total de personas. Su representatividad es en torno al funcionamiento y accesibilidad del sistema de salud.</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2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2004-2014</w:t>
            </w:r>
          </w:p>
        </w:tc>
        <w:tc>
          <w:tcPr>
            <w:tcW w:w="12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INEI-Enaho</w:t>
            </w:r>
          </w:p>
        </w:tc>
        <w:tc>
          <w:tcPr>
            <w:tcW w:w="12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69,00</w:t>
            </w:r>
          </w:p>
        </w:tc>
        <w:tc>
          <w:tcPr>
            <w:tcW w:w="12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4814C0">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8</w:t>
            </w:r>
            <w:r w:rsidR="004814C0" w:rsidRPr="00EE003F">
              <w:rPr>
                <w:rFonts w:ascii="Arial Narrow" w:hAnsi="Arial Narrow" w:cs="Swis721 LtCn BT"/>
                <w:sz w:val="16"/>
                <w:szCs w:val="16"/>
                <w:lang w:val="es-ES_tradnl"/>
              </w:rPr>
              <w:t>2</w:t>
            </w:r>
            <w:r w:rsidR="007728FB" w:rsidRPr="00EE003F">
              <w:rPr>
                <w:rFonts w:ascii="Arial Narrow" w:hAnsi="Arial Narrow" w:cs="Swis721 LtCn BT"/>
                <w:sz w:val="16"/>
                <w:szCs w:val="16"/>
                <w:lang w:val="es-ES_tradnl"/>
              </w:rPr>
              <w:t>,00</w:t>
            </w:r>
          </w:p>
        </w:tc>
        <w:tc>
          <w:tcPr>
            <w:tcW w:w="12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95,00</w:t>
            </w:r>
          </w:p>
        </w:tc>
        <w:tc>
          <w:tcPr>
            <w:tcW w:w="12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Minsa</w:t>
            </w:r>
          </w:p>
        </w:tc>
        <w:tc>
          <w:tcPr>
            <w:tcW w:w="12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Incidencia de tuberculosis (por cada 100 mil habitantes)</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79739E">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Personas</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La incidencia de tuberculosis es el número estimado de casos de tuberculosis de tipo pulmonar, frotis positivo, y extra-pulmonar (incluye pacientes con VIH).</w:t>
            </w: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79739E"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2000</w:t>
            </w:r>
            <w:r w:rsidR="00375169" w:rsidRPr="00EE003F">
              <w:rPr>
                <w:rFonts w:ascii="Arial Narrow" w:hAnsi="Arial Narrow" w:cs="Swis721 LtCn BT"/>
                <w:sz w:val="16"/>
                <w:szCs w:val="16"/>
                <w:lang w:val="es-ES_tradnl"/>
              </w:rPr>
              <w:t>-201</w:t>
            </w:r>
            <w:r w:rsidR="00DF1EFA" w:rsidRPr="00EE003F">
              <w:rPr>
                <w:rFonts w:ascii="Arial Narrow" w:hAnsi="Arial Narrow" w:cs="Swis721 LtCn BT"/>
                <w:sz w:val="16"/>
                <w:szCs w:val="16"/>
                <w:lang w:val="es-ES_tradnl"/>
              </w:rPr>
              <w:t>5</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OMS-INEI</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w:t>
            </w:r>
            <w:r w:rsidR="00FA5ABE" w:rsidRPr="00EE003F">
              <w:rPr>
                <w:rFonts w:ascii="Arial Narrow" w:hAnsi="Arial Narrow" w:cs="Swis721 LtCn BT"/>
                <w:sz w:val="16"/>
                <w:szCs w:val="16"/>
                <w:lang w:val="es-ES_tradnl"/>
              </w:rPr>
              <w:t>5</w:t>
            </w:r>
            <w:r w:rsidRPr="00EE003F">
              <w:rPr>
                <w:rFonts w:ascii="Arial Narrow" w:hAnsi="Arial Narrow" w:cs="Swis721 LtCn BT"/>
                <w:sz w:val="16"/>
                <w:szCs w:val="16"/>
                <w:lang w:val="es-ES_tradnl"/>
              </w:rPr>
              <w:t>)</w:t>
            </w:r>
          </w:p>
        </w:tc>
        <w:tc>
          <w:tcPr>
            <w:tcW w:w="2014" w:type="dxa"/>
          </w:tcPr>
          <w:p w:rsidR="00375169" w:rsidRPr="00EE003F" w:rsidRDefault="0079739E" w:rsidP="004814C0">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8</w:t>
            </w:r>
            <w:r w:rsidR="004814C0" w:rsidRPr="00EE003F">
              <w:rPr>
                <w:rFonts w:ascii="Arial Narrow" w:hAnsi="Arial Narrow" w:cs="Swis721 LtCn BT"/>
                <w:sz w:val="16"/>
                <w:szCs w:val="16"/>
                <w:lang w:val="es-ES_tradnl"/>
              </w:rPr>
              <w:t>7,5</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FA5ABE" w:rsidRPr="00EE003F" w:rsidTr="0079739E">
        <w:trPr>
          <w:trHeight w:val="60"/>
        </w:trPr>
        <w:tc>
          <w:tcPr>
            <w:tcW w:w="2013" w:type="dxa"/>
          </w:tcPr>
          <w:p w:rsidR="00FA5ABE" w:rsidRPr="00EE003F" w:rsidRDefault="00FA5ABE" w:rsidP="00060401">
            <w:pPr>
              <w:autoSpaceDE w:val="0"/>
              <w:autoSpaceDN w:val="0"/>
              <w:adjustRightInd w:val="0"/>
              <w:spacing w:line="288" w:lineRule="auto"/>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Meta 2016</w:t>
            </w:r>
          </w:p>
        </w:tc>
        <w:tc>
          <w:tcPr>
            <w:tcW w:w="2014" w:type="dxa"/>
          </w:tcPr>
          <w:p w:rsidR="00FA5ABE" w:rsidRPr="00EE003F" w:rsidRDefault="00FA5ABE" w:rsidP="00567C33">
            <w:pPr>
              <w:autoSpaceDE w:val="0"/>
              <w:autoSpaceDN w:val="0"/>
              <w:adjustRightInd w:val="0"/>
              <w:spacing w:line="288" w:lineRule="auto"/>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8</w:t>
            </w:r>
            <w:r w:rsidR="00DF1EFA" w:rsidRPr="00EE003F">
              <w:rPr>
                <w:rFonts w:ascii="Arial Narrow" w:hAnsi="Arial Narrow" w:cs="Swis721 LtCn BT"/>
                <w:sz w:val="16"/>
                <w:szCs w:val="16"/>
                <w:lang w:val="es-ES_tradnl"/>
              </w:rPr>
              <w:t>4,</w:t>
            </w:r>
            <w:r w:rsidR="001737CC" w:rsidRPr="00EE003F">
              <w:rPr>
                <w:rFonts w:ascii="Arial Narrow" w:hAnsi="Arial Narrow" w:cs="Swis721 LtCn BT"/>
                <w:sz w:val="16"/>
                <w:szCs w:val="16"/>
                <w:lang w:val="es-ES_tradnl"/>
              </w:rPr>
              <w:t>3</w:t>
            </w:r>
          </w:p>
        </w:tc>
        <w:tc>
          <w:tcPr>
            <w:tcW w:w="236" w:type="dxa"/>
            <w:vMerge/>
          </w:tcPr>
          <w:p w:rsidR="00FA5ABE" w:rsidRPr="00EE003F" w:rsidRDefault="00FA5ABE" w:rsidP="00060401">
            <w:pPr>
              <w:autoSpaceDE w:val="0"/>
              <w:autoSpaceDN w:val="0"/>
              <w:adjustRightInd w:val="0"/>
              <w:rPr>
                <w:rFonts w:ascii="Arial Narrow" w:hAnsi="Arial Narrow"/>
                <w:sz w:val="16"/>
                <w:szCs w:val="16"/>
              </w:rPr>
            </w:pPr>
          </w:p>
        </w:tc>
        <w:tc>
          <w:tcPr>
            <w:tcW w:w="3505" w:type="dxa"/>
            <w:vMerge/>
          </w:tcPr>
          <w:p w:rsidR="00FA5ABE" w:rsidRPr="00EE003F" w:rsidRDefault="00FA5ABE" w:rsidP="00060401">
            <w:pPr>
              <w:autoSpaceDE w:val="0"/>
              <w:autoSpaceDN w:val="0"/>
              <w:adjustRightInd w:val="0"/>
              <w:rPr>
                <w:rFonts w:ascii="Arial Narrow" w:hAnsi="Arial Narrow"/>
                <w:sz w:val="16"/>
                <w:szCs w:val="16"/>
              </w:rPr>
            </w:pP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4814C0"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69,5</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9739E">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Minsa</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9A402B"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Cobertura de acceso al servicio de agua por red publica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9A402B">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Este indicador </w:t>
            </w:r>
            <w:r w:rsidR="009A402B" w:rsidRPr="00EE003F">
              <w:rPr>
                <w:rFonts w:ascii="Arial Narrow" w:hAnsi="Arial Narrow" w:cs="Swis721 LtCn BT"/>
                <w:sz w:val="16"/>
                <w:szCs w:val="16"/>
                <w:lang w:val="es-ES_tradnl"/>
              </w:rPr>
              <w:t>mide la proporción de hogares que cuentan con acceso a servicios agua por red pública</w:t>
            </w:r>
            <w:r w:rsidRPr="00EE003F">
              <w:rPr>
                <w:rFonts w:ascii="Arial Narrow" w:hAnsi="Arial Narrow" w:cs="Swis721 LtCn BT"/>
                <w:sz w:val="16"/>
                <w:szCs w:val="16"/>
                <w:lang w:val="es-ES_tradnl"/>
              </w:rPr>
              <w:t>.</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9A402B" w:rsidP="009A402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9A402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w:t>
            </w:r>
            <w:r w:rsidR="009A402B" w:rsidRPr="00EE003F">
              <w:rPr>
                <w:rFonts w:ascii="Arial Narrow" w:hAnsi="Arial Narrow" w:cs="Swis721 LtCn BT"/>
                <w:sz w:val="16"/>
                <w:szCs w:val="16"/>
                <w:lang w:val="es-ES_tradnl"/>
              </w:rPr>
              <w:t>Enapres</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9A402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w:t>
            </w:r>
            <w:r w:rsidR="009A402B" w:rsidRPr="00EE003F">
              <w:rPr>
                <w:rFonts w:ascii="Arial Narrow" w:hAnsi="Arial Narrow" w:cs="Swis721 LtCn BT"/>
                <w:sz w:val="16"/>
                <w:szCs w:val="16"/>
                <w:lang w:val="es-ES_tradnl"/>
              </w:rPr>
              <w:t>2015</w:t>
            </w:r>
            <w:r w:rsidRPr="00EE003F">
              <w:rPr>
                <w:rFonts w:ascii="Arial Narrow" w:hAnsi="Arial Narrow" w:cs="Swis721 LtCn BT"/>
                <w:sz w:val="16"/>
                <w:szCs w:val="16"/>
                <w:lang w:val="es-ES_tradnl"/>
              </w:rPr>
              <w:t>)</w:t>
            </w:r>
          </w:p>
        </w:tc>
        <w:tc>
          <w:tcPr>
            <w:tcW w:w="2014" w:type="dxa"/>
          </w:tcPr>
          <w:p w:rsidR="00375169" w:rsidRPr="00EE003F" w:rsidRDefault="009A402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88</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8</w:t>
            </w:r>
            <w:r w:rsidR="009A402B" w:rsidRPr="00EE003F">
              <w:rPr>
                <w:rFonts w:ascii="Arial Narrow" w:hAnsi="Arial Narrow" w:cs="Swis721 LtCn BT"/>
                <w:sz w:val="16"/>
                <w:szCs w:val="16"/>
                <w:lang w:val="es-ES_tradnl"/>
              </w:rPr>
              <w:t>8,9</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9A402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93,2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9A402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MVCS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7207E7"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pacing w:val="-2"/>
          <w:sz w:val="16"/>
          <w:szCs w:val="16"/>
        </w:rPr>
        <w:t>Cobertura de acceso al servicio de  saneamiento</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9A402B">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El indicador </w:t>
            </w:r>
            <w:r w:rsidR="009A402B" w:rsidRPr="00EE003F">
              <w:rPr>
                <w:rFonts w:ascii="Arial Narrow" w:hAnsi="Arial Narrow" w:cs="Swis721 LtCn BT"/>
                <w:sz w:val="16"/>
                <w:szCs w:val="16"/>
                <w:lang w:val="es-ES_tradnl"/>
              </w:rPr>
              <w:t xml:space="preserve">mide la proporción de hogares que cuenta con acceso a servicios de alcantarillado u otras formas de disposición de excretas </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9A402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9A402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w:t>
            </w:r>
            <w:r w:rsidR="009A402B" w:rsidRPr="00EE003F">
              <w:rPr>
                <w:rFonts w:ascii="Arial Narrow" w:hAnsi="Arial Narrow" w:cs="Swis721 LtCn BT"/>
                <w:sz w:val="16"/>
                <w:szCs w:val="16"/>
                <w:lang w:val="es-ES_tradnl"/>
              </w:rPr>
              <w:t>Enapres</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9A402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Dato más reciente disponible </w:t>
            </w:r>
            <w:r w:rsidR="009A402B" w:rsidRPr="00EE003F">
              <w:rPr>
                <w:rFonts w:ascii="Arial Narrow" w:hAnsi="Arial Narrow" w:cs="Swis721 LtCn BT"/>
                <w:sz w:val="16"/>
                <w:szCs w:val="16"/>
                <w:lang w:val="es-ES_tradnl"/>
              </w:rPr>
              <w:t xml:space="preserve"> (2015)</w:t>
            </w:r>
          </w:p>
        </w:tc>
        <w:tc>
          <w:tcPr>
            <w:tcW w:w="2014" w:type="dxa"/>
          </w:tcPr>
          <w:p w:rsidR="00375169" w:rsidRPr="00EE003F" w:rsidRDefault="009A402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72,4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9A402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74,4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9A402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84,3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9A402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MVCS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113"/>
        <w:rPr>
          <w:rStyle w:val="cuerpodetexto"/>
          <w:rFonts w:ascii="Arial Narrow" w:hAnsi="Arial Narrow"/>
          <w:color w:val="auto"/>
          <w:sz w:val="16"/>
          <w:szCs w:val="16"/>
        </w:rPr>
      </w:pPr>
      <w:r w:rsidRPr="00EE003F">
        <w:rPr>
          <w:rStyle w:val="cuerpodetexto"/>
          <w:rFonts w:ascii="Arial Narrow" w:hAnsi="Arial Narrow"/>
          <w:color w:val="auto"/>
          <w:sz w:val="16"/>
          <w:szCs w:val="16"/>
        </w:rPr>
        <w:t>Porcentaje de hogares en viviendas particulares que disponen de alumbrado eléctrico por red pública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indicador representa la proporción de hogares en viviendas particulares que disponen de alumbrado eléctrico por red pública respecto del total de hogares. Siendo de utilidad para evaluar y mejoras las políticas referidas a las condiciones de vida de la población.</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2004-2014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INEI-Enaho</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92,9</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93,3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98,1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MEM</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Porcentaje de hogares que usan combustibles alternativos como insumo para cocinar.</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D9393F">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D9393F">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indicador mide la proporción de hogares que utilizan combustibles alternativos para cocinar respecto al total de hogares, y refleja qué tan extendido es el uso de combustible inadecuado. Además, permite evaluar las condiciones de vida y salud y tomar las medidas preventivas.</w:t>
            </w:r>
          </w:p>
        </w:tc>
      </w:tr>
      <w:tr w:rsidR="006E3336" w:rsidRPr="00EE003F" w:rsidTr="00D9393F">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D9393F">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2007-2014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D9393F">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INEI-Enaho</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D9393F">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34,74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D9393F">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28,19</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D9393F">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16,19</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D9393F">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D9393F" w:rsidRPr="00EE003F" w:rsidRDefault="00D9393F" w:rsidP="00D9393F">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Porcentaje de hogares que están conectados a la red de gas natural</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D9393F" w:rsidRPr="00EE003F" w:rsidTr="003C36AC">
        <w:trPr>
          <w:trHeight w:val="60"/>
        </w:trPr>
        <w:tc>
          <w:tcPr>
            <w:tcW w:w="4027" w:type="dxa"/>
            <w:gridSpan w:val="2"/>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D9393F" w:rsidRPr="00EE003F" w:rsidRDefault="00D9393F" w:rsidP="003C36AC">
            <w:pPr>
              <w:autoSpaceDE w:val="0"/>
              <w:autoSpaceDN w:val="0"/>
              <w:adjustRightInd w:val="0"/>
              <w:rPr>
                <w:rFonts w:ascii="Arial Narrow" w:hAnsi="Arial Narrow"/>
                <w:sz w:val="16"/>
                <w:szCs w:val="16"/>
              </w:rPr>
            </w:pPr>
          </w:p>
        </w:tc>
        <w:tc>
          <w:tcPr>
            <w:tcW w:w="3505"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D9393F" w:rsidRPr="00EE003F" w:rsidTr="003C36AC">
        <w:trPr>
          <w:trHeight w:val="60"/>
        </w:trPr>
        <w:tc>
          <w:tcPr>
            <w:tcW w:w="2013"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D9393F" w:rsidRPr="00EE003F" w:rsidRDefault="00D9393F" w:rsidP="003C36AC">
            <w:pPr>
              <w:autoSpaceDE w:val="0"/>
              <w:autoSpaceDN w:val="0"/>
              <w:adjustRightInd w:val="0"/>
              <w:rPr>
                <w:rFonts w:ascii="Arial Narrow" w:hAnsi="Arial Narrow"/>
                <w:sz w:val="16"/>
                <w:szCs w:val="16"/>
              </w:rPr>
            </w:pPr>
          </w:p>
        </w:tc>
        <w:tc>
          <w:tcPr>
            <w:tcW w:w="3505" w:type="dxa"/>
            <w:vMerge w:val="restart"/>
          </w:tcPr>
          <w:p w:rsidR="00D9393F" w:rsidRPr="00EE003F" w:rsidRDefault="00D9393F" w:rsidP="003C36AC">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indicador de porcentaje de hogares que están conectados a la red de gas natural, proporciona la magnitud de los hogares que cuentan con acceso al gas natural, lo que permite comparar con indicadores similares de otros países de la región y determinar las estrategias para llegar a los objetivos propuestos.</w:t>
            </w:r>
          </w:p>
        </w:tc>
      </w:tr>
      <w:tr w:rsidR="00D9393F" w:rsidRPr="00EE003F" w:rsidTr="003C36AC">
        <w:trPr>
          <w:trHeight w:val="60"/>
        </w:trPr>
        <w:tc>
          <w:tcPr>
            <w:tcW w:w="2013"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D9393F" w:rsidRPr="00EE003F" w:rsidRDefault="00D9393F" w:rsidP="003C36AC">
            <w:pPr>
              <w:autoSpaceDE w:val="0"/>
              <w:autoSpaceDN w:val="0"/>
              <w:adjustRightInd w:val="0"/>
              <w:rPr>
                <w:rFonts w:ascii="Arial Narrow" w:hAnsi="Arial Narrow"/>
                <w:sz w:val="16"/>
                <w:szCs w:val="16"/>
              </w:rPr>
            </w:pPr>
          </w:p>
        </w:tc>
        <w:tc>
          <w:tcPr>
            <w:tcW w:w="3505" w:type="dxa"/>
            <w:vMerge/>
          </w:tcPr>
          <w:p w:rsidR="00D9393F" w:rsidRPr="00EE003F" w:rsidRDefault="00D9393F" w:rsidP="003C36AC">
            <w:pPr>
              <w:autoSpaceDE w:val="0"/>
              <w:autoSpaceDN w:val="0"/>
              <w:adjustRightInd w:val="0"/>
              <w:rPr>
                <w:rFonts w:ascii="Arial Narrow" w:hAnsi="Arial Narrow"/>
                <w:sz w:val="16"/>
                <w:szCs w:val="16"/>
              </w:rPr>
            </w:pPr>
          </w:p>
        </w:tc>
      </w:tr>
      <w:tr w:rsidR="00D9393F" w:rsidRPr="00EE003F" w:rsidTr="003C36AC">
        <w:trPr>
          <w:trHeight w:val="60"/>
        </w:trPr>
        <w:tc>
          <w:tcPr>
            <w:tcW w:w="2013"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2005</w:t>
            </w:r>
            <w:r w:rsidR="0079739E" w:rsidRPr="00EE003F">
              <w:rPr>
                <w:rFonts w:ascii="Arial Narrow" w:hAnsi="Arial Narrow" w:cs="Swis721 LtCn BT"/>
                <w:sz w:val="16"/>
                <w:szCs w:val="16"/>
                <w:lang w:val="es-ES_tradnl"/>
              </w:rPr>
              <w:t>-2015</w:t>
            </w:r>
          </w:p>
        </w:tc>
        <w:tc>
          <w:tcPr>
            <w:tcW w:w="160" w:type="dxa"/>
            <w:vMerge/>
          </w:tcPr>
          <w:p w:rsidR="00D9393F" w:rsidRPr="00EE003F" w:rsidRDefault="00D9393F" w:rsidP="003C36AC">
            <w:pPr>
              <w:autoSpaceDE w:val="0"/>
              <w:autoSpaceDN w:val="0"/>
              <w:adjustRightInd w:val="0"/>
              <w:rPr>
                <w:rFonts w:ascii="Arial Narrow" w:hAnsi="Arial Narrow"/>
                <w:sz w:val="16"/>
                <w:szCs w:val="16"/>
              </w:rPr>
            </w:pPr>
          </w:p>
        </w:tc>
        <w:tc>
          <w:tcPr>
            <w:tcW w:w="3505" w:type="dxa"/>
            <w:vMerge/>
          </w:tcPr>
          <w:p w:rsidR="00D9393F" w:rsidRPr="00EE003F" w:rsidRDefault="00D9393F" w:rsidP="003C36AC">
            <w:pPr>
              <w:autoSpaceDE w:val="0"/>
              <w:autoSpaceDN w:val="0"/>
              <w:adjustRightInd w:val="0"/>
              <w:rPr>
                <w:rFonts w:ascii="Arial Narrow" w:hAnsi="Arial Narrow"/>
                <w:sz w:val="16"/>
                <w:szCs w:val="16"/>
              </w:rPr>
            </w:pPr>
          </w:p>
        </w:tc>
      </w:tr>
      <w:tr w:rsidR="00D9393F" w:rsidRPr="00EE003F" w:rsidTr="003C36AC">
        <w:trPr>
          <w:trHeight w:val="60"/>
        </w:trPr>
        <w:tc>
          <w:tcPr>
            <w:tcW w:w="2013"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D9393F" w:rsidRPr="00EE003F" w:rsidRDefault="00D9393F" w:rsidP="00D9393F">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DGH (MEM) -INEI</w:t>
            </w:r>
          </w:p>
        </w:tc>
        <w:tc>
          <w:tcPr>
            <w:tcW w:w="160" w:type="dxa"/>
            <w:vMerge/>
          </w:tcPr>
          <w:p w:rsidR="00D9393F" w:rsidRPr="00EE003F" w:rsidRDefault="00D9393F" w:rsidP="003C36AC">
            <w:pPr>
              <w:autoSpaceDE w:val="0"/>
              <w:autoSpaceDN w:val="0"/>
              <w:adjustRightInd w:val="0"/>
              <w:rPr>
                <w:rFonts w:ascii="Arial Narrow" w:hAnsi="Arial Narrow"/>
                <w:sz w:val="16"/>
                <w:szCs w:val="16"/>
              </w:rPr>
            </w:pPr>
          </w:p>
        </w:tc>
        <w:tc>
          <w:tcPr>
            <w:tcW w:w="3505" w:type="dxa"/>
            <w:vMerge/>
          </w:tcPr>
          <w:p w:rsidR="00D9393F" w:rsidRPr="00EE003F" w:rsidRDefault="00D9393F" w:rsidP="003C36AC">
            <w:pPr>
              <w:autoSpaceDE w:val="0"/>
              <w:autoSpaceDN w:val="0"/>
              <w:adjustRightInd w:val="0"/>
              <w:rPr>
                <w:rFonts w:ascii="Arial Narrow" w:hAnsi="Arial Narrow"/>
                <w:sz w:val="16"/>
                <w:szCs w:val="16"/>
              </w:rPr>
            </w:pPr>
          </w:p>
        </w:tc>
      </w:tr>
      <w:tr w:rsidR="00D9393F" w:rsidRPr="00EE003F" w:rsidTr="003C36AC">
        <w:trPr>
          <w:trHeight w:val="60"/>
        </w:trPr>
        <w:tc>
          <w:tcPr>
            <w:tcW w:w="2013"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w:t>
            </w:r>
            <w:r w:rsidR="0079739E" w:rsidRPr="00EE003F">
              <w:rPr>
                <w:rFonts w:ascii="Arial Narrow" w:hAnsi="Arial Narrow" w:cs="Swis721 LtCn BT"/>
                <w:sz w:val="16"/>
                <w:szCs w:val="16"/>
                <w:lang w:val="es-ES_tradnl"/>
              </w:rPr>
              <w:t>to más reciente disponible (201</w:t>
            </w:r>
            <w:r w:rsidR="00DF1EFA" w:rsidRPr="00EE003F">
              <w:rPr>
                <w:rFonts w:ascii="Arial Narrow" w:hAnsi="Arial Narrow" w:cs="Swis721 LtCn BT"/>
                <w:sz w:val="16"/>
                <w:szCs w:val="16"/>
                <w:lang w:val="es-ES_tradnl"/>
              </w:rPr>
              <w:t>5</w:t>
            </w:r>
            <w:r w:rsidRPr="00EE003F">
              <w:rPr>
                <w:rFonts w:ascii="Arial Narrow" w:hAnsi="Arial Narrow" w:cs="Swis721 LtCn BT"/>
                <w:sz w:val="16"/>
                <w:szCs w:val="16"/>
                <w:lang w:val="es-ES_tradnl"/>
              </w:rPr>
              <w:t>)</w:t>
            </w:r>
          </w:p>
        </w:tc>
        <w:tc>
          <w:tcPr>
            <w:tcW w:w="2014" w:type="dxa"/>
          </w:tcPr>
          <w:p w:rsidR="00D9393F" w:rsidRPr="00EE003F" w:rsidRDefault="000A3A8E" w:rsidP="000A3A8E">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4</w:t>
            </w:r>
            <w:r w:rsidR="0079739E" w:rsidRPr="00EE003F">
              <w:rPr>
                <w:rFonts w:ascii="Arial Narrow" w:hAnsi="Arial Narrow"/>
                <w:sz w:val="16"/>
                <w:szCs w:val="16"/>
                <w:lang w:val="es-ES_tradnl"/>
              </w:rPr>
              <w:t>,</w:t>
            </w:r>
            <w:r w:rsidRPr="00EE003F">
              <w:rPr>
                <w:rFonts w:ascii="Arial Narrow" w:hAnsi="Arial Narrow"/>
                <w:sz w:val="16"/>
                <w:szCs w:val="16"/>
                <w:lang w:val="es-ES_tradnl"/>
              </w:rPr>
              <w:t>51</w:t>
            </w:r>
          </w:p>
        </w:tc>
        <w:tc>
          <w:tcPr>
            <w:tcW w:w="160" w:type="dxa"/>
            <w:vMerge/>
          </w:tcPr>
          <w:p w:rsidR="00D9393F" w:rsidRPr="00EE003F" w:rsidRDefault="00D9393F" w:rsidP="003C36AC">
            <w:pPr>
              <w:autoSpaceDE w:val="0"/>
              <w:autoSpaceDN w:val="0"/>
              <w:adjustRightInd w:val="0"/>
              <w:rPr>
                <w:rFonts w:ascii="Arial Narrow" w:hAnsi="Arial Narrow"/>
                <w:sz w:val="16"/>
                <w:szCs w:val="16"/>
              </w:rPr>
            </w:pPr>
          </w:p>
        </w:tc>
        <w:tc>
          <w:tcPr>
            <w:tcW w:w="3505" w:type="dxa"/>
            <w:vMerge/>
          </w:tcPr>
          <w:p w:rsidR="00D9393F" w:rsidRPr="00EE003F" w:rsidRDefault="00D9393F" w:rsidP="003C36AC">
            <w:pPr>
              <w:autoSpaceDE w:val="0"/>
              <w:autoSpaceDN w:val="0"/>
              <w:adjustRightInd w:val="0"/>
              <w:rPr>
                <w:rFonts w:ascii="Arial Narrow" w:hAnsi="Arial Narrow"/>
                <w:sz w:val="16"/>
                <w:szCs w:val="16"/>
              </w:rPr>
            </w:pPr>
          </w:p>
        </w:tc>
      </w:tr>
      <w:tr w:rsidR="00D9393F" w:rsidRPr="00EE003F" w:rsidTr="003C36AC">
        <w:trPr>
          <w:trHeight w:val="60"/>
        </w:trPr>
        <w:tc>
          <w:tcPr>
            <w:tcW w:w="2013"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D9393F" w:rsidRPr="00EE003F" w:rsidRDefault="00D9393F" w:rsidP="000A3A8E">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5</w:t>
            </w:r>
            <w:r w:rsidR="0079739E" w:rsidRPr="00EE003F">
              <w:rPr>
                <w:rFonts w:ascii="Arial Narrow" w:hAnsi="Arial Narrow" w:cs="Swis721 LtCn BT"/>
                <w:sz w:val="16"/>
                <w:szCs w:val="16"/>
                <w:lang w:val="es-ES_tradnl"/>
              </w:rPr>
              <w:t>,4</w:t>
            </w:r>
            <w:r w:rsidR="00604650" w:rsidRPr="00EE003F">
              <w:rPr>
                <w:rFonts w:ascii="Arial Narrow" w:hAnsi="Arial Narrow" w:cs="Swis721 LtCn BT"/>
                <w:sz w:val="16"/>
                <w:szCs w:val="16"/>
                <w:lang w:val="es-ES_tradnl"/>
              </w:rPr>
              <w:t>0</w:t>
            </w:r>
          </w:p>
        </w:tc>
        <w:tc>
          <w:tcPr>
            <w:tcW w:w="160" w:type="dxa"/>
            <w:vMerge/>
          </w:tcPr>
          <w:p w:rsidR="00D9393F" w:rsidRPr="00EE003F" w:rsidRDefault="00D9393F" w:rsidP="003C36AC">
            <w:pPr>
              <w:autoSpaceDE w:val="0"/>
              <w:autoSpaceDN w:val="0"/>
              <w:adjustRightInd w:val="0"/>
              <w:rPr>
                <w:rFonts w:ascii="Arial Narrow" w:hAnsi="Arial Narrow"/>
                <w:sz w:val="16"/>
                <w:szCs w:val="16"/>
              </w:rPr>
            </w:pPr>
          </w:p>
        </w:tc>
        <w:tc>
          <w:tcPr>
            <w:tcW w:w="3505" w:type="dxa"/>
            <w:vMerge/>
          </w:tcPr>
          <w:p w:rsidR="00D9393F" w:rsidRPr="00EE003F" w:rsidRDefault="00D9393F" w:rsidP="003C36AC">
            <w:pPr>
              <w:autoSpaceDE w:val="0"/>
              <w:autoSpaceDN w:val="0"/>
              <w:adjustRightInd w:val="0"/>
              <w:rPr>
                <w:rFonts w:ascii="Arial Narrow" w:hAnsi="Arial Narrow"/>
                <w:sz w:val="16"/>
                <w:szCs w:val="16"/>
              </w:rPr>
            </w:pPr>
          </w:p>
        </w:tc>
      </w:tr>
      <w:tr w:rsidR="00D9393F" w:rsidRPr="00EE003F" w:rsidTr="003C36AC">
        <w:trPr>
          <w:trHeight w:val="60"/>
        </w:trPr>
        <w:tc>
          <w:tcPr>
            <w:tcW w:w="2013"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D9393F" w:rsidRPr="00EE003F" w:rsidRDefault="0079739E" w:rsidP="003C36AC">
            <w:pPr>
              <w:autoSpaceDE w:val="0"/>
              <w:autoSpaceDN w:val="0"/>
              <w:adjustRightInd w:val="0"/>
              <w:spacing w:line="288" w:lineRule="auto"/>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11,51</w:t>
            </w:r>
          </w:p>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p>
        </w:tc>
        <w:tc>
          <w:tcPr>
            <w:tcW w:w="160" w:type="dxa"/>
            <w:vMerge/>
          </w:tcPr>
          <w:p w:rsidR="00D9393F" w:rsidRPr="00EE003F" w:rsidRDefault="00D9393F" w:rsidP="003C36AC">
            <w:pPr>
              <w:autoSpaceDE w:val="0"/>
              <w:autoSpaceDN w:val="0"/>
              <w:adjustRightInd w:val="0"/>
              <w:rPr>
                <w:rFonts w:ascii="Arial Narrow" w:hAnsi="Arial Narrow"/>
                <w:sz w:val="16"/>
                <w:szCs w:val="16"/>
              </w:rPr>
            </w:pPr>
          </w:p>
        </w:tc>
        <w:tc>
          <w:tcPr>
            <w:tcW w:w="3505" w:type="dxa"/>
            <w:vMerge/>
          </w:tcPr>
          <w:p w:rsidR="00D9393F" w:rsidRPr="00EE003F" w:rsidRDefault="00D9393F" w:rsidP="003C36AC">
            <w:pPr>
              <w:autoSpaceDE w:val="0"/>
              <w:autoSpaceDN w:val="0"/>
              <w:adjustRightInd w:val="0"/>
              <w:rPr>
                <w:rFonts w:ascii="Arial Narrow" w:hAnsi="Arial Narrow"/>
                <w:sz w:val="16"/>
                <w:szCs w:val="16"/>
              </w:rPr>
            </w:pPr>
          </w:p>
        </w:tc>
      </w:tr>
      <w:tr w:rsidR="00D9393F" w:rsidRPr="00EE003F" w:rsidTr="003C36AC">
        <w:trPr>
          <w:trHeight w:val="60"/>
        </w:trPr>
        <w:tc>
          <w:tcPr>
            <w:tcW w:w="2013"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D9393F" w:rsidRPr="00EE003F" w:rsidRDefault="00D9393F" w:rsidP="003C36AC">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MEM</w:t>
            </w:r>
          </w:p>
        </w:tc>
        <w:tc>
          <w:tcPr>
            <w:tcW w:w="160" w:type="dxa"/>
          </w:tcPr>
          <w:p w:rsidR="00D9393F" w:rsidRPr="00EE003F" w:rsidRDefault="00D9393F" w:rsidP="003C36AC">
            <w:pPr>
              <w:autoSpaceDE w:val="0"/>
              <w:autoSpaceDN w:val="0"/>
              <w:adjustRightInd w:val="0"/>
              <w:rPr>
                <w:rFonts w:ascii="Arial Narrow" w:hAnsi="Arial Narrow"/>
                <w:sz w:val="16"/>
                <w:szCs w:val="16"/>
              </w:rPr>
            </w:pPr>
          </w:p>
        </w:tc>
        <w:tc>
          <w:tcPr>
            <w:tcW w:w="3505" w:type="dxa"/>
            <w:vMerge/>
          </w:tcPr>
          <w:p w:rsidR="00D9393F" w:rsidRPr="00EE003F" w:rsidRDefault="00D9393F" w:rsidP="003C36AC">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Porcentaje de viviendas funcionales, seguras y saludables </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Las viviendas funcionales, seguras y saludables están provistas de una superficie mínima que permite el fácil desplazamiento en los ambientes de la vivienda, son accesibles para las personas con problemas de discapacidad, están provistos de servicios básicos y elementos auxiliares (que garanticen los suministros necesarios) y son construidas en predios autorizados para zonas urbanas.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Censo de vivienda - MVCS</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46,50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50,00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65,00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MVCS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113"/>
        <w:rPr>
          <w:rStyle w:val="negritanombre"/>
          <w:rFonts w:ascii="Arial Narrow" w:hAnsi="Arial Narrow"/>
          <w:color w:val="auto"/>
          <w:sz w:val="16"/>
          <w:szCs w:val="16"/>
        </w:rPr>
      </w:pPr>
    </w:p>
    <w:p w:rsidR="00375169" w:rsidRPr="00EE003F" w:rsidRDefault="00375169" w:rsidP="00375169">
      <w:pPr>
        <w:pStyle w:val="BasicParagraph"/>
        <w:spacing w:before="113"/>
        <w:rPr>
          <w:rStyle w:val="negritanombre"/>
          <w:rFonts w:ascii="Arial Narrow" w:hAnsi="Arial Narrow"/>
          <w:color w:val="auto"/>
          <w:sz w:val="16"/>
          <w:szCs w:val="16"/>
        </w:rPr>
      </w:pPr>
      <w:r w:rsidRPr="00EE003F">
        <w:rPr>
          <w:rStyle w:val="negritanombre"/>
          <w:rFonts w:ascii="Arial Narrow" w:hAnsi="Arial Narrow"/>
          <w:color w:val="auto"/>
          <w:sz w:val="16"/>
          <w:szCs w:val="16"/>
        </w:rPr>
        <w:t xml:space="preserve">EJE 3 </w:t>
      </w:r>
    </w:p>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Efectividad Gubernamental</w:t>
      </w:r>
    </w:p>
    <w:tbl>
      <w:tblPr>
        <w:tblStyle w:val="Tablaconcuadrcula"/>
        <w:tblW w:w="0" w:type="auto"/>
        <w:tblLayout w:type="fixed"/>
        <w:tblLook w:val="0000" w:firstRow="0" w:lastRow="0" w:firstColumn="0" w:lastColumn="0" w:noHBand="0" w:noVBand="0"/>
      </w:tblPr>
      <w:tblGrid>
        <w:gridCol w:w="2013"/>
        <w:gridCol w:w="1007"/>
        <w:gridCol w:w="1007"/>
        <w:gridCol w:w="236"/>
        <w:gridCol w:w="3505"/>
      </w:tblGrid>
      <w:tr w:rsidR="006E3336" w:rsidRPr="00EE003F" w:rsidTr="00060401">
        <w:trPr>
          <w:trHeight w:val="60"/>
        </w:trPr>
        <w:tc>
          <w:tcPr>
            <w:tcW w:w="4027" w:type="dxa"/>
            <w:gridSpan w:val="3"/>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8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r w:rsidRPr="00EE003F">
              <w:rPr>
                <w:rFonts w:ascii="Arial Narrow" w:hAnsi="Arial Narrow" w:cs="Swis721 LtCn BT"/>
                <w:sz w:val="16"/>
                <w:szCs w:val="16"/>
                <w:lang w:val="es-ES_tradnl"/>
              </w:rPr>
              <w:br/>
              <w:t>reescalado</w:t>
            </w:r>
          </w:p>
        </w:tc>
        <w:tc>
          <w:tcPr>
            <w:tcW w:w="18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Muestra la percepción de la población sobre la calidad de los servicios públicos, la administración pública y su grado de independencia ante las presiones políticas, así como la formulación y aplicación de políticas que establece el Gobierno Central.</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(-2.5 a 2.5) </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a 5</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2005-2014</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WGI - Banco Mundial</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1007" w:type="dxa"/>
          </w:tcPr>
          <w:p w:rsidR="00375169" w:rsidRPr="00EE003F" w:rsidRDefault="00256A81"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t>
            </w:r>
            <w:r w:rsidR="00375169" w:rsidRPr="00EE003F">
              <w:rPr>
                <w:rFonts w:ascii="Arial Narrow" w:hAnsi="Arial Narrow" w:cs="Swis721 LtCn BT"/>
                <w:sz w:val="16"/>
                <w:szCs w:val="16"/>
                <w:lang w:val="es-ES_tradnl"/>
              </w:rPr>
              <w:t>0,28</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2,2</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1007" w:type="dxa"/>
          </w:tcPr>
          <w:p w:rsidR="00375169" w:rsidRPr="00EE003F" w:rsidRDefault="00256A81"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t>
            </w:r>
            <w:r w:rsidR="00375169" w:rsidRPr="00EE003F">
              <w:rPr>
                <w:rFonts w:ascii="Arial Narrow" w:hAnsi="Arial Narrow" w:cs="Swis721 LtCn BT"/>
                <w:sz w:val="16"/>
                <w:szCs w:val="16"/>
                <w:lang w:val="es-ES_tradnl"/>
              </w:rPr>
              <w:t>0,24</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2,3</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1007" w:type="dxa"/>
          </w:tcPr>
          <w:p w:rsidR="00375169" w:rsidRPr="00EE003F" w:rsidRDefault="00256A81"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t>
            </w:r>
            <w:r w:rsidR="00375169" w:rsidRPr="00EE003F">
              <w:rPr>
                <w:rFonts w:ascii="Arial Narrow" w:hAnsi="Arial Narrow" w:cs="Swis721 LtCn BT"/>
                <w:sz w:val="16"/>
                <w:szCs w:val="16"/>
                <w:lang w:val="es-ES_tradnl"/>
              </w:rPr>
              <w:t>0,11</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2,4</w:t>
            </w:r>
          </w:p>
        </w:tc>
        <w:tc>
          <w:tcPr>
            <w:tcW w:w="18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8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autoSpaceDE w:val="0"/>
        <w:autoSpaceDN w:val="0"/>
        <w:adjustRightInd w:val="0"/>
        <w:spacing w:before="227" w:after="0" w:line="288" w:lineRule="auto"/>
        <w:textAlignment w:val="center"/>
        <w:rPr>
          <w:rFonts w:ascii="Arial Narrow" w:hAnsi="Arial Narrow" w:cs="Frutiger LT Std 45 Light"/>
          <w:sz w:val="16"/>
          <w:szCs w:val="16"/>
          <w:lang w:val="es-ES_tradnl"/>
        </w:rPr>
      </w:pPr>
      <w:r w:rsidRPr="00EE003F">
        <w:rPr>
          <w:rFonts w:ascii="Arial Narrow" w:hAnsi="Arial Narrow" w:cs="Frutiger LT Std 45 Light"/>
          <w:sz w:val="16"/>
          <w:szCs w:val="16"/>
          <w:lang w:val="es-ES_tradnl"/>
        </w:rPr>
        <w:t>Índice de Voz y Rendición de Cuentas</w:t>
      </w:r>
    </w:p>
    <w:tbl>
      <w:tblPr>
        <w:tblStyle w:val="Tablaconcuadrcula"/>
        <w:tblW w:w="0" w:type="auto"/>
        <w:tblLayout w:type="fixed"/>
        <w:tblLook w:val="0000" w:firstRow="0" w:lastRow="0" w:firstColumn="0" w:lastColumn="0" w:noHBand="0" w:noVBand="0"/>
      </w:tblPr>
      <w:tblGrid>
        <w:gridCol w:w="2013"/>
        <w:gridCol w:w="1007"/>
        <w:gridCol w:w="1007"/>
        <w:gridCol w:w="236"/>
        <w:gridCol w:w="3505"/>
      </w:tblGrid>
      <w:tr w:rsidR="006E3336" w:rsidRPr="00EE003F" w:rsidTr="00060401">
        <w:trPr>
          <w:trHeight w:val="60"/>
        </w:trPr>
        <w:tc>
          <w:tcPr>
            <w:tcW w:w="4027" w:type="dxa"/>
            <w:gridSpan w:val="3"/>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r w:rsidRPr="00EE003F">
              <w:rPr>
                <w:rFonts w:ascii="Arial Narrow" w:hAnsi="Arial Narrow" w:cs="Swis721 LtCn BT"/>
                <w:sz w:val="16"/>
                <w:szCs w:val="16"/>
                <w:lang w:val="es-ES_tradnl"/>
              </w:rPr>
              <w:br/>
              <w:t>reescalado</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Refleja la percepción del grado de participación de los ciudadanos en la elección de sus representantes políticos, así como las libertades de expresión y prensa. Además, muestra cuán preparado se encuentra el Estado para rendir cuentas </w:t>
            </w:r>
            <w:r w:rsidR="00263B97" w:rsidRPr="00EE003F">
              <w:rPr>
                <w:rFonts w:ascii="Arial Narrow" w:hAnsi="Arial Narrow" w:cs="Swis721 LtCn BT"/>
                <w:sz w:val="16"/>
                <w:szCs w:val="16"/>
                <w:lang w:val="es-ES_tradnl"/>
              </w:rPr>
              <w:t xml:space="preserve">con transparencia </w:t>
            </w:r>
            <w:r w:rsidRPr="00EE003F">
              <w:rPr>
                <w:rFonts w:ascii="Arial Narrow" w:hAnsi="Arial Narrow" w:cs="Swis721 LtCn BT"/>
                <w:sz w:val="16"/>
                <w:szCs w:val="16"/>
                <w:lang w:val="es-ES_tradnl"/>
              </w:rPr>
              <w:t>a los ciudadanos.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(-2.5 a 2.5) </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a 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2005-2014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WGI - Banco Mundial</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0,11</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2,61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0,19</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2,7</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0,40</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2,9</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Calidad Regulatoria</w:t>
      </w:r>
    </w:p>
    <w:tbl>
      <w:tblPr>
        <w:tblStyle w:val="Tablaconcuadrcula"/>
        <w:tblW w:w="0" w:type="auto"/>
        <w:tblLayout w:type="fixed"/>
        <w:tblLook w:val="0000" w:firstRow="0" w:lastRow="0" w:firstColumn="0" w:lastColumn="0" w:noHBand="0" w:noVBand="0"/>
      </w:tblPr>
      <w:tblGrid>
        <w:gridCol w:w="2013"/>
        <w:gridCol w:w="1007"/>
        <w:gridCol w:w="1007"/>
        <w:gridCol w:w="236"/>
        <w:gridCol w:w="3505"/>
      </w:tblGrid>
      <w:tr w:rsidR="006E3336" w:rsidRPr="00EE003F" w:rsidTr="00060401">
        <w:trPr>
          <w:trHeight w:val="60"/>
        </w:trPr>
        <w:tc>
          <w:tcPr>
            <w:tcW w:w="4027" w:type="dxa"/>
            <w:gridSpan w:val="3"/>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r w:rsidRPr="00EE003F">
              <w:rPr>
                <w:rFonts w:ascii="Arial Narrow" w:hAnsi="Arial Narrow" w:cs="Swis721 LtCn BT"/>
                <w:sz w:val="16"/>
                <w:szCs w:val="16"/>
                <w:lang w:val="es-ES_tradnl"/>
              </w:rPr>
              <w:br/>
              <w:t>reescalado</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Muestra la percepción de la población sobre la capacidad del Gobierno para formular y aplicar políticas acertadas, que permitan y promuevan el desarrollo del sector privado. Se asume que los Estados tienen la misión de establecer el marco legal para el funcionamiento del mercado.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(-2.5 a 2.5) </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a 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2005-2014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WGI - Banco Mundial</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0,52</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3,02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1007" w:type="dxa"/>
          </w:tcPr>
          <w:p w:rsidR="00375169" w:rsidRPr="00EE003F" w:rsidRDefault="002443EE"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0,57</w:t>
            </w:r>
          </w:p>
        </w:tc>
        <w:tc>
          <w:tcPr>
            <w:tcW w:w="1007" w:type="dxa"/>
          </w:tcPr>
          <w:p w:rsidR="00375169" w:rsidRPr="00EE003F" w:rsidRDefault="002443EE"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3,07</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0,72</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3,22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Gobierno Electrónico</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127742">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Mide la voluntad y capacidad de las administraciones nacionales para utilizar la tecnología en línea y móviles en la ejecución de las funciones gubernamentales. Se basa en un estudio de la presencia online de más de 190 estados miembros.</w:t>
            </w: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a 1</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2003-2014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UNPACS</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79739E">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Dato más reciente </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0,54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79739E" w:rsidP="000A3A8E">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w:t>
            </w:r>
            <w:r w:rsidR="000A3A8E" w:rsidRPr="00EE003F">
              <w:rPr>
                <w:rFonts w:ascii="Arial Narrow" w:hAnsi="Arial Narrow" w:cs="Swis721 LtCn BT"/>
                <w:sz w:val="16"/>
                <w:szCs w:val="16"/>
                <w:lang w:val="es-ES_tradnl"/>
              </w:rPr>
              <w:t>56</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1F0DA7">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w:t>
            </w:r>
            <w:r w:rsidR="000A3A8E" w:rsidRPr="00EE003F">
              <w:rPr>
                <w:rFonts w:ascii="Arial Narrow" w:hAnsi="Arial Narrow" w:cs="Swis721 LtCn BT"/>
                <w:sz w:val="16"/>
                <w:szCs w:val="16"/>
                <w:lang w:val="es-ES_tradnl"/>
              </w:rPr>
              <w:t>57</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127742" w:rsidRPr="00EE003F" w:rsidRDefault="00127742" w:rsidP="00127742">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 xml:space="preserve">Tiempo de duración del proceso desde ingreso de la demanda hasta la emisión de la sentencia. </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127742" w:rsidRPr="00EE003F" w:rsidTr="00127742">
        <w:trPr>
          <w:trHeight w:val="60"/>
        </w:trPr>
        <w:tc>
          <w:tcPr>
            <w:tcW w:w="4027" w:type="dxa"/>
            <w:gridSpan w:val="2"/>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127742" w:rsidRPr="00EE003F" w:rsidRDefault="00127742" w:rsidP="001B688D">
            <w:pPr>
              <w:autoSpaceDE w:val="0"/>
              <w:autoSpaceDN w:val="0"/>
              <w:adjustRightInd w:val="0"/>
              <w:rPr>
                <w:rFonts w:ascii="Arial Narrow" w:hAnsi="Arial Narrow"/>
                <w:sz w:val="16"/>
                <w:szCs w:val="16"/>
              </w:rPr>
            </w:pPr>
          </w:p>
        </w:tc>
        <w:tc>
          <w:tcPr>
            <w:tcW w:w="3505"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127742" w:rsidRPr="00EE003F" w:rsidTr="00127742">
        <w:trPr>
          <w:trHeight w:val="60"/>
        </w:trPr>
        <w:tc>
          <w:tcPr>
            <w:tcW w:w="2013"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 – días calendario</w:t>
            </w:r>
          </w:p>
        </w:tc>
        <w:tc>
          <w:tcPr>
            <w:tcW w:w="236" w:type="dxa"/>
            <w:vMerge w:val="restart"/>
          </w:tcPr>
          <w:p w:rsidR="00127742" w:rsidRPr="00EE003F" w:rsidRDefault="00127742" w:rsidP="001B688D">
            <w:pPr>
              <w:autoSpaceDE w:val="0"/>
              <w:autoSpaceDN w:val="0"/>
              <w:adjustRightInd w:val="0"/>
              <w:rPr>
                <w:rFonts w:ascii="Arial Narrow" w:hAnsi="Arial Narrow"/>
                <w:sz w:val="16"/>
                <w:szCs w:val="16"/>
              </w:rPr>
            </w:pPr>
          </w:p>
        </w:tc>
        <w:tc>
          <w:tcPr>
            <w:tcW w:w="3505" w:type="dxa"/>
            <w:vMerge w:val="restart"/>
          </w:tcPr>
          <w:p w:rsidR="00127742" w:rsidRPr="00EE003F" w:rsidRDefault="00127742" w:rsidP="00127742">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Mide los días calendario que toma  un proceso judicial considerando que se inicia desde la presentación de la demanda y termina con la emisión de la sentencia que pone fin a la proceso.</w:t>
            </w:r>
          </w:p>
        </w:tc>
      </w:tr>
      <w:tr w:rsidR="00127742" w:rsidRPr="00EE003F" w:rsidTr="00127742">
        <w:trPr>
          <w:trHeight w:val="60"/>
        </w:trPr>
        <w:tc>
          <w:tcPr>
            <w:tcW w:w="2013"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2015</w:t>
            </w:r>
          </w:p>
        </w:tc>
        <w:tc>
          <w:tcPr>
            <w:tcW w:w="236" w:type="dxa"/>
            <w:vMerge/>
          </w:tcPr>
          <w:p w:rsidR="00127742" w:rsidRPr="00EE003F" w:rsidRDefault="00127742" w:rsidP="001B688D">
            <w:pPr>
              <w:autoSpaceDE w:val="0"/>
              <w:autoSpaceDN w:val="0"/>
              <w:adjustRightInd w:val="0"/>
              <w:rPr>
                <w:rFonts w:ascii="Arial Narrow" w:hAnsi="Arial Narrow"/>
                <w:sz w:val="16"/>
                <w:szCs w:val="16"/>
              </w:rPr>
            </w:pPr>
          </w:p>
        </w:tc>
        <w:tc>
          <w:tcPr>
            <w:tcW w:w="3505" w:type="dxa"/>
            <w:vMerge/>
          </w:tcPr>
          <w:p w:rsidR="00127742" w:rsidRPr="00EE003F" w:rsidRDefault="00127742" w:rsidP="001B688D">
            <w:pPr>
              <w:autoSpaceDE w:val="0"/>
              <w:autoSpaceDN w:val="0"/>
              <w:adjustRightInd w:val="0"/>
              <w:rPr>
                <w:rFonts w:ascii="Arial Narrow" w:hAnsi="Arial Narrow"/>
                <w:sz w:val="16"/>
                <w:szCs w:val="16"/>
              </w:rPr>
            </w:pPr>
          </w:p>
        </w:tc>
      </w:tr>
      <w:tr w:rsidR="00127742" w:rsidRPr="00EE003F" w:rsidTr="00127742">
        <w:trPr>
          <w:trHeight w:val="60"/>
        </w:trPr>
        <w:tc>
          <w:tcPr>
            <w:tcW w:w="2013"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Doing Business</w:t>
            </w:r>
          </w:p>
        </w:tc>
        <w:tc>
          <w:tcPr>
            <w:tcW w:w="236" w:type="dxa"/>
            <w:vMerge/>
          </w:tcPr>
          <w:p w:rsidR="00127742" w:rsidRPr="00EE003F" w:rsidRDefault="00127742" w:rsidP="001B688D">
            <w:pPr>
              <w:autoSpaceDE w:val="0"/>
              <w:autoSpaceDN w:val="0"/>
              <w:adjustRightInd w:val="0"/>
              <w:rPr>
                <w:rFonts w:ascii="Arial Narrow" w:hAnsi="Arial Narrow"/>
                <w:sz w:val="16"/>
                <w:szCs w:val="16"/>
              </w:rPr>
            </w:pPr>
          </w:p>
        </w:tc>
        <w:tc>
          <w:tcPr>
            <w:tcW w:w="3505" w:type="dxa"/>
            <w:vMerge/>
          </w:tcPr>
          <w:p w:rsidR="00127742" w:rsidRPr="00EE003F" w:rsidRDefault="00127742" w:rsidP="001B688D">
            <w:pPr>
              <w:autoSpaceDE w:val="0"/>
              <w:autoSpaceDN w:val="0"/>
              <w:adjustRightInd w:val="0"/>
              <w:rPr>
                <w:rFonts w:ascii="Arial Narrow" w:hAnsi="Arial Narrow"/>
                <w:sz w:val="16"/>
                <w:szCs w:val="16"/>
              </w:rPr>
            </w:pPr>
          </w:p>
        </w:tc>
      </w:tr>
      <w:tr w:rsidR="00127742" w:rsidRPr="00EE003F" w:rsidTr="00127742">
        <w:trPr>
          <w:trHeight w:val="60"/>
        </w:trPr>
        <w:tc>
          <w:tcPr>
            <w:tcW w:w="2013" w:type="dxa"/>
          </w:tcPr>
          <w:p w:rsidR="00127742" w:rsidRPr="00EE003F" w:rsidRDefault="00127742" w:rsidP="00127742">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(2015)</w:t>
            </w:r>
          </w:p>
        </w:tc>
        <w:tc>
          <w:tcPr>
            <w:tcW w:w="2014"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426</w:t>
            </w:r>
          </w:p>
        </w:tc>
        <w:tc>
          <w:tcPr>
            <w:tcW w:w="236" w:type="dxa"/>
            <w:vMerge/>
          </w:tcPr>
          <w:p w:rsidR="00127742" w:rsidRPr="00EE003F" w:rsidRDefault="00127742" w:rsidP="001B688D">
            <w:pPr>
              <w:autoSpaceDE w:val="0"/>
              <w:autoSpaceDN w:val="0"/>
              <w:adjustRightInd w:val="0"/>
              <w:rPr>
                <w:rFonts w:ascii="Arial Narrow" w:hAnsi="Arial Narrow"/>
                <w:sz w:val="16"/>
                <w:szCs w:val="16"/>
              </w:rPr>
            </w:pPr>
          </w:p>
        </w:tc>
        <w:tc>
          <w:tcPr>
            <w:tcW w:w="3505" w:type="dxa"/>
            <w:vMerge/>
          </w:tcPr>
          <w:p w:rsidR="00127742" w:rsidRPr="00EE003F" w:rsidRDefault="00127742" w:rsidP="001B688D">
            <w:pPr>
              <w:autoSpaceDE w:val="0"/>
              <w:autoSpaceDN w:val="0"/>
              <w:adjustRightInd w:val="0"/>
              <w:rPr>
                <w:rFonts w:ascii="Arial Narrow" w:hAnsi="Arial Narrow"/>
                <w:sz w:val="16"/>
                <w:szCs w:val="16"/>
              </w:rPr>
            </w:pPr>
          </w:p>
        </w:tc>
      </w:tr>
      <w:tr w:rsidR="00127742" w:rsidRPr="00EE003F" w:rsidTr="00127742">
        <w:trPr>
          <w:trHeight w:val="60"/>
        </w:trPr>
        <w:tc>
          <w:tcPr>
            <w:tcW w:w="2013"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No aplica</w:t>
            </w:r>
          </w:p>
        </w:tc>
        <w:tc>
          <w:tcPr>
            <w:tcW w:w="236" w:type="dxa"/>
            <w:vMerge/>
          </w:tcPr>
          <w:p w:rsidR="00127742" w:rsidRPr="00EE003F" w:rsidRDefault="00127742" w:rsidP="001B688D">
            <w:pPr>
              <w:autoSpaceDE w:val="0"/>
              <w:autoSpaceDN w:val="0"/>
              <w:adjustRightInd w:val="0"/>
              <w:rPr>
                <w:rFonts w:ascii="Arial Narrow" w:hAnsi="Arial Narrow"/>
                <w:sz w:val="16"/>
                <w:szCs w:val="16"/>
              </w:rPr>
            </w:pPr>
          </w:p>
        </w:tc>
        <w:tc>
          <w:tcPr>
            <w:tcW w:w="3505" w:type="dxa"/>
            <w:vMerge/>
          </w:tcPr>
          <w:p w:rsidR="00127742" w:rsidRPr="00EE003F" w:rsidRDefault="00127742" w:rsidP="001B688D">
            <w:pPr>
              <w:autoSpaceDE w:val="0"/>
              <w:autoSpaceDN w:val="0"/>
              <w:adjustRightInd w:val="0"/>
              <w:rPr>
                <w:rFonts w:ascii="Arial Narrow" w:hAnsi="Arial Narrow"/>
                <w:sz w:val="16"/>
                <w:szCs w:val="16"/>
              </w:rPr>
            </w:pPr>
          </w:p>
        </w:tc>
      </w:tr>
      <w:tr w:rsidR="00127742" w:rsidRPr="00EE003F" w:rsidTr="00127742">
        <w:trPr>
          <w:trHeight w:val="60"/>
        </w:trPr>
        <w:tc>
          <w:tcPr>
            <w:tcW w:w="2013"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290</w:t>
            </w:r>
          </w:p>
        </w:tc>
        <w:tc>
          <w:tcPr>
            <w:tcW w:w="236" w:type="dxa"/>
            <w:vMerge/>
          </w:tcPr>
          <w:p w:rsidR="00127742" w:rsidRPr="00EE003F" w:rsidRDefault="00127742" w:rsidP="001B688D">
            <w:pPr>
              <w:autoSpaceDE w:val="0"/>
              <w:autoSpaceDN w:val="0"/>
              <w:adjustRightInd w:val="0"/>
              <w:rPr>
                <w:rFonts w:ascii="Arial Narrow" w:hAnsi="Arial Narrow"/>
                <w:sz w:val="16"/>
                <w:szCs w:val="16"/>
              </w:rPr>
            </w:pPr>
          </w:p>
        </w:tc>
        <w:tc>
          <w:tcPr>
            <w:tcW w:w="3505" w:type="dxa"/>
            <w:vMerge/>
          </w:tcPr>
          <w:p w:rsidR="00127742" w:rsidRPr="00EE003F" w:rsidRDefault="00127742" w:rsidP="001B688D">
            <w:pPr>
              <w:autoSpaceDE w:val="0"/>
              <w:autoSpaceDN w:val="0"/>
              <w:adjustRightInd w:val="0"/>
              <w:rPr>
                <w:rFonts w:ascii="Arial Narrow" w:hAnsi="Arial Narrow"/>
                <w:sz w:val="16"/>
                <w:szCs w:val="16"/>
              </w:rPr>
            </w:pPr>
          </w:p>
        </w:tc>
      </w:tr>
      <w:tr w:rsidR="00127742" w:rsidRPr="00EE003F" w:rsidTr="00127742">
        <w:trPr>
          <w:trHeight w:val="60"/>
        </w:trPr>
        <w:tc>
          <w:tcPr>
            <w:tcW w:w="2013"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127742" w:rsidRPr="00EE003F" w:rsidRDefault="0012774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CNC- MEF</w:t>
            </w:r>
          </w:p>
        </w:tc>
        <w:tc>
          <w:tcPr>
            <w:tcW w:w="236" w:type="dxa"/>
          </w:tcPr>
          <w:p w:rsidR="00127742" w:rsidRPr="00EE003F" w:rsidRDefault="00127742" w:rsidP="001B688D">
            <w:pPr>
              <w:autoSpaceDE w:val="0"/>
              <w:autoSpaceDN w:val="0"/>
              <w:adjustRightInd w:val="0"/>
              <w:rPr>
                <w:rFonts w:ascii="Arial Narrow" w:hAnsi="Arial Narrow"/>
                <w:sz w:val="16"/>
                <w:szCs w:val="16"/>
              </w:rPr>
            </w:pPr>
          </w:p>
        </w:tc>
        <w:tc>
          <w:tcPr>
            <w:tcW w:w="3505" w:type="dxa"/>
            <w:vMerge/>
          </w:tcPr>
          <w:p w:rsidR="00127742" w:rsidRPr="00EE003F" w:rsidRDefault="00127742" w:rsidP="001B688D">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sobre el Estado de Derecho</w:t>
      </w:r>
    </w:p>
    <w:tbl>
      <w:tblPr>
        <w:tblStyle w:val="Tablaconcuadrcula"/>
        <w:tblW w:w="0" w:type="auto"/>
        <w:tblLayout w:type="fixed"/>
        <w:tblLook w:val="0000" w:firstRow="0" w:lastRow="0" w:firstColumn="0" w:lastColumn="0" w:noHBand="0" w:noVBand="0"/>
      </w:tblPr>
      <w:tblGrid>
        <w:gridCol w:w="2013"/>
        <w:gridCol w:w="1007"/>
        <w:gridCol w:w="1007"/>
        <w:gridCol w:w="236"/>
        <w:gridCol w:w="3505"/>
      </w:tblGrid>
      <w:tr w:rsidR="006E3336" w:rsidRPr="00EE003F" w:rsidTr="00060401">
        <w:trPr>
          <w:trHeight w:val="60"/>
        </w:trPr>
        <w:tc>
          <w:tcPr>
            <w:tcW w:w="4027" w:type="dxa"/>
            <w:gridSpan w:val="3"/>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r w:rsidRPr="00EE003F">
              <w:rPr>
                <w:rFonts w:ascii="Arial Narrow" w:hAnsi="Arial Narrow" w:cs="Swis721 LtCn BT"/>
                <w:sz w:val="16"/>
                <w:szCs w:val="16"/>
                <w:lang w:val="es-ES_tradnl"/>
              </w:rPr>
              <w:br/>
              <w:t>reescalado</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Captura la percepción sobre el grado en el que los agentes confían y respetan las reglas de la sociedad en temas como ejecución de los contratos, cumplimiento de los derechos de propiedad y normas, entre otros.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(-2.5 a 2.5) </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a 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2005-2014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WGI - Banco Mundial</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-0,55</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1,95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-0,53</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1,98</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-0,49</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Control de la Corrupción</w:t>
      </w:r>
    </w:p>
    <w:tbl>
      <w:tblPr>
        <w:tblStyle w:val="Tablaconcuadrcula"/>
        <w:tblW w:w="0" w:type="auto"/>
        <w:tblLayout w:type="fixed"/>
        <w:tblLook w:val="0000" w:firstRow="0" w:lastRow="0" w:firstColumn="0" w:lastColumn="0" w:noHBand="0" w:noVBand="0"/>
      </w:tblPr>
      <w:tblGrid>
        <w:gridCol w:w="2013"/>
        <w:gridCol w:w="1007"/>
        <w:gridCol w:w="1007"/>
        <w:gridCol w:w="236"/>
        <w:gridCol w:w="3505"/>
      </w:tblGrid>
      <w:tr w:rsidR="006E3336" w:rsidRPr="00EE003F" w:rsidTr="00060401">
        <w:trPr>
          <w:trHeight w:val="60"/>
        </w:trPr>
        <w:tc>
          <w:tcPr>
            <w:tcW w:w="4027" w:type="dxa"/>
            <w:gridSpan w:val="3"/>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r w:rsidRPr="00EE003F">
              <w:rPr>
                <w:rFonts w:ascii="Arial Narrow" w:hAnsi="Arial Narrow" w:cs="Swis721 LtCn BT"/>
                <w:sz w:val="16"/>
                <w:szCs w:val="16"/>
                <w:lang w:val="es-ES_tradnl"/>
              </w:rPr>
              <w:br/>
              <w:t>reescalado</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Muestra la medida en que se ejerce el poder público en beneficio privado y si el Estado ha sido capturado por minorías selectas e intereses particulares.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(-2.5 a 2.5) </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a 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2005-2014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WGI - Banco Mundial</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-0,59</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1,91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-0,17</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2,33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-0,02</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2,48</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Estabilidad Política y Ausencia de Violencia</w:t>
      </w:r>
    </w:p>
    <w:tbl>
      <w:tblPr>
        <w:tblStyle w:val="Tablaconcuadrcula"/>
        <w:tblW w:w="0" w:type="auto"/>
        <w:tblLayout w:type="fixed"/>
        <w:tblLook w:val="0000" w:firstRow="0" w:lastRow="0" w:firstColumn="0" w:lastColumn="0" w:noHBand="0" w:noVBand="0"/>
      </w:tblPr>
      <w:tblGrid>
        <w:gridCol w:w="2013"/>
        <w:gridCol w:w="1007"/>
        <w:gridCol w:w="1007"/>
        <w:gridCol w:w="236"/>
        <w:gridCol w:w="3505"/>
      </w:tblGrid>
      <w:tr w:rsidR="006E3336" w:rsidRPr="00EE003F" w:rsidTr="00060401">
        <w:trPr>
          <w:trHeight w:val="60"/>
        </w:trPr>
        <w:tc>
          <w:tcPr>
            <w:tcW w:w="4027" w:type="dxa"/>
            <w:gridSpan w:val="3"/>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r w:rsidRPr="00EE003F">
              <w:rPr>
                <w:rFonts w:ascii="Arial Narrow" w:hAnsi="Arial Narrow" w:cs="Swis721 LtCn BT"/>
                <w:sz w:val="16"/>
                <w:szCs w:val="16"/>
                <w:lang w:val="es-ES_tradnl"/>
              </w:rPr>
              <w:br/>
              <w:t>reescalado</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Refleja la percepción de la población sobre la probabilidad de que el Gobierno sea desestabilizado o derrocado por medios inconstitucionales o violentos, incluida la violencia de motivación política y el terrorismo.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(-2,5 a 2,5) </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a 5</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2005-2014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WGI - Banco Mundial</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-0,52</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1,98</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-0,42</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2,08</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-0,16</w:t>
            </w:r>
          </w:p>
        </w:tc>
        <w:tc>
          <w:tcPr>
            <w:tcW w:w="1007"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2,34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Elcano de Presencia Global</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Indice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sz w:val="16"/>
                <w:szCs w:val="16"/>
                <w:lang w:val="es-ES_tradnl"/>
              </w:rPr>
              <w:t>El Índice Elcano de Presencia Global agrega y cuantifica, sobre la base de datos objetivos, la proyección exterior y el posicionamiento internacional de los de países en función de las tres dimensiones que conforman su presencia: económica, militar y blanda.</w:t>
            </w:r>
          </w:p>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sz w:val="16"/>
                <w:szCs w:val="16"/>
                <w:lang w:val="es-ES_tradnl"/>
              </w:rPr>
              <w:t xml:space="preserve">La presencia global podría definirse como la medida y forma en que los países están ‘ahí fuera’, independientemente de que ejerzan influencia o poder. </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-1100 – 3,5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2012-2015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Fundación Real Instituto Elcano</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(2015)</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17,2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26</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29,3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  de acuerdo a RREE</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340"/>
        <w:rPr>
          <w:rStyle w:val="negritanombre"/>
          <w:rFonts w:ascii="Arial Narrow" w:hAnsi="Arial Narrow"/>
          <w:color w:val="auto"/>
          <w:sz w:val="16"/>
          <w:szCs w:val="16"/>
        </w:rPr>
      </w:pPr>
      <w:r w:rsidRPr="00EE003F">
        <w:rPr>
          <w:rStyle w:val="negritanombre"/>
          <w:rFonts w:ascii="Arial Narrow" w:hAnsi="Arial Narrow"/>
          <w:color w:val="auto"/>
          <w:sz w:val="16"/>
          <w:szCs w:val="16"/>
        </w:rPr>
        <w:t xml:space="preserve">EJE 4 </w:t>
      </w:r>
    </w:p>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PBI per cápita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127742">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DF4C48">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PPP, constantes US$ 20</w:t>
            </w:r>
            <w:r w:rsidR="00DF4C48" w:rsidRPr="00EE003F">
              <w:rPr>
                <w:rFonts w:ascii="Arial Narrow" w:hAnsi="Arial Narrow" w:cs="Swis721 LtCn BT"/>
                <w:sz w:val="16"/>
                <w:szCs w:val="16"/>
                <w:lang w:val="es-ES_tradnl"/>
              </w:rPr>
              <w:t>11</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Es calculado como el valor del PBI dividido por el número de habitantes. Mide el nivel de actividad económica de un país, por lo cual es un indicador útil para aproximarse a la riqueza y grado de desarrollo económico.</w:t>
            </w:r>
          </w:p>
          <w:p w:rsidR="00DF4C48" w:rsidRPr="00EE003F" w:rsidRDefault="00DF4C48" w:rsidP="00060401">
            <w:pPr>
              <w:autoSpaceDE w:val="0"/>
              <w:autoSpaceDN w:val="0"/>
              <w:adjustRightInd w:val="0"/>
              <w:spacing w:line="288" w:lineRule="auto"/>
              <w:jc w:val="both"/>
              <w:textAlignment w:val="center"/>
              <w:rPr>
                <w:rFonts w:ascii="Arial Narrow" w:hAnsi="Arial Narrow"/>
                <w:sz w:val="16"/>
                <w:szCs w:val="16"/>
                <w:lang w:val="es-ES_tradnl"/>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A04D87">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w:t>
            </w:r>
            <w:r w:rsidR="00A04D87" w:rsidRPr="00EE003F">
              <w:rPr>
                <w:rFonts w:ascii="Arial Narrow" w:hAnsi="Arial Narrow" w:cs="Swis721 LtCn BT"/>
                <w:sz w:val="16"/>
                <w:szCs w:val="16"/>
                <w:lang w:val="es-ES_tradnl"/>
              </w:rPr>
              <w:t>11</w:t>
            </w:r>
            <w:r w:rsidRPr="00EE003F">
              <w:rPr>
                <w:rFonts w:ascii="Arial Narrow" w:hAnsi="Arial Narrow" w:cs="Swis721 LtCn BT"/>
                <w:sz w:val="16"/>
                <w:szCs w:val="16"/>
                <w:lang w:val="es-ES_tradnl"/>
              </w:rPr>
              <w:t>-201</w:t>
            </w:r>
            <w:r w:rsidR="00A04D87" w:rsidRPr="00EE003F">
              <w:rPr>
                <w:rFonts w:ascii="Arial Narrow" w:hAnsi="Arial Narrow" w:cs="Swis721 LtCn BT"/>
                <w:sz w:val="16"/>
                <w:szCs w:val="16"/>
                <w:lang w:val="es-ES_tradnl"/>
              </w:rPr>
              <w:t>5</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FE3DDF">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Banco Mundial, MEF, MMM 201</w:t>
            </w:r>
            <w:r w:rsidR="00FE3DDF" w:rsidRPr="00EE003F">
              <w:rPr>
                <w:rFonts w:ascii="Arial Narrow" w:hAnsi="Arial Narrow" w:cs="Swis721 LtCn BT"/>
                <w:sz w:val="16"/>
                <w:szCs w:val="16"/>
                <w:lang w:val="es-ES_tradnl"/>
              </w:rPr>
              <w:t>7</w:t>
            </w:r>
            <w:r w:rsidRPr="00EE003F">
              <w:rPr>
                <w:rFonts w:ascii="Arial Narrow" w:hAnsi="Arial Narrow" w:cs="Swis721 LtCn BT"/>
                <w:sz w:val="16"/>
                <w:szCs w:val="16"/>
                <w:lang w:val="es-ES_tradnl"/>
              </w:rPr>
              <w:t>-</w:t>
            </w:r>
            <w:r w:rsidR="00FE3DDF" w:rsidRPr="00EE003F">
              <w:rPr>
                <w:rFonts w:ascii="Arial Narrow" w:hAnsi="Arial Narrow" w:cs="Swis721 LtCn BT"/>
                <w:sz w:val="16"/>
                <w:szCs w:val="16"/>
                <w:lang w:val="es-ES_tradnl"/>
              </w:rPr>
              <w:t>2019</w:t>
            </w:r>
            <w:r w:rsidRPr="00EE003F">
              <w:rPr>
                <w:rFonts w:ascii="Arial Narrow" w:hAnsi="Arial Narrow" w:cs="Swis721 LtCn BT"/>
                <w:sz w:val="16"/>
                <w:szCs w:val="16"/>
                <w:lang w:val="es-ES_tradnl"/>
              </w:rPr>
              <w:t xml:space="preserve"> (</w:t>
            </w:r>
            <w:r w:rsidR="00FE3DDF" w:rsidRPr="00EE003F">
              <w:rPr>
                <w:rFonts w:ascii="Arial Narrow" w:hAnsi="Arial Narrow" w:cs="Swis721 LtCn BT"/>
                <w:sz w:val="16"/>
                <w:szCs w:val="16"/>
                <w:lang w:val="es-ES_tradnl"/>
              </w:rPr>
              <w:t>abril 2016</w:t>
            </w:r>
            <w:r w:rsidRPr="00EE003F">
              <w:rPr>
                <w:rFonts w:ascii="Arial Narrow" w:hAnsi="Arial Narrow" w:cs="Swis721 LtCn BT"/>
                <w:sz w:val="16"/>
                <w:szCs w:val="16"/>
                <w:lang w:val="es-ES_tradnl"/>
              </w:rPr>
              <w:t>, CEPLAN - Modelo International Futures)</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260E3">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w:t>
            </w:r>
            <w:r w:rsidR="000260E3" w:rsidRPr="00EE003F">
              <w:rPr>
                <w:rFonts w:ascii="Arial Narrow" w:hAnsi="Arial Narrow" w:cs="Swis721 LtCn BT"/>
                <w:sz w:val="16"/>
                <w:szCs w:val="16"/>
                <w:lang w:val="es-ES_tradnl"/>
              </w:rPr>
              <w:t>5</w:t>
            </w:r>
            <w:r w:rsidRPr="00EE003F">
              <w:rPr>
                <w:rFonts w:ascii="Arial Narrow" w:hAnsi="Arial Narrow" w:cs="Swis721 LtCn BT"/>
                <w:sz w:val="16"/>
                <w:szCs w:val="16"/>
                <w:lang w:val="es-ES_tradnl"/>
              </w:rPr>
              <w:t>)</w:t>
            </w:r>
          </w:p>
        </w:tc>
        <w:tc>
          <w:tcPr>
            <w:tcW w:w="2014" w:type="dxa"/>
          </w:tcPr>
          <w:p w:rsidR="00375169" w:rsidRPr="00EE003F" w:rsidRDefault="00D47C30" w:rsidP="00DF4C48">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116</w:t>
            </w:r>
            <w:r w:rsidR="00DF4C48" w:rsidRPr="00EE003F">
              <w:rPr>
                <w:rFonts w:ascii="Arial Narrow" w:hAnsi="Arial Narrow" w:cs="Swis721 LtCn BT"/>
                <w:sz w:val="16"/>
                <w:szCs w:val="16"/>
                <w:lang w:val="es-ES_tradnl"/>
              </w:rPr>
              <w:t>56</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0260E3" w:rsidP="00DF4C48">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119</w:t>
            </w:r>
            <w:r w:rsidR="00DF4C48" w:rsidRPr="00EE003F">
              <w:rPr>
                <w:rFonts w:ascii="Arial Narrow" w:hAnsi="Arial Narrow" w:cs="Swis721 LtCn BT"/>
                <w:sz w:val="16"/>
                <w:szCs w:val="16"/>
                <w:lang w:val="es-ES_tradnl"/>
              </w:rPr>
              <w:t>50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0260E3" w:rsidP="00DF4C48">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141</w:t>
            </w:r>
            <w:r w:rsidR="00DF4C48" w:rsidRPr="00EE003F">
              <w:rPr>
                <w:rFonts w:ascii="Arial Narrow" w:hAnsi="Arial Narrow" w:cs="Swis721 LtCn BT"/>
                <w:sz w:val="16"/>
                <w:szCs w:val="16"/>
                <w:lang w:val="es-ES_tradnl"/>
              </w:rPr>
              <w:t>26</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 - IFs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Complejidad Económica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Mide la complejidad de la estructura productiva de un país. Un nivel más alto del índice establece que la estructura contiene una amplia ventaja comparativa en los productos que exporta, lo cual repercute positivamente en las tasas de crecimiento del PBI.</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127742">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2003-</w:t>
            </w:r>
            <w:r w:rsidR="00127742" w:rsidRPr="00EE003F">
              <w:rPr>
                <w:rFonts w:ascii="Arial Narrow" w:hAnsi="Arial Narrow" w:cs="Swis721 LtCn BT"/>
                <w:sz w:val="16"/>
                <w:szCs w:val="16"/>
                <w:lang w:val="es-ES_tradnl"/>
              </w:rPr>
              <w:t>201</w:t>
            </w:r>
            <w:r w:rsidR="007728FB" w:rsidRPr="00EE003F">
              <w:rPr>
                <w:rFonts w:ascii="Arial Narrow" w:hAnsi="Arial Narrow" w:cs="Swis721 LtCn BT"/>
                <w:sz w:val="16"/>
                <w:szCs w:val="16"/>
                <w:lang w:val="es-ES_tradnl"/>
              </w:rPr>
              <w:t>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MIT</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127742">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w:t>
            </w:r>
            <w:r w:rsidR="00127742" w:rsidRPr="00EE003F">
              <w:rPr>
                <w:rFonts w:ascii="Arial Narrow" w:hAnsi="Arial Narrow" w:cs="Swis721 LtCn BT"/>
                <w:sz w:val="16"/>
                <w:szCs w:val="16"/>
                <w:lang w:val="es-ES_tradnl"/>
              </w:rPr>
              <w:t>201</w:t>
            </w:r>
            <w:r w:rsidR="007728FB" w:rsidRPr="00EE003F">
              <w:rPr>
                <w:rFonts w:ascii="Arial Narrow" w:hAnsi="Arial Narrow" w:cs="Swis721 LtCn BT"/>
                <w:sz w:val="16"/>
                <w:szCs w:val="16"/>
                <w:lang w:val="es-ES_tradnl"/>
              </w:rPr>
              <w:t>4</w:t>
            </w:r>
            <w:r w:rsidRPr="00EE003F">
              <w:rPr>
                <w:rFonts w:ascii="Arial Narrow" w:hAnsi="Arial Narrow" w:cs="Swis721 LtCn BT"/>
                <w:sz w:val="16"/>
                <w:szCs w:val="16"/>
                <w:lang w:val="es-ES_tradnl"/>
              </w:rPr>
              <w:t>)</w:t>
            </w:r>
          </w:p>
        </w:tc>
        <w:tc>
          <w:tcPr>
            <w:tcW w:w="2014" w:type="dxa"/>
          </w:tcPr>
          <w:p w:rsidR="00375169" w:rsidRPr="00EE003F" w:rsidRDefault="007728F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-0,43</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7728F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-0,27</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7728F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-0,15</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Tasa de variación porcentual de las exportaciones no tradicionales</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127742">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127742">
        <w:trPr>
          <w:trHeight w:val="281"/>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Variación porcentual</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Son productos de exportación que tienen cierto grado de transformación o aumento de su valor agregado, y que históricamente no se transaban con el exterior en montos significativos.</w:t>
            </w:r>
          </w:p>
        </w:tc>
      </w:tr>
      <w:tr w:rsidR="006E3336" w:rsidRPr="00EE003F" w:rsidTr="00127742">
        <w:trPr>
          <w:trHeight w:val="281"/>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2000 -2014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F3DDD"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SUNAT</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127742">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5,</w:t>
            </w:r>
            <w:r w:rsidR="00127742" w:rsidRPr="00EE003F">
              <w:rPr>
                <w:rFonts w:ascii="Arial Narrow" w:hAnsi="Arial Narrow" w:cs="Swis721 LtCn BT"/>
                <w:sz w:val="16"/>
                <w:szCs w:val="16"/>
                <w:lang w:val="es-ES_tradnl"/>
              </w:rPr>
              <w:t>48</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D662E8" w:rsidP="00127742">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093141"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4,7</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127742">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093141" w:rsidP="003F3DD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MINCETUR</w:t>
            </w:r>
            <w:r w:rsidR="003F3DDD" w:rsidRPr="00EE003F">
              <w:rPr>
                <w:rFonts w:ascii="Arial Narrow" w:hAnsi="Arial Narrow" w:cs="Swis721 LtCn BT"/>
                <w:sz w:val="16"/>
                <w:szCs w:val="16"/>
                <w:lang w:val="es-ES_tradnl"/>
              </w:rPr>
              <w:t xml:space="preserve"> (Proyecto documento Prospectivo PESEM)</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Educación Superior</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Mide las tasas de matrícula en la educación secundaria y terciaria, así como la calidad de la educación impartida, según la evaluación de la comunidad empresarial.</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1-7</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2006-2015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WEF</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(2015)</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4,07</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4,12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4,38</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MINEDU</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Tasa de informalidad del empleo (no agrícola)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El sector informal, desde una perspectiva legal, se refiere al conjunto de empresas, trabajadores y actividades que operan fuera de los marcos legales y normativos que rigen la actividad económica. En este caso, la informalidad va ser medida a través del porcentaje de personas empleadas en el sector informal, respecto al total de personas empleadas en sectores no agrícolas.  </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281"/>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2005-2013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OIT</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(2013)</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64,00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62,50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60,00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Rating de la deuda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7728FB">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7728FB">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Calificación</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7A6C61"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sz w:val="16"/>
                <w:szCs w:val="16"/>
                <w:lang w:val="es-ES_tradnl"/>
              </w:rPr>
              <w:t>Calificación de riesgo soberano: La calificación de riesgo soberano es una opinión sobre la capacidad de pago del gobierno central de cualquier país para pagar la deuda que contrajo para financiar la parte del gasto público que no pudo ser financiada con ingresos públicos y ha sido reconocida por medio de títulos valores o contratos por adeudos, amortizables o no, que devengan intereses</w:t>
            </w:r>
          </w:p>
        </w:tc>
      </w:tr>
      <w:tr w:rsidR="006E3336" w:rsidRPr="00EE003F" w:rsidTr="007728FB">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F011B6"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De acuerdo a los rankings establecidos por Standard &amp; </w:t>
            </w:r>
            <w:proofErr w:type="spellStart"/>
            <w:r w:rsidRPr="00EE003F">
              <w:rPr>
                <w:rFonts w:ascii="Arial Narrow" w:hAnsi="Arial Narrow" w:cs="Swis721 LtCn BT"/>
                <w:sz w:val="16"/>
                <w:szCs w:val="16"/>
                <w:lang w:val="es-ES_tradnl"/>
              </w:rPr>
              <w:t>Poor’s</w:t>
            </w:r>
            <w:proofErr w:type="spellEnd"/>
            <w:r w:rsidRPr="00EE003F">
              <w:rPr>
                <w:rFonts w:ascii="Arial Narrow" w:hAnsi="Arial Narrow" w:cs="Swis721 LtCn BT"/>
                <w:sz w:val="16"/>
                <w:szCs w:val="16"/>
                <w:lang w:val="es-ES_tradnl"/>
              </w:rPr>
              <w:t>, MOODY´S, FITCH, DBRS y NICE</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728FB">
        <w:trPr>
          <w:trHeight w:val="281"/>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F011B6"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Mayo </w:t>
            </w:r>
            <w:r w:rsidR="007728FB" w:rsidRPr="00EE003F">
              <w:rPr>
                <w:rFonts w:ascii="Arial Narrow" w:hAnsi="Arial Narrow" w:cs="Swis721 LtCn BT"/>
                <w:sz w:val="16"/>
                <w:szCs w:val="16"/>
                <w:lang w:val="es-ES_tradnl"/>
              </w:rPr>
              <w:t>2016</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728FB">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F011B6">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Calificaciones de riesgo de: Standard &amp; </w:t>
            </w:r>
            <w:proofErr w:type="spellStart"/>
            <w:r w:rsidRPr="00EE003F">
              <w:rPr>
                <w:rFonts w:ascii="Arial Narrow" w:hAnsi="Arial Narrow" w:cs="Swis721 LtCn BT"/>
                <w:sz w:val="16"/>
                <w:szCs w:val="16"/>
                <w:lang w:val="es-ES_tradnl"/>
              </w:rPr>
              <w:t>Poor’s</w:t>
            </w:r>
            <w:proofErr w:type="spellEnd"/>
            <w:r w:rsidRPr="00EE003F">
              <w:rPr>
                <w:rFonts w:ascii="Arial Narrow" w:hAnsi="Arial Narrow" w:cs="Swis721 LtCn BT"/>
                <w:sz w:val="16"/>
                <w:szCs w:val="16"/>
                <w:lang w:val="es-ES_tradnl"/>
              </w:rPr>
              <w:t>, MOODY´S, FITCH, DBRS y NICE</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728FB">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w:t>
            </w:r>
            <w:r w:rsidR="007728FB" w:rsidRPr="00EE003F">
              <w:rPr>
                <w:rFonts w:ascii="Arial Narrow" w:hAnsi="Arial Narrow" w:cs="Swis721 LtCn BT"/>
                <w:sz w:val="16"/>
                <w:szCs w:val="16"/>
                <w:lang w:val="es-ES_tradnl"/>
              </w:rPr>
              <w:t>to más reciente disponible (</w:t>
            </w:r>
            <w:r w:rsidR="00F011B6" w:rsidRPr="00EE003F">
              <w:rPr>
                <w:rFonts w:ascii="Arial Narrow" w:hAnsi="Arial Narrow" w:cs="Swis721 LtCn BT"/>
                <w:sz w:val="16"/>
                <w:szCs w:val="16"/>
                <w:lang w:val="es-ES_tradnl"/>
              </w:rPr>
              <w:t xml:space="preserve">Mayo </w:t>
            </w:r>
            <w:r w:rsidR="007728FB" w:rsidRPr="00EE003F">
              <w:rPr>
                <w:rFonts w:ascii="Arial Narrow" w:hAnsi="Arial Narrow" w:cs="Swis721 LtCn BT"/>
                <w:sz w:val="16"/>
                <w:szCs w:val="16"/>
                <w:lang w:val="es-ES_tradnl"/>
              </w:rPr>
              <w:t>2016</w:t>
            </w:r>
            <w:r w:rsidRPr="00EE003F">
              <w:rPr>
                <w:rFonts w:ascii="Arial Narrow" w:hAnsi="Arial Narrow" w:cs="Swis721 LtCn BT"/>
                <w:sz w:val="16"/>
                <w:szCs w:val="16"/>
                <w:lang w:val="es-ES_tradnl"/>
              </w:rPr>
              <w:t>)</w:t>
            </w:r>
          </w:p>
        </w:tc>
        <w:tc>
          <w:tcPr>
            <w:tcW w:w="2014" w:type="dxa"/>
          </w:tcPr>
          <w:p w:rsidR="00F011B6" w:rsidRPr="00EE003F" w:rsidRDefault="00F011B6" w:rsidP="00F011B6">
            <w:pPr>
              <w:autoSpaceDE w:val="0"/>
              <w:autoSpaceDN w:val="0"/>
              <w:adjustRightInd w:val="0"/>
              <w:spacing w:line="288" w:lineRule="auto"/>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 xml:space="preserve">A- , A3, A-, BBB(H) y A- respectivamente </w:t>
            </w:r>
          </w:p>
          <w:p w:rsidR="00375169" w:rsidRPr="00EE003F" w:rsidRDefault="00375169" w:rsidP="00F011B6">
            <w:pPr>
              <w:autoSpaceDE w:val="0"/>
              <w:autoSpaceDN w:val="0"/>
              <w:adjustRightInd w:val="0"/>
              <w:spacing w:line="288" w:lineRule="auto"/>
              <w:textAlignment w:val="center"/>
              <w:rPr>
                <w:rFonts w:ascii="Arial Narrow" w:hAnsi="Arial Narrow"/>
                <w:sz w:val="16"/>
                <w:szCs w:val="16"/>
                <w:lang w:val="es-ES_tradnl"/>
              </w:rPr>
            </w:pP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728FB">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F011B6"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A, A2, A, A(L) y A+ respectivamente</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728FB">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B6585B" w:rsidRPr="00EE003F" w:rsidRDefault="00B6585B" w:rsidP="00B6585B">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Depósitos del sistema financiero (% del PBI)</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B6585B" w:rsidRPr="00EE003F" w:rsidTr="00CA23BB">
        <w:trPr>
          <w:trHeight w:val="60"/>
        </w:trPr>
        <w:tc>
          <w:tcPr>
            <w:tcW w:w="4027" w:type="dxa"/>
            <w:gridSpan w:val="2"/>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B6585B" w:rsidRPr="00EE003F" w:rsidRDefault="00B6585B" w:rsidP="00CA23BB">
            <w:pPr>
              <w:autoSpaceDE w:val="0"/>
              <w:autoSpaceDN w:val="0"/>
              <w:adjustRightInd w:val="0"/>
              <w:rPr>
                <w:rFonts w:ascii="Arial Narrow" w:hAnsi="Arial Narrow"/>
                <w:sz w:val="16"/>
                <w:szCs w:val="16"/>
              </w:rPr>
            </w:pPr>
          </w:p>
        </w:tc>
        <w:tc>
          <w:tcPr>
            <w:tcW w:w="3505"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B6585B" w:rsidRPr="00EE003F" w:rsidTr="00CA23BB">
        <w:trPr>
          <w:trHeight w:val="60"/>
        </w:trPr>
        <w:tc>
          <w:tcPr>
            <w:tcW w:w="2013"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B6585B" w:rsidRPr="00EE003F" w:rsidRDefault="00B6585B" w:rsidP="00CA23BB">
            <w:pPr>
              <w:autoSpaceDE w:val="0"/>
              <w:autoSpaceDN w:val="0"/>
              <w:adjustRightInd w:val="0"/>
              <w:rPr>
                <w:rFonts w:ascii="Arial Narrow" w:hAnsi="Arial Narrow"/>
                <w:sz w:val="16"/>
                <w:szCs w:val="16"/>
              </w:rPr>
            </w:pPr>
          </w:p>
        </w:tc>
        <w:tc>
          <w:tcPr>
            <w:tcW w:w="3505" w:type="dxa"/>
            <w:vMerge w:val="restart"/>
          </w:tcPr>
          <w:p w:rsidR="00B6585B" w:rsidRPr="00EE003F" w:rsidRDefault="00B6585B" w:rsidP="00CA23BB">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Definido como la actividad que realizan las instituciones bancarias, al tomar depósitos de clientes y prestarlos a otros. Así, este indicador mide la manera en la cual el sector financiero utiliza los recursos de manera eficiente. </w:t>
            </w:r>
          </w:p>
        </w:tc>
      </w:tr>
      <w:tr w:rsidR="00B6585B" w:rsidRPr="00EE003F" w:rsidTr="00CA23BB">
        <w:trPr>
          <w:trHeight w:val="60"/>
        </w:trPr>
        <w:tc>
          <w:tcPr>
            <w:tcW w:w="2013"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B6585B" w:rsidRPr="00EE003F" w:rsidRDefault="00B6585B" w:rsidP="00CA23BB">
            <w:pPr>
              <w:autoSpaceDE w:val="0"/>
              <w:autoSpaceDN w:val="0"/>
              <w:adjustRightInd w:val="0"/>
              <w:rPr>
                <w:rFonts w:ascii="Arial Narrow" w:hAnsi="Arial Narrow"/>
                <w:sz w:val="16"/>
                <w:szCs w:val="16"/>
              </w:rPr>
            </w:pPr>
          </w:p>
        </w:tc>
        <w:tc>
          <w:tcPr>
            <w:tcW w:w="3505" w:type="dxa"/>
            <w:vMerge/>
          </w:tcPr>
          <w:p w:rsidR="00B6585B" w:rsidRPr="00EE003F" w:rsidRDefault="00B6585B" w:rsidP="00CA23BB">
            <w:pPr>
              <w:autoSpaceDE w:val="0"/>
              <w:autoSpaceDN w:val="0"/>
              <w:adjustRightInd w:val="0"/>
              <w:rPr>
                <w:rFonts w:ascii="Arial Narrow" w:hAnsi="Arial Narrow"/>
                <w:sz w:val="16"/>
                <w:szCs w:val="16"/>
              </w:rPr>
            </w:pPr>
          </w:p>
        </w:tc>
      </w:tr>
      <w:tr w:rsidR="00B6585B" w:rsidRPr="00EE003F" w:rsidTr="00CA23BB">
        <w:trPr>
          <w:trHeight w:val="281"/>
        </w:trPr>
        <w:tc>
          <w:tcPr>
            <w:tcW w:w="2013"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2008-2014</w:t>
            </w:r>
          </w:p>
        </w:tc>
        <w:tc>
          <w:tcPr>
            <w:tcW w:w="160" w:type="dxa"/>
            <w:vMerge/>
          </w:tcPr>
          <w:p w:rsidR="00B6585B" w:rsidRPr="00EE003F" w:rsidRDefault="00B6585B" w:rsidP="00CA23BB">
            <w:pPr>
              <w:autoSpaceDE w:val="0"/>
              <w:autoSpaceDN w:val="0"/>
              <w:adjustRightInd w:val="0"/>
              <w:rPr>
                <w:rFonts w:ascii="Arial Narrow" w:hAnsi="Arial Narrow"/>
                <w:sz w:val="16"/>
                <w:szCs w:val="16"/>
              </w:rPr>
            </w:pPr>
          </w:p>
        </w:tc>
        <w:tc>
          <w:tcPr>
            <w:tcW w:w="3505" w:type="dxa"/>
            <w:vMerge/>
          </w:tcPr>
          <w:p w:rsidR="00B6585B" w:rsidRPr="00EE003F" w:rsidRDefault="00B6585B" w:rsidP="00CA23BB">
            <w:pPr>
              <w:autoSpaceDE w:val="0"/>
              <w:autoSpaceDN w:val="0"/>
              <w:adjustRightInd w:val="0"/>
              <w:rPr>
                <w:rFonts w:ascii="Arial Narrow" w:hAnsi="Arial Narrow"/>
                <w:sz w:val="16"/>
                <w:szCs w:val="16"/>
              </w:rPr>
            </w:pPr>
          </w:p>
        </w:tc>
      </w:tr>
      <w:tr w:rsidR="00B6585B" w:rsidRPr="00EE003F" w:rsidTr="00CA23BB">
        <w:trPr>
          <w:trHeight w:val="60"/>
        </w:trPr>
        <w:tc>
          <w:tcPr>
            <w:tcW w:w="2013"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SBS, INEI</w:t>
            </w:r>
          </w:p>
        </w:tc>
        <w:tc>
          <w:tcPr>
            <w:tcW w:w="160" w:type="dxa"/>
            <w:vMerge/>
          </w:tcPr>
          <w:p w:rsidR="00B6585B" w:rsidRPr="00EE003F" w:rsidRDefault="00B6585B" w:rsidP="00CA23BB">
            <w:pPr>
              <w:autoSpaceDE w:val="0"/>
              <w:autoSpaceDN w:val="0"/>
              <w:adjustRightInd w:val="0"/>
              <w:rPr>
                <w:rFonts w:ascii="Arial Narrow" w:hAnsi="Arial Narrow"/>
                <w:sz w:val="16"/>
                <w:szCs w:val="16"/>
              </w:rPr>
            </w:pPr>
          </w:p>
        </w:tc>
        <w:tc>
          <w:tcPr>
            <w:tcW w:w="3505" w:type="dxa"/>
            <w:vMerge/>
          </w:tcPr>
          <w:p w:rsidR="00B6585B" w:rsidRPr="00EE003F" w:rsidRDefault="00B6585B" w:rsidP="00CA23BB">
            <w:pPr>
              <w:autoSpaceDE w:val="0"/>
              <w:autoSpaceDN w:val="0"/>
              <w:adjustRightInd w:val="0"/>
              <w:rPr>
                <w:rFonts w:ascii="Arial Narrow" w:hAnsi="Arial Narrow"/>
                <w:sz w:val="16"/>
                <w:szCs w:val="16"/>
              </w:rPr>
            </w:pPr>
          </w:p>
        </w:tc>
      </w:tr>
      <w:tr w:rsidR="00B6585B" w:rsidRPr="00EE003F" w:rsidTr="00CA23BB">
        <w:trPr>
          <w:trHeight w:val="60"/>
        </w:trPr>
        <w:tc>
          <w:tcPr>
            <w:tcW w:w="2013"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38,72</w:t>
            </w:r>
          </w:p>
        </w:tc>
        <w:tc>
          <w:tcPr>
            <w:tcW w:w="160" w:type="dxa"/>
            <w:vMerge/>
          </w:tcPr>
          <w:p w:rsidR="00B6585B" w:rsidRPr="00EE003F" w:rsidRDefault="00B6585B" w:rsidP="00CA23BB">
            <w:pPr>
              <w:autoSpaceDE w:val="0"/>
              <w:autoSpaceDN w:val="0"/>
              <w:adjustRightInd w:val="0"/>
              <w:rPr>
                <w:rFonts w:ascii="Arial Narrow" w:hAnsi="Arial Narrow"/>
                <w:sz w:val="16"/>
                <w:szCs w:val="16"/>
              </w:rPr>
            </w:pPr>
          </w:p>
        </w:tc>
        <w:tc>
          <w:tcPr>
            <w:tcW w:w="3505" w:type="dxa"/>
            <w:vMerge/>
          </w:tcPr>
          <w:p w:rsidR="00B6585B" w:rsidRPr="00EE003F" w:rsidRDefault="00B6585B" w:rsidP="00CA23BB">
            <w:pPr>
              <w:autoSpaceDE w:val="0"/>
              <w:autoSpaceDN w:val="0"/>
              <w:adjustRightInd w:val="0"/>
              <w:rPr>
                <w:rFonts w:ascii="Arial Narrow" w:hAnsi="Arial Narrow"/>
                <w:sz w:val="16"/>
                <w:szCs w:val="16"/>
              </w:rPr>
            </w:pPr>
          </w:p>
        </w:tc>
      </w:tr>
      <w:tr w:rsidR="00B6585B" w:rsidRPr="00EE003F" w:rsidTr="00CA23BB">
        <w:trPr>
          <w:trHeight w:val="60"/>
        </w:trPr>
        <w:tc>
          <w:tcPr>
            <w:tcW w:w="2013"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43,00</w:t>
            </w:r>
          </w:p>
        </w:tc>
        <w:tc>
          <w:tcPr>
            <w:tcW w:w="160" w:type="dxa"/>
            <w:vMerge/>
          </w:tcPr>
          <w:p w:rsidR="00B6585B" w:rsidRPr="00EE003F" w:rsidRDefault="00B6585B" w:rsidP="00CA23BB">
            <w:pPr>
              <w:autoSpaceDE w:val="0"/>
              <w:autoSpaceDN w:val="0"/>
              <w:adjustRightInd w:val="0"/>
              <w:rPr>
                <w:rFonts w:ascii="Arial Narrow" w:hAnsi="Arial Narrow"/>
                <w:sz w:val="16"/>
                <w:szCs w:val="16"/>
              </w:rPr>
            </w:pPr>
          </w:p>
        </w:tc>
        <w:tc>
          <w:tcPr>
            <w:tcW w:w="3505" w:type="dxa"/>
            <w:vMerge/>
          </w:tcPr>
          <w:p w:rsidR="00B6585B" w:rsidRPr="00EE003F" w:rsidRDefault="00B6585B" w:rsidP="00CA23BB">
            <w:pPr>
              <w:autoSpaceDE w:val="0"/>
              <w:autoSpaceDN w:val="0"/>
              <w:adjustRightInd w:val="0"/>
              <w:rPr>
                <w:rFonts w:ascii="Arial Narrow" w:hAnsi="Arial Narrow"/>
                <w:sz w:val="16"/>
                <w:szCs w:val="16"/>
              </w:rPr>
            </w:pPr>
          </w:p>
        </w:tc>
      </w:tr>
      <w:tr w:rsidR="00B6585B" w:rsidRPr="00EE003F" w:rsidTr="00CA23BB">
        <w:trPr>
          <w:trHeight w:val="60"/>
        </w:trPr>
        <w:tc>
          <w:tcPr>
            <w:tcW w:w="2013"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48,00</w:t>
            </w:r>
          </w:p>
        </w:tc>
        <w:tc>
          <w:tcPr>
            <w:tcW w:w="160" w:type="dxa"/>
            <w:vMerge/>
          </w:tcPr>
          <w:p w:rsidR="00B6585B" w:rsidRPr="00EE003F" w:rsidRDefault="00B6585B" w:rsidP="00CA23BB">
            <w:pPr>
              <w:autoSpaceDE w:val="0"/>
              <w:autoSpaceDN w:val="0"/>
              <w:adjustRightInd w:val="0"/>
              <w:rPr>
                <w:rFonts w:ascii="Arial Narrow" w:hAnsi="Arial Narrow"/>
                <w:sz w:val="16"/>
                <w:szCs w:val="16"/>
              </w:rPr>
            </w:pPr>
          </w:p>
        </w:tc>
        <w:tc>
          <w:tcPr>
            <w:tcW w:w="3505" w:type="dxa"/>
            <w:vMerge/>
          </w:tcPr>
          <w:p w:rsidR="00B6585B" w:rsidRPr="00EE003F" w:rsidRDefault="00B6585B" w:rsidP="00CA23BB">
            <w:pPr>
              <w:autoSpaceDE w:val="0"/>
              <w:autoSpaceDN w:val="0"/>
              <w:adjustRightInd w:val="0"/>
              <w:rPr>
                <w:rFonts w:ascii="Arial Narrow" w:hAnsi="Arial Narrow"/>
                <w:sz w:val="16"/>
                <w:szCs w:val="16"/>
              </w:rPr>
            </w:pPr>
          </w:p>
        </w:tc>
      </w:tr>
      <w:tr w:rsidR="00B6585B" w:rsidRPr="00EE003F" w:rsidTr="00CA23BB">
        <w:trPr>
          <w:trHeight w:val="60"/>
        </w:trPr>
        <w:tc>
          <w:tcPr>
            <w:tcW w:w="2013"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B6585B" w:rsidRPr="00EE003F" w:rsidRDefault="00B6585B"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B6585B" w:rsidRPr="00EE003F" w:rsidRDefault="00B6585B" w:rsidP="00CA23BB">
            <w:pPr>
              <w:autoSpaceDE w:val="0"/>
              <w:autoSpaceDN w:val="0"/>
              <w:adjustRightInd w:val="0"/>
              <w:rPr>
                <w:rFonts w:ascii="Arial Narrow" w:hAnsi="Arial Narrow"/>
                <w:sz w:val="16"/>
                <w:szCs w:val="16"/>
              </w:rPr>
            </w:pPr>
          </w:p>
        </w:tc>
        <w:tc>
          <w:tcPr>
            <w:tcW w:w="3505" w:type="dxa"/>
            <w:vMerge/>
          </w:tcPr>
          <w:p w:rsidR="00B6585B" w:rsidRPr="00EE003F" w:rsidRDefault="00B6585B" w:rsidP="00CA23BB">
            <w:pPr>
              <w:autoSpaceDE w:val="0"/>
              <w:autoSpaceDN w:val="0"/>
              <w:adjustRightInd w:val="0"/>
              <w:rPr>
                <w:rFonts w:ascii="Arial Narrow" w:hAnsi="Arial Narrow"/>
                <w:sz w:val="16"/>
                <w:szCs w:val="16"/>
              </w:rPr>
            </w:pPr>
          </w:p>
        </w:tc>
      </w:tr>
    </w:tbl>
    <w:p w:rsidR="00B6585B" w:rsidRPr="00EE003F" w:rsidRDefault="00B6585B" w:rsidP="00375169">
      <w:pPr>
        <w:rPr>
          <w:rFonts w:ascii="Arial Narrow" w:hAnsi="Arial Narrow"/>
          <w:sz w:val="16"/>
          <w:szCs w:val="16"/>
        </w:rPr>
      </w:pPr>
    </w:p>
    <w:p w:rsidR="00512F74" w:rsidRPr="00EE003F" w:rsidRDefault="00EB0992" w:rsidP="00512F74">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Capacidad de pago de la deuda p</w:t>
      </w:r>
      <w:r w:rsidR="002E14D9" w:rsidRPr="00EE003F">
        <w:rPr>
          <w:rStyle w:val="cuerpodetexto"/>
          <w:rFonts w:ascii="Arial Narrow" w:hAnsi="Arial Narrow"/>
          <w:color w:val="auto"/>
          <w:sz w:val="16"/>
          <w:szCs w:val="16"/>
        </w:rPr>
        <w:t>ú</w:t>
      </w:r>
      <w:r w:rsidRPr="00EE003F">
        <w:rPr>
          <w:rStyle w:val="cuerpodetexto"/>
          <w:rFonts w:ascii="Arial Narrow" w:hAnsi="Arial Narrow"/>
          <w:color w:val="auto"/>
          <w:sz w:val="16"/>
          <w:szCs w:val="16"/>
        </w:rPr>
        <w:t xml:space="preserve">blica respecto de sus ingresos </w:t>
      </w:r>
      <w:r w:rsidR="00512F74" w:rsidRPr="00EE003F">
        <w:rPr>
          <w:rStyle w:val="cuerpodetexto"/>
          <w:rFonts w:ascii="Arial Narrow" w:hAnsi="Arial Narrow"/>
          <w:color w:val="auto"/>
          <w:sz w:val="16"/>
          <w:szCs w:val="16"/>
        </w:rPr>
        <w:t>Deuda (% de ingresos públicos)</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EB0992" w:rsidRPr="00EE003F" w:rsidTr="007F1620">
        <w:trPr>
          <w:trHeight w:val="60"/>
        </w:trPr>
        <w:tc>
          <w:tcPr>
            <w:tcW w:w="4027" w:type="dxa"/>
            <w:gridSpan w:val="2"/>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EB0992" w:rsidRPr="00EE003F" w:rsidRDefault="00EB0992" w:rsidP="001B688D">
            <w:pPr>
              <w:autoSpaceDE w:val="0"/>
              <w:autoSpaceDN w:val="0"/>
              <w:adjustRightInd w:val="0"/>
              <w:rPr>
                <w:rFonts w:ascii="Arial Narrow" w:hAnsi="Arial Narrow"/>
                <w:sz w:val="16"/>
                <w:szCs w:val="16"/>
              </w:rPr>
            </w:pPr>
          </w:p>
        </w:tc>
        <w:tc>
          <w:tcPr>
            <w:tcW w:w="3505"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EB0992" w:rsidRPr="00EE003F" w:rsidTr="007F1620">
        <w:trPr>
          <w:trHeight w:val="60"/>
        </w:trPr>
        <w:tc>
          <w:tcPr>
            <w:tcW w:w="2013"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EB0992" w:rsidRPr="00EE003F" w:rsidRDefault="007F1620"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236" w:type="dxa"/>
            <w:vMerge w:val="restart"/>
          </w:tcPr>
          <w:p w:rsidR="00EB0992" w:rsidRPr="00EE003F" w:rsidRDefault="00EB0992" w:rsidP="001B688D">
            <w:pPr>
              <w:autoSpaceDE w:val="0"/>
              <w:autoSpaceDN w:val="0"/>
              <w:adjustRightInd w:val="0"/>
              <w:rPr>
                <w:rFonts w:ascii="Arial Narrow" w:hAnsi="Arial Narrow"/>
                <w:sz w:val="16"/>
                <w:szCs w:val="16"/>
              </w:rPr>
            </w:pPr>
          </w:p>
        </w:tc>
        <w:tc>
          <w:tcPr>
            <w:tcW w:w="3505" w:type="dxa"/>
            <w:vMerge w:val="restart"/>
          </w:tcPr>
          <w:p w:rsidR="00EB0992" w:rsidRPr="00EE003F" w:rsidRDefault="00EB0992" w:rsidP="001B688D">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Este indicador representa la capacidad de endeudamiento de la República, ya que expresa el total de la deuda respecto a los ingresos generados durante cada año. Mediante este indicador se pretende medir relativamente el grado de sostenibilidad financiera de la deuda.</w:t>
            </w:r>
          </w:p>
        </w:tc>
      </w:tr>
      <w:tr w:rsidR="00EB0992" w:rsidRPr="00EE003F" w:rsidTr="007F1620">
        <w:trPr>
          <w:trHeight w:val="281"/>
        </w:trPr>
        <w:tc>
          <w:tcPr>
            <w:tcW w:w="2013"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EB0992" w:rsidRPr="00EE003F" w:rsidRDefault="00EB0992" w:rsidP="00EB0992">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2014</w:t>
            </w:r>
          </w:p>
        </w:tc>
        <w:tc>
          <w:tcPr>
            <w:tcW w:w="236" w:type="dxa"/>
            <w:vMerge/>
          </w:tcPr>
          <w:p w:rsidR="00EB0992" w:rsidRPr="00EE003F" w:rsidRDefault="00EB0992" w:rsidP="001B688D">
            <w:pPr>
              <w:autoSpaceDE w:val="0"/>
              <w:autoSpaceDN w:val="0"/>
              <w:adjustRightInd w:val="0"/>
              <w:rPr>
                <w:rFonts w:ascii="Arial Narrow" w:hAnsi="Arial Narrow"/>
                <w:sz w:val="16"/>
                <w:szCs w:val="16"/>
              </w:rPr>
            </w:pPr>
          </w:p>
        </w:tc>
        <w:tc>
          <w:tcPr>
            <w:tcW w:w="3505" w:type="dxa"/>
            <w:vMerge/>
          </w:tcPr>
          <w:p w:rsidR="00EB0992" w:rsidRPr="00EE003F" w:rsidRDefault="00EB0992" w:rsidP="001B688D">
            <w:pPr>
              <w:autoSpaceDE w:val="0"/>
              <w:autoSpaceDN w:val="0"/>
              <w:adjustRightInd w:val="0"/>
              <w:rPr>
                <w:rFonts w:ascii="Arial Narrow" w:hAnsi="Arial Narrow"/>
                <w:sz w:val="16"/>
                <w:szCs w:val="16"/>
              </w:rPr>
            </w:pPr>
          </w:p>
        </w:tc>
      </w:tr>
      <w:tr w:rsidR="00EB0992" w:rsidRPr="00EE003F" w:rsidTr="007F1620">
        <w:trPr>
          <w:trHeight w:val="60"/>
        </w:trPr>
        <w:tc>
          <w:tcPr>
            <w:tcW w:w="2013"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MEF-BCRP-Moody´s</w:t>
            </w:r>
          </w:p>
        </w:tc>
        <w:tc>
          <w:tcPr>
            <w:tcW w:w="236" w:type="dxa"/>
            <w:vMerge/>
          </w:tcPr>
          <w:p w:rsidR="00EB0992" w:rsidRPr="00EE003F" w:rsidRDefault="00EB0992" w:rsidP="001B688D">
            <w:pPr>
              <w:autoSpaceDE w:val="0"/>
              <w:autoSpaceDN w:val="0"/>
              <w:adjustRightInd w:val="0"/>
              <w:rPr>
                <w:rFonts w:ascii="Arial Narrow" w:hAnsi="Arial Narrow"/>
                <w:sz w:val="16"/>
                <w:szCs w:val="16"/>
              </w:rPr>
            </w:pPr>
          </w:p>
        </w:tc>
        <w:tc>
          <w:tcPr>
            <w:tcW w:w="3505" w:type="dxa"/>
            <w:vMerge/>
          </w:tcPr>
          <w:p w:rsidR="00EB0992" w:rsidRPr="00EE003F" w:rsidRDefault="00EB0992" w:rsidP="001B688D">
            <w:pPr>
              <w:autoSpaceDE w:val="0"/>
              <w:autoSpaceDN w:val="0"/>
              <w:adjustRightInd w:val="0"/>
              <w:rPr>
                <w:rFonts w:ascii="Arial Narrow" w:hAnsi="Arial Narrow"/>
                <w:sz w:val="16"/>
                <w:szCs w:val="16"/>
              </w:rPr>
            </w:pPr>
          </w:p>
        </w:tc>
      </w:tr>
      <w:tr w:rsidR="00EB0992" w:rsidRPr="00EE003F" w:rsidTr="007F1620">
        <w:trPr>
          <w:trHeight w:val="60"/>
        </w:trPr>
        <w:tc>
          <w:tcPr>
            <w:tcW w:w="2013" w:type="dxa"/>
          </w:tcPr>
          <w:p w:rsidR="00EB0992" w:rsidRPr="00EE003F" w:rsidRDefault="00EB0992" w:rsidP="00EB0992">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89,9</w:t>
            </w:r>
          </w:p>
        </w:tc>
        <w:tc>
          <w:tcPr>
            <w:tcW w:w="236" w:type="dxa"/>
            <w:vMerge/>
          </w:tcPr>
          <w:p w:rsidR="00EB0992" w:rsidRPr="00EE003F" w:rsidRDefault="00EB0992" w:rsidP="001B688D">
            <w:pPr>
              <w:autoSpaceDE w:val="0"/>
              <w:autoSpaceDN w:val="0"/>
              <w:adjustRightInd w:val="0"/>
              <w:rPr>
                <w:rFonts w:ascii="Arial Narrow" w:hAnsi="Arial Narrow"/>
                <w:sz w:val="16"/>
                <w:szCs w:val="16"/>
              </w:rPr>
            </w:pPr>
          </w:p>
        </w:tc>
        <w:tc>
          <w:tcPr>
            <w:tcW w:w="3505" w:type="dxa"/>
            <w:vMerge/>
          </w:tcPr>
          <w:p w:rsidR="00EB0992" w:rsidRPr="00EE003F" w:rsidRDefault="00EB0992" w:rsidP="001B688D">
            <w:pPr>
              <w:autoSpaceDE w:val="0"/>
              <w:autoSpaceDN w:val="0"/>
              <w:adjustRightInd w:val="0"/>
              <w:rPr>
                <w:rFonts w:ascii="Arial Narrow" w:hAnsi="Arial Narrow"/>
                <w:sz w:val="16"/>
                <w:szCs w:val="16"/>
              </w:rPr>
            </w:pPr>
          </w:p>
        </w:tc>
      </w:tr>
      <w:tr w:rsidR="00EB0992" w:rsidRPr="00EE003F" w:rsidTr="007F1620">
        <w:trPr>
          <w:trHeight w:val="60"/>
        </w:trPr>
        <w:tc>
          <w:tcPr>
            <w:tcW w:w="2013"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104</w:t>
            </w:r>
          </w:p>
        </w:tc>
        <w:tc>
          <w:tcPr>
            <w:tcW w:w="236" w:type="dxa"/>
            <w:vMerge/>
          </w:tcPr>
          <w:p w:rsidR="00EB0992" w:rsidRPr="00EE003F" w:rsidRDefault="00EB0992" w:rsidP="001B688D">
            <w:pPr>
              <w:autoSpaceDE w:val="0"/>
              <w:autoSpaceDN w:val="0"/>
              <w:adjustRightInd w:val="0"/>
              <w:rPr>
                <w:rFonts w:ascii="Arial Narrow" w:hAnsi="Arial Narrow"/>
                <w:sz w:val="16"/>
                <w:szCs w:val="16"/>
              </w:rPr>
            </w:pPr>
          </w:p>
        </w:tc>
        <w:tc>
          <w:tcPr>
            <w:tcW w:w="3505" w:type="dxa"/>
            <w:vMerge/>
          </w:tcPr>
          <w:p w:rsidR="00EB0992" w:rsidRPr="00EE003F" w:rsidRDefault="00EB0992" w:rsidP="001B688D">
            <w:pPr>
              <w:autoSpaceDE w:val="0"/>
              <w:autoSpaceDN w:val="0"/>
              <w:adjustRightInd w:val="0"/>
              <w:rPr>
                <w:rFonts w:ascii="Arial Narrow" w:hAnsi="Arial Narrow"/>
                <w:sz w:val="16"/>
                <w:szCs w:val="16"/>
              </w:rPr>
            </w:pPr>
          </w:p>
        </w:tc>
      </w:tr>
      <w:tr w:rsidR="00EB0992" w:rsidRPr="00EE003F" w:rsidTr="007F1620">
        <w:trPr>
          <w:trHeight w:val="60"/>
        </w:trPr>
        <w:tc>
          <w:tcPr>
            <w:tcW w:w="2013"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82</w:t>
            </w:r>
          </w:p>
        </w:tc>
        <w:tc>
          <w:tcPr>
            <w:tcW w:w="236" w:type="dxa"/>
            <w:vMerge/>
          </w:tcPr>
          <w:p w:rsidR="00EB0992" w:rsidRPr="00EE003F" w:rsidRDefault="00EB0992" w:rsidP="001B688D">
            <w:pPr>
              <w:autoSpaceDE w:val="0"/>
              <w:autoSpaceDN w:val="0"/>
              <w:adjustRightInd w:val="0"/>
              <w:rPr>
                <w:rFonts w:ascii="Arial Narrow" w:hAnsi="Arial Narrow"/>
                <w:sz w:val="16"/>
                <w:szCs w:val="16"/>
              </w:rPr>
            </w:pPr>
          </w:p>
        </w:tc>
        <w:tc>
          <w:tcPr>
            <w:tcW w:w="3505" w:type="dxa"/>
            <w:vMerge/>
          </w:tcPr>
          <w:p w:rsidR="00EB0992" w:rsidRPr="00EE003F" w:rsidRDefault="00EB0992" w:rsidP="001B688D">
            <w:pPr>
              <w:autoSpaceDE w:val="0"/>
              <w:autoSpaceDN w:val="0"/>
              <w:adjustRightInd w:val="0"/>
              <w:rPr>
                <w:rFonts w:ascii="Arial Narrow" w:hAnsi="Arial Narrow"/>
                <w:sz w:val="16"/>
                <w:szCs w:val="16"/>
              </w:rPr>
            </w:pPr>
          </w:p>
        </w:tc>
      </w:tr>
      <w:tr w:rsidR="00EB0992" w:rsidRPr="00EE003F" w:rsidTr="007F1620">
        <w:trPr>
          <w:trHeight w:val="60"/>
        </w:trPr>
        <w:tc>
          <w:tcPr>
            <w:tcW w:w="2013" w:type="dxa"/>
          </w:tcPr>
          <w:p w:rsidR="00EB0992" w:rsidRPr="00EE003F" w:rsidRDefault="00EB0992"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EB0992" w:rsidRPr="00EE003F" w:rsidRDefault="007F1620" w:rsidP="001B688D">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MEF</w:t>
            </w:r>
          </w:p>
        </w:tc>
        <w:tc>
          <w:tcPr>
            <w:tcW w:w="236" w:type="dxa"/>
          </w:tcPr>
          <w:p w:rsidR="00EB0992" w:rsidRPr="00EE003F" w:rsidRDefault="00EB0992" w:rsidP="001B688D">
            <w:pPr>
              <w:autoSpaceDE w:val="0"/>
              <w:autoSpaceDN w:val="0"/>
              <w:adjustRightInd w:val="0"/>
              <w:rPr>
                <w:rFonts w:ascii="Arial Narrow" w:hAnsi="Arial Narrow"/>
                <w:sz w:val="16"/>
                <w:szCs w:val="16"/>
              </w:rPr>
            </w:pPr>
          </w:p>
        </w:tc>
        <w:tc>
          <w:tcPr>
            <w:tcW w:w="3505" w:type="dxa"/>
            <w:vMerge/>
          </w:tcPr>
          <w:p w:rsidR="00EB0992" w:rsidRPr="00EE003F" w:rsidRDefault="00EB0992" w:rsidP="001B688D">
            <w:pPr>
              <w:autoSpaceDE w:val="0"/>
              <w:autoSpaceDN w:val="0"/>
              <w:adjustRightInd w:val="0"/>
              <w:rPr>
                <w:rFonts w:ascii="Arial Narrow" w:hAnsi="Arial Narrow"/>
                <w:sz w:val="16"/>
                <w:szCs w:val="16"/>
              </w:rPr>
            </w:pPr>
          </w:p>
        </w:tc>
      </w:tr>
    </w:tbl>
    <w:p w:rsidR="00A9168C" w:rsidRPr="00EE003F" w:rsidRDefault="00A9168C" w:rsidP="00A9168C">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Deuda externa (% de deuda total)</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A9168C" w:rsidRPr="00EE003F" w:rsidTr="00CA23BB">
        <w:trPr>
          <w:trHeight w:val="60"/>
        </w:trPr>
        <w:tc>
          <w:tcPr>
            <w:tcW w:w="4027" w:type="dxa"/>
            <w:gridSpan w:val="2"/>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A9168C" w:rsidRPr="00EE003F" w:rsidRDefault="00A9168C" w:rsidP="00CA23BB">
            <w:pPr>
              <w:autoSpaceDE w:val="0"/>
              <w:autoSpaceDN w:val="0"/>
              <w:adjustRightInd w:val="0"/>
              <w:rPr>
                <w:rFonts w:ascii="Arial Narrow" w:hAnsi="Arial Narrow"/>
                <w:sz w:val="16"/>
                <w:szCs w:val="16"/>
              </w:rPr>
            </w:pPr>
          </w:p>
        </w:tc>
        <w:tc>
          <w:tcPr>
            <w:tcW w:w="3505"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A9168C" w:rsidRPr="00EE003F" w:rsidRDefault="00A9168C" w:rsidP="00CA23BB">
            <w:pPr>
              <w:autoSpaceDE w:val="0"/>
              <w:autoSpaceDN w:val="0"/>
              <w:adjustRightInd w:val="0"/>
              <w:rPr>
                <w:rFonts w:ascii="Arial Narrow" w:hAnsi="Arial Narrow"/>
                <w:sz w:val="16"/>
                <w:szCs w:val="16"/>
              </w:rPr>
            </w:pPr>
          </w:p>
        </w:tc>
        <w:tc>
          <w:tcPr>
            <w:tcW w:w="3505" w:type="dxa"/>
            <w:vMerge w:val="restart"/>
          </w:tcPr>
          <w:p w:rsidR="00A9168C" w:rsidRPr="00EE003F" w:rsidRDefault="00A9168C" w:rsidP="00CA23BB">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Muestra la proporción de deuda de gobierno en otras monedas distintas a la moneda local. Tiene utilidad porque permite analizar el grado de exposición cambiaria en escenarios de inestabilidad financiera internacional.</w:t>
            </w: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0 -100                    </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281"/>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2005-2019</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MEF</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(2015)</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47,6</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50,0</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45,8</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DGTEP - MEF</w:t>
            </w:r>
          </w:p>
        </w:tc>
        <w:tc>
          <w:tcPr>
            <w:tcW w:w="160" w:type="dxa"/>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bl>
    <w:p w:rsidR="00A9168C" w:rsidRPr="00EE003F" w:rsidRDefault="00A9168C" w:rsidP="00A9168C">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Doing Business</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A9168C" w:rsidRPr="00EE003F" w:rsidTr="00CA23BB">
        <w:trPr>
          <w:trHeight w:val="60"/>
        </w:trPr>
        <w:tc>
          <w:tcPr>
            <w:tcW w:w="4027" w:type="dxa"/>
            <w:gridSpan w:val="2"/>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A9168C" w:rsidRPr="00EE003F" w:rsidRDefault="00A9168C" w:rsidP="00CA23BB">
            <w:pPr>
              <w:autoSpaceDE w:val="0"/>
              <w:autoSpaceDN w:val="0"/>
              <w:adjustRightInd w:val="0"/>
              <w:rPr>
                <w:rFonts w:ascii="Arial Narrow" w:hAnsi="Arial Narrow"/>
                <w:sz w:val="16"/>
                <w:szCs w:val="16"/>
              </w:rPr>
            </w:pPr>
          </w:p>
        </w:tc>
        <w:tc>
          <w:tcPr>
            <w:tcW w:w="3505"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60" w:type="dxa"/>
            <w:vMerge w:val="restart"/>
          </w:tcPr>
          <w:p w:rsidR="00A9168C" w:rsidRPr="00EE003F" w:rsidRDefault="00A9168C" w:rsidP="00CA23BB">
            <w:pPr>
              <w:autoSpaceDE w:val="0"/>
              <w:autoSpaceDN w:val="0"/>
              <w:adjustRightInd w:val="0"/>
              <w:rPr>
                <w:rFonts w:ascii="Arial Narrow" w:hAnsi="Arial Narrow"/>
                <w:sz w:val="16"/>
                <w:szCs w:val="16"/>
              </w:rPr>
            </w:pPr>
          </w:p>
        </w:tc>
        <w:tc>
          <w:tcPr>
            <w:tcW w:w="3505" w:type="dxa"/>
            <w:vMerge w:val="restart"/>
          </w:tcPr>
          <w:p w:rsidR="00A9168C" w:rsidRPr="00EE003F" w:rsidRDefault="00A9168C" w:rsidP="00CA23BB">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Mide la facilidad de hacer negocios en un país. Se basa en una encuesta realizada a las empresas del sector privado, las pequeñas y medianas empresas de diferentes países acerca de las leyes y reglamentos en relación a los diez subíndices que compone el indicador: apertura de una empresa, manejo de permisos de construcción, empleo de los trabajadores, registro de propiedades, obtención de crédito, protección de los inversores, pago de impuestos, comercio transfronterizo, cumplimiento de contratos y cierre de una empresa.</w:t>
            </w: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1-180</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281"/>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2015</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Banco Mundial</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(2015)</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50</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48</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sz w:val="16"/>
                <w:szCs w:val="16"/>
                <w:lang w:val="es-ES_tradnl"/>
              </w:rPr>
              <w:t>38</w:t>
            </w:r>
          </w:p>
        </w:tc>
        <w:tc>
          <w:tcPr>
            <w:tcW w:w="160" w:type="dxa"/>
            <w:vMerge/>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r w:rsidR="00A9168C" w:rsidRPr="00EE003F" w:rsidTr="00CA23BB">
        <w:trPr>
          <w:trHeight w:val="60"/>
        </w:trPr>
        <w:tc>
          <w:tcPr>
            <w:tcW w:w="2013"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A9168C" w:rsidRPr="00EE003F" w:rsidRDefault="00A9168C" w:rsidP="00CA23BB">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A9168C" w:rsidRPr="00EE003F" w:rsidRDefault="00A9168C" w:rsidP="00CA23BB">
            <w:pPr>
              <w:autoSpaceDE w:val="0"/>
              <w:autoSpaceDN w:val="0"/>
              <w:adjustRightInd w:val="0"/>
              <w:rPr>
                <w:rFonts w:ascii="Arial Narrow" w:hAnsi="Arial Narrow"/>
                <w:sz w:val="16"/>
                <w:szCs w:val="16"/>
              </w:rPr>
            </w:pPr>
          </w:p>
        </w:tc>
        <w:tc>
          <w:tcPr>
            <w:tcW w:w="3505" w:type="dxa"/>
            <w:vMerge/>
          </w:tcPr>
          <w:p w:rsidR="00A9168C" w:rsidRPr="00EE003F" w:rsidRDefault="00A9168C" w:rsidP="00CA23BB">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Exportaciones de productos de alta tecnología (% de exportaciones manufacturadas)</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Este indicador mide las exportaciones de productos de alta tecnología altamente intensivos en I+D, como son los productos de las industrias aeroespacial, informática, farmacéutica y de maquinaria eléctrica</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281"/>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2003-2013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Banco Mundial</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(2013)</w:t>
            </w:r>
          </w:p>
        </w:tc>
        <w:tc>
          <w:tcPr>
            <w:tcW w:w="2014" w:type="dxa"/>
          </w:tcPr>
          <w:p w:rsidR="00375169" w:rsidRPr="00EE003F" w:rsidRDefault="00375169" w:rsidP="007F1620">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w:t>
            </w:r>
            <w:r w:rsidR="007F1620" w:rsidRPr="00EE003F">
              <w:rPr>
                <w:rFonts w:ascii="Arial Narrow" w:hAnsi="Arial Narrow" w:cs="Swis721 LtCn BT"/>
                <w:sz w:val="16"/>
                <w:szCs w:val="16"/>
                <w:lang w:val="es-ES_tradnl"/>
              </w:rPr>
              <w:t>,57</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7F1620"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3,88</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7F1620"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4,45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340"/>
        <w:rPr>
          <w:rStyle w:val="negritanombre"/>
          <w:rFonts w:ascii="Arial Narrow" w:hAnsi="Arial Narrow"/>
          <w:color w:val="auto"/>
          <w:sz w:val="16"/>
          <w:szCs w:val="16"/>
        </w:rPr>
      </w:pPr>
      <w:r w:rsidRPr="00EE003F">
        <w:rPr>
          <w:rStyle w:val="negritanombre"/>
          <w:rFonts w:ascii="Arial Narrow" w:hAnsi="Arial Narrow"/>
          <w:color w:val="auto"/>
          <w:sz w:val="16"/>
          <w:szCs w:val="16"/>
        </w:rPr>
        <w:t xml:space="preserve">EJE 5 </w:t>
      </w:r>
    </w:p>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Porcentaje de participación del valor agregado bruto departamental (exceptuando Lima) sobre el valor agregado bruto total</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El valor agregado bruto se define como el valor adicional que gana un bien o servicio en cada etapa de producción. En ese sentido, este indicador muestra la proporción del valor agregado bruto total que es elaborado al interior del país en las diferentes actividades productivas.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0 - 100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2007-2014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INEI</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50,84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50,71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51,30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Densidad del Estado</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Es una medición sobre un conjunto de servicios básicos como identidad, salud, educación, saneamiento y electrificación que reciben los ciudadanos, necesarios para dotarles de mayores capacidades y oportunidades en el tránsito hacia el desarrollo humano.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0 - 1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2010 - 2012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suppressAutoHyphens/>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PNUD</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(2012)</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0,77</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0,78</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0,80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Ratio del salario rural por hora sobre el salario urbano por hora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Indicador que permite medir las diferencias o desigualdades salariales por hora de la actividad principal generados entre los sectores urbano y rural de un país.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0 - 100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2007 - 2012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SEDLAC</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(2012)</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63,11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72,90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83,70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la calidad de la infraestructura total</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Es una medida de la valoración de la calidad de la infraestructura total existente en un país. La evaluación se realiza a través de una encuesta de opinión que se aplica a empresarios, académicos y líderes empresariales. Los tipos de infraestructura que se valoran son las carreteras, las vías ferroviarias, los puertos, los aeropuertos, el suministro eléctrico y las líneas telefónicas.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1 - 7</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2006-2007 / 2015-2016</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WEF</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(2015-2016)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3,15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3,30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4,12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negritanombre"/>
          <w:rFonts w:ascii="Arial Narrow" w:hAnsi="Arial Narrow"/>
          <w:color w:val="auto"/>
          <w:sz w:val="16"/>
          <w:szCs w:val="16"/>
        </w:rPr>
      </w:pPr>
      <w:r w:rsidRPr="00EE003F">
        <w:rPr>
          <w:rStyle w:val="negritanombre"/>
          <w:rFonts w:ascii="Arial Narrow" w:hAnsi="Arial Narrow"/>
          <w:color w:val="auto"/>
          <w:sz w:val="16"/>
          <w:szCs w:val="16"/>
        </w:rPr>
        <w:t xml:space="preserve">EJE 6 </w:t>
      </w:r>
    </w:p>
    <w:p w:rsidR="00375169" w:rsidRPr="00EE003F" w:rsidRDefault="00375169" w:rsidP="00375169">
      <w:pPr>
        <w:rPr>
          <w:rStyle w:val="cuerpodetexto"/>
          <w:rFonts w:ascii="Arial Narrow" w:hAnsi="Arial Narrow"/>
          <w:color w:val="auto"/>
          <w:sz w:val="16"/>
          <w:szCs w:val="16"/>
        </w:rPr>
      </w:pPr>
      <w:r w:rsidRPr="00EE003F">
        <w:rPr>
          <w:rStyle w:val="cuerpodetexto"/>
          <w:rFonts w:ascii="Arial Narrow" w:hAnsi="Arial Narrow"/>
          <w:color w:val="auto"/>
          <w:sz w:val="16"/>
          <w:szCs w:val="16"/>
        </w:rPr>
        <w:t>Índice de Desempeño Ambiental</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7F1620">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7F1620">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Índice</w:t>
            </w:r>
          </w:p>
        </w:tc>
        <w:tc>
          <w:tcPr>
            <w:tcW w:w="236"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Es un método para cuantificar y clasificar el desempeño ambiental de las políticas de un país. Permite determinar la protección de la salud humana del daño ambiental y la protección de los ecosistemas.</w:t>
            </w:r>
          </w:p>
        </w:tc>
      </w:tr>
      <w:tr w:rsidR="006E3336" w:rsidRPr="00EE003F" w:rsidTr="007F1620">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7728FB" w:rsidRPr="00EE003F" w:rsidTr="007F1620">
        <w:trPr>
          <w:trHeight w:val="60"/>
        </w:trPr>
        <w:tc>
          <w:tcPr>
            <w:tcW w:w="2013" w:type="dxa"/>
          </w:tcPr>
          <w:p w:rsidR="007728FB" w:rsidRPr="00EE003F" w:rsidRDefault="007728FB" w:rsidP="00060401">
            <w:pPr>
              <w:autoSpaceDE w:val="0"/>
              <w:autoSpaceDN w:val="0"/>
              <w:adjustRightInd w:val="0"/>
              <w:spacing w:line="288" w:lineRule="auto"/>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Período</w:t>
            </w:r>
          </w:p>
        </w:tc>
        <w:tc>
          <w:tcPr>
            <w:tcW w:w="2014" w:type="dxa"/>
          </w:tcPr>
          <w:p w:rsidR="007728FB" w:rsidRPr="00EE003F" w:rsidRDefault="007728FB" w:rsidP="00060401">
            <w:pPr>
              <w:autoSpaceDE w:val="0"/>
              <w:autoSpaceDN w:val="0"/>
              <w:adjustRightInd w:val="0"/>
              <w:spacing w:line="288" w:lineRule="auto"/>
              <w:textAlignment w:val="center"/>
              <w:rPr>
                <w:rFonts w:ascii="Arial Narrow" w:hAnsi="Arial Narrow" w:cs="Swis721 LtCn BT"/>
                <w:sz w:val="16"/>
                <w:szCs w:val="16"/>
                <w:lang w:val="es-ES_tradnl"/>
              </w:rPr>
            </w:pPr>
            <w:r w:rsidRPr="00EE003F">
              <w:rPr>
                <w:rFonts w:ascii="Arial Narrow" w:hAnsi="Arial Narrow" w:cs="Swis721 LtCn BT"/>
                <w:sz w:val="16"/>
                <w:szCs w:val="16"/>
                <w:lang w:val="es-ES_tradnl"/>
              </w:rPr>
              <w:t>2002-2014</w:t>
            </w:r>
          </w:p>
        </w:tc>
        <w:tc>
          <w:tcPr>
            <w:tcW w:w="236" w:type="dxa"/>
            <w:vMerge/>
          </w:tcPr>
          <w:p w:rsidR="007728FB" w:rsidRPr="00EE003F" w:rsidRDefault="007728FB" w:rsidP="00060401">
            <w:pPr>
              <w:autoSpaceDE w:val="0"/>
              <w:autoSpaceDN w:val="0"/>
              <w:adjustRightInd w:val="0"/>
              <w:rPr>
                <w:rFonts w:ascii="Arial Narrow" w:hAnsi="Arial Narrow"/>
                <w:sz w:val="16"/>
                <w:szCs w:val="16"/>
              </w:rPr>
            </w:pPr>
          </w:p>
        </w:tc>
        <w:tc>
          <w:tcPr>
            <w:tcW w:w="3505" w:type="dxa"/>
            <w:vMerge/>
          </w:tcPr>
          <w:p w:rsidR="007728FB" w:rsidRPr="00EE003F" w:rsidRDefault="007728FB" w:rsidP="00060401">
            <w:pPr>
              <w:autoSpaceDE w:val="0"/>
              <w:autoSpaceDN w:val="0"/>
              <w:adjustRightInd w:val="0"/>
              <w:rPr>
                <w:rFonts w:ascii="Arial Narrow" w:hAnsi="Arial Narrow"/>
                <w:sz w:val="16"/>
                <w:szCs w:val="16"/>
              </w:rPr>
            </w:pPr>
          </w:p>
        </w:tc>
      </w:tr>
      <w:tr w:rsidR="006E3336" w:rsidRPr="00EE003F" w:rsidTr="007F1620">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Universidad de Yale</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F1620">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7728F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45,1</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F1620">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7728F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47,</w:t>
            </w:r>
            <w:r w:rsidR="007F1620" w:rsidRPr="00EE003F">
              <w:rPr>
                <w:rFonts w:ascii="Arial Narrow" w:hAnsi="Arial Narrow" w:cs="Swis721 LtCn BT"/>
                <w:sz w:val="16"/>
                <w:szCs w:val="16"/>
                <w:lang w:val="es-ES_tradnl"/>
              </w:rPr>
              <w:t>7</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F1620">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7728FB"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50,4</w:t>
            </w:r>
          </w:p>
        </w:tc>
        <w:tc>
          <w:tcPr>
            <w:tcW w:w="236"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7F1620">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236"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Porcentaje de ciudades prioritarias con valores anuales de PM10 que cumplen con el ECA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 xml:space="preserve">Porcentaje </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Las ciudades prioritarias son zonas de atención especialmente seleccionadas por el Ministerio del Ambiente para ejecutar la implementación de los “Planes de Acción de Mejora de la Calidad del Aire”, en base a su alta densidad poblacional por hectárea, la presencia de actividades económicas que afectan la calidad del aire y la incidencia de enfermedades respiratorias con respecto al promedio nacional. Dichas ciudades deben cumplir con el estándar de calidad del aire (ECA) de PM10 (partículas sólidas suspendidas de menos de 10 micrones de diámetro).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Minam</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16</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81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Minam</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 xml:space="preserve">Porcentaje de productores agrícolas con riego tecnificado </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Muestra el porcentaje del área total destinada para la agricultura se encuentra equipada con algún sistema de irrigación tecnificado.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0 - 100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2010-2013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IV Censo nacional agropecuario - 2012 publicado el 2015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(2013)</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10,4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12,0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15,0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Minagri</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Porcentaje de áreas terrestres y marinas protegidas respecto a la superficie territorial total</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Las áreas naturales protegidas se definen como aquellos espacios continentales y/o marinos del territorio nacional que son reconocidos, establecidos y protegidos legalmente por el Estado, debido a su importancia para la conservación de la diversidad biológica. El indicador muestra qué porcentaje de dichas áreas no han sido vulneradas por la actividad humana.</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2010 - 2012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Naciones Unidas</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(2012)</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19,06</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27,12</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32,63</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Emisiones de CO</w:t>
      </w:r>
      <w:r w:rsidRPr="00EE003F">
        <w:rPr>
          <w:rStyle w:val="cuerpodetexto"/>
          <w:rFonts w:ascii="Arial Narrow" w:hAnsi="Arial Narrow"/>
          <w:color w:val="auto"/>
          <w:sz w:val="16"/>
          <w:szCs w:val="16"/>
          <w:vertAlign w:val="subscript"/>
        </w:rPr>
        <w:t>2</w:t>
      </w:r>
      <w:r w:rsidRPr="00EE003F">
        <w:rPr>
          <w:rStyle w:val="cuerpodetexto"/>
          <w:rFonts w:ascii="Arial Narrow" w:hAnsi="Arial Narrow"/>
          <w:color w:val="auto"/>
          <w:sz w:val="16"/>
          <w:szCs w:val="16"/>
        </w:rPr>
        <w:t xml:space="preserve"> (toneladas métricas per cápita)</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Toneladas métrica - TM</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Las emisiones de dióxido de carbono son gases que reflejan el grado de contaminación de un país. Provienen de la quema de combustibles fósiles y de la fabricación del cemento. Incluyen el dióxido de carbono producido durante el consumo de combustibles sólidos, líquidos, gaseosos y de la quema de gas.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1990 - 2010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suppressAutoHyphens/>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Centro de Análisis de Información sobre Dióxido de Carbono (CDIAC) – Departamento de Energía de los Estados Unidos</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(2010)</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1,97</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2,41</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281"/>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2,70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pStyle w:val="BasicParagraph"/>
        <w:spacing w:before="227"/>
        <w:rPr>
          <w:rStyle w:val="cuerpodetexto"/>
          <w:rFonts w:ascii="Arial Narrow" w:hAnsi="Arial Narrow"/>
          <w:color w:val="auto"/>
          <w:sz w:val="16"/>
          <w:szCs w:val="16"/>
        </w:rPr>
      </w:pPr>
      <w:r w:rsidRPr="00EE003F">
        <w:rPr>
          <w:rStyle w:val="cuerpodetexto"/>
          <w:rFonts w:ascii="Arial Narrow" w:hAnsi="Arial Narrow"/>
          <w:color w:val="auto"/>
          <w:sz w:val="16"/>
          <w:szCs w:val="16"/>
        </w:rPr>
        <w:t>Indicador de Vulnerabilidad</w:t>
      </w:r>
    </w:p>
    <w:tbl>
      <w:tblPr>
        <w:tblStyle w:val="Tablaconcuadrcula"/>
        <w:tblW w:w="0" w:type="auto"/>
        <w:tblLayout w:type="fixed"/>
        <w:tblLook w:val="0000" w:firstRow="0" w:lastRow="0" w:firstColumn="0" w:lastColumn="0" w:noHBand="0" w:noVBand="0"/>
      </w:tblPr>
      <w:tblGrid>
        <w:gridCol w:w="2013"/>
        <w:gridCol w:w="2014"/>
        <w:gridCol w:w="236"/>
        <w:gridCol w:w="3505"/>
      </w:tblGrid>
      <w:tr w:rsidR="006E3336" w:rsidRPr="00EE003F" w:rsidTr="00060401">
        <w:trPr>
          <w:trHeight w:val="60"/>
        </w:trPr>
        <w:tc>
          <w:tcPr>
            <w:tcW w:w="4027" w:type="dxa"/>
            <w:gridSpan w:val="2"/>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Características generales</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Cn BT"/>
                <w:b/>
                <w:bCs/>
                <w:sz w:val="16"/>
                <w:szCs w:val="16"/>
                <w:lang w:val="es-ES_tradnl"/>
              </w:rPr>
              <w:t>Concepto</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Unidad de medida</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Porcentaje</w:t>
            </w:r>
          </w:p>
        </w:tc>
        <w:tc>
          <w:tcPr>
            <w:tcW w:w="160" w:type="dxa"/>
            <w:vMerge w:val="restart"/>
          </w:tcPr>
          <w:p w:rsidR="00375169" w:rsidRPr="00EE003F" w:rsidRDefault="00375169" w:rsidP="00060401">
            <w:pPr>
              <w:autoSpaceDE w:val="0"/>
              <w:autoSpaceDN w:val="0"/>
              <w:adjustRightInd w:val="0"/>
              <w:rPr>
                <w:rFonts w:ascii="Arial Narrow" w:hAnsi="Arial Narrow"/>
                <w:sz w:val="16"/>
                <w:szCs w:val="16"/>
              </w:rPr>
            </w:pPr>
          </w:p>
        </w:tc>
        <w:tc>
          <w:tcPr>
            <w:tcW w:w="3505" w:type="dxa"/>
            <w:vMerge w:val="restart"/>
          </w:tcPr>
          <w:p w:rsidR="00375169" w:rsidRPr="00EE003F" w:rsidRDefault="00375169" w:rsidP="00060401">
            <w:pPr>
              <w:suppressAutoHyphens/>
              <w:autoSpaceDE w:val="0"/>
              <w:autoSpaceDN w:val="0"/>
              <w:adjustRightInd w:val="0"/>
              <w:spacing w:line="288" w:lineRule="auto"/>
              <w:jc w:val="both"/>
              <w:textAlignment w:val="center"/>
              <w:rPr>
                <w:rFonts w:ascii="Arial Narrow" w:hAnsi="Arial Narrow"/>
                <w:sz w:val="16"/>
                <w:szCs w:val="16"/>
                <w:lang w:val="es-ES_tradnl"/>
              </w:rPr>
            </w:pPr>
            <w:r w:rsidRPr="00EE003F">
              <w:rPr>
                <w:rFonts w:ascii="Arial Narrow" w:hAnsi="Arial Narrow" w:cs="Swis721 LtCn BT"/>
                <w:sz w:val="16"/>
                <w:szCs w:val="16"/>
                <w:lang w:val="es-ES_tradnl"/>
              </w:rPr>
              <w:t>Indicador relacionado a los factores sociales, físicos, económicos y ambientales que hacen a las personas o a los sistemas susceptibles a los impactos de los desastres naturales o a los efectos negativos del cambio climático. Un mayor valor en el indicador significa mayor susceptibilidad y menor capacidad de adaptación ante la ocurrencia de desastres naturales.</w:t>
            </w: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Rango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0 - 100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Periodo</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2012-2014</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Fuente</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United Nations University</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Dato más reciente disponible (2014)</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48,00</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2016</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44,55</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 2021</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41,09</w:t>
            </w:r>
          </w:p>
        </w:tc>
        <w:tc>
          <w:tcPr>
            <w:tcW w:w="160" w:type="dxa"/>
            <w:vMerge/>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r w:rsidR="006E3336" w:rsidRPr="00EE003F" w:rsidTr="00060401">
        <w:trPr>
          <w:trHeight w:val="60"/>
        </w:trPr>
        <w:tc>
          <w:tcPr>
            <w:tcW w:w="2013"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Metas propuestas por</w:t>
            </w:r>
          </w:p>
        </w:tc>
        <w:tc>
          <w:tcPr>
            <w:tcW w:w="2014" w:type="dxa"/>
          </w:tcPr>
          <w:p w:rsidR="00375169" w:rsidRPr="00EE003F" w:rsidRDefault="00375169" w:rsidP="00060401">
            <w:pPr>
              <w:autoSpaceDE w:val="0"/>
              <w:autoSpaceDN w:val="0"/>
              <w:adjustRightInd w:val="0"/>
              <w:spacing w:line="288" w:lineRule="auto"/>
              <w:textAlignment w:val="center"/>
              <w:rPr>
                <w:rFonts w:ascii="Arial Narrow" w:hAnsi="Arial Narrow"/>
                <w:sz w:val="16"/>
                <w:szCs w:val="16"/>
                <w:lang w:val="es-ES_tradnl"/>
              </w:rPr>
            </w:pPr>
            <w:r w:rsidRPr="00EE003F">
              <w:rPr>
                <w:rFonts w:ascii="Arial Narrow" w:hAnsi="Arial Narrow" w:cs="Swis721 LtCn BT"/>
                <w:sz w:val="16"/>
                <w:szCs w:val="16"/>
                <w:lang w:val="es-ES_tradnl"/>
              </w:rPr>
              <w:t>Ceplan</w:t>
            </w:r>
          </w:p>
        </w:tc>
        <w:tc>
          <w:tcPr>
            <w:tcW w:w="160" w:type="dxa"/>
          </w:tcPr>
          <w:p w:rsidR="00375169" w:rsidRPr="00EE003F" w:rsidRDefault="00375169" w:rsidP="00060401">
            <w:pPr>
              <w:autoSpaceDE w:val="0"/>
              <w:autoSpaceDN w:val="0"/>
              <w:adjustRightInd w:val="0"/>
              <w:rPr>
                <w:rFonts w:ascii="Arial Narrow" w:hAnsi="Arial Narrow"/>
                <w:sz w:val="16"/>
                <w:szCs w:val="16"/>
              </w:rPr>
            </w:pPr>
          </w:p>
        </w:tc>
        <w:tc>
          <w:tcPr>
            <w:tcW w:w="3505" w:type="dxa"/>
            <w:vMerge/>
          </w:tcPr>
          <w:p w:rsidR="00375169" w:rsidRPr="00EE003F" w:rsidRDefault="00375169" w:rsidP="00060401">
            <w:pPr>
              <w:autoSpaceDE w:val="0"/>
              <w:autoSpaceDN w:val="0"/>
              <w:adjustRightInd w:val="0"/>
              <w:rPr>
                <w:rFonts w:ascii="Arial Narrow" w:hAnsi="Arial Narrow"/>
                <w:sz w:val="16"/>
                <w:szCs w:val="16"/>
              </w:rPr>
            </w:pPr>
          </w:p>
        </w:tc>
      </w:tr>
    </w:tbl>
    <w:p w:rsidR="00375169" w:rsidRPr="00EE003F" w:rsidRDefault="00375169" w:rsidP="00375169">
      <w:pPr>
        <w:rPr>
          <w:rFonts w:ascii="Arial Narrow" w:hAnsi="Arial Narrow"/>
          <w:sz w:val="16"/>
          <w:szCs w:val="16"/>
        </w:rPr>
      </w:pPr>
    </w:p>
    <w:p w:rsidR="00A450DA" w:rsidRPr="00EE003F" w:rsidRDefault="00A450DA">
      <w:pPr>
        <w:rPr>
          <w:rFonts w:ascii="Arial Narrow" w:hAnsi="Arial Narrow"/>
        </w:rPr>
      </w:pPr>
      <w:r w:rsidRPr="00EE003F">
        <w:rPr>
          <w:rFonts w:ascii="Arial Narrow" w:hAnsi="Arial Narrow"/>
        </w:rPr>
        <w:br w:type="page"/>
      </w:r>
    </w:p>
    <w:p w:rsidR="0002693C" w:rsidRPr="00EE003F" w:rsidRDefault="0002693C" w:rsidP="00EF313F">
      <w:pPr>
        <w:pStyle w:val="Ttulo2"/>
        <w:jc w:val="left"/>
        <w:rPr>
          <w:rFonts w:asciiTheme="minorHAnsi" w:hAnsiTheme="minorHAnsi"/>
          <w:lang w:val="es-ES_tradnl"/>
        </w:rPr>
      </w:pPr>
      <w:bookmarkStart w:id="45" w:name="_Toc453004680"/>
      <w:r w:rsidRPr="00EE003F">
        <w:rPr>
          <w:rFonts w:asciiTheme="minorHAnsi" w:hAnsiTheme="minorHAnsi"/>
          <w:lang w:val="es-ES_tradnl"/>
        </w:rPr>
        <w:t>Referencias bibliográficas</w:t>
      </w:r>
      <w:bookmarkEnd w:id="45"/>
    </w:p>
    <w:p w:rsidR="00EF313F" w:rsidRPr="00EE003F" w:rsidRDefault="00EF313F" w:rsidP="0002693C">
      <w:pPr>
        <w:rPr>
          <w:rFonts w:ascii="Arial Narrow" w:hAnsi="Arial Narrow"/>
          <w:sz w:val="24"/>
          <w:szCs w:val="24"/>
        </w:rPr>
      </w:pPr>
    </w:p>
    <w:p w:rsidR="0002693C" w:rsidRPr="00EE003F" w:rsidRDefault="0002693C" w:rsidP="0002693C">
      <w:pPr>
        <w:rPr>
          <w:rFonts w:ascii="Arial Narrow" w:hAnsi="Arial Narrow"/>
          <w:sz w:val="24"/>
          <w:szCs w:val="24"/>
        </w:rPr>
      </w:pPr>
      <w:r w:rsidRPr="00EE003F">
        <w:rPr>
          <w:rFonts w:ascii="Arial Narrow" w:hAnsi="Arial Narrow"/>
          <w:sz w:val="24"/>
          <w:szCs w:val="24"/>
        </w:rPr>
        <w:t>DISPOSICIONES O PROYECTOS NORMATIVOS</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Constitución Política del Perú (1993).</w:t>
      </w:r>
    </w:p>
    <w:p w:rsidR="0002693C" w:rsidRPr="00EE003F" w:rsidRDefault="0002693C" w:rsidP="00527650">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Consejo Nacional de Ciencia y Tecnología. Decreto Supremo N° 01-2006-ED que aprueba el Plan Nacional Estratégico de Ciencia, Tecnología e Innovación para la</w:t>
      </w:r>
      <w:r w:rsidR="00527650" w:rsidRPr="00EE003F">
        <w:rPr>
          <w:rFonts w:ascii="Arial Narrow" w:hAnsi="Arial Narrow"/>
          <w:sz w:val="24"/>
          <w:szCs w:val="24"/>
        </w:rPr>
        <w:t xml:space="preserve"> </w:t>
      </w:r>
      <w:r w:rsidRPr="00EE003F">
        <w:rPr>
          <w:rFonts w:ascii="Arial Narrow" w:hAnsi="Arial Narrow"/>
          <w:sz w:val="24"/>
          <w:szCs w:val="24"/>
        </w:rPr>
        <w:t>Competitividad y el Desarrollo Humano 2006-2021.</w:t>
      </w:r>
    </w:p>
    <w:p w:rsidR="00082490" w:rsidRPr="00EE003F" w:rsidRDefault="00082490" w:rsidP="00527650">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 xml:space="preserve">Perú, </w:t>
      </w:r>
      <w:r w:rsidR="00527650" w:rsidRPr="00EE003F">
        <w:rPr>
          <w:rFonts w:ascii="Arial Narrow" w:hAnsi="Arial Narrow"/>
          <w:sz w:val="24"/>
          <w:szCs w:val="24"/>
        </w:rPr>
        <w:t xml:space="preserve">Consejo Nacional de Competitividad. </w:t>
      </w:r>
      <w:r w:rsidRPr="00EE003F">
        <w:rPr>
          <w:rFonts w:ascii="Arial Narrow" w:hAnsi="Arial Narrow"/>
          <w:sz w:val="24"/>
          <w:szCs w:val="24"/>
        </w:rPr>
        <w:t>Agenda de Competitividad 2014–2018, Rumbo al Bicentenario</w:t>
      </w:r>
      <w:r w:rsidR="00527650" w:rsidRPr="00EE003F">
        <w:rPr>
          <w:rFonts w:ascii="Arial Narrow" w:hAnsi="Arial Narrow"/>
          <w:sz w:val="24"/>
          <w:szCs w:val="24"/>
        </w:rPr>
        <w:t>.</w:t>
      </w:r>
    </w:p>
    <w:p w:rsidR="0002693C" w:rsidRPr="00EE003F" w:rsidRDefault="0002693C" w:rsidP="00527650">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Contraloría General de la República. Resolución de Contraloría N-° 039-2012-CG que aprueba el Plan Estratégico Institucional 2012-2014.</w:t>
      </w:r>
    </w:p>
    <w:p w:rsidR="0002693C" w:rsidRPr="00EE003F" w:rsidRDefault="0002693C" w:rsidP="00527650">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Fondo de Inversión en Telecomunicaciones. Plan Estratégico Institucional 2012-2016 aprobado en Sesión de Directorio N° 08-2012.</w:t>
      </w:r>
    </w:p>
    <w:p w:rsidR="0002693C" w:rsidRPr="00EE003F" w:rsidRDefault="0002693C" w:rsidP="00527650">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Amazonas. Ordenanza Regional N˚244 que aprueba el</w:t>
      </w:r>
      <w:r w:rsidR="00527650" w:rsidRPr="00EE003F">
        <w:rPr>
          <w:rFonts w:ascii="Arial Narrow" w:hAnsi="Arial Narrow"/>
          <w:sz w:val="24"/>
          <w:szCs w:val="24"/>
        </w:rPr>
        <w:t xml:space="preserve"> </w:t>
      </w:r>
      <w:r w:rsidRPr="00EE003F">
        <w:rPr>
          <w:rFonts w:ascii="Arial Narrow" w:hAnsi="Arial Narrow"/>
          <w:sz w:val="24"/>
          <w:szCs w:val="24"/>
        </w:rPr>
        <w:t>Plan de Desarrollo Regional Concertado 2009-2021 de la región Amazonas.</w:t>
      </w:r>
    </w:p>
    <w:p w:rsidR="0002693C" w:rsidRPr="00EE003F" w:rsidRDefault="0002693C" w:rsidP="00A450DA">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Ancash. Ordenanza Regional N˚005-2015-GRA/CR</w:t>
      </w:r>
      <w:r w:rsidR="00527650" w:rsidRPr="00EE003F">
        <w:rPr>
          <w:rFonts w:ascii="Arial Narrow" w:hAnsi="Arial Narrow"/>
          <w:sz w:val="24"/>
          <w:szCs w:val="24"/>
        </w:rPr>
        <w:t xml:space="preserve"> </w:t>
      </w:r>
      <w:r w:rsidRPr="00EE003F">
        <w:rPr>
          <w:rFonts w:ascii="Arial Narrow" w:hAnsi="Arial Narrow"/>
          <w:sz w:val="24"/>
          <w:szCs w:val="24"/>
        </w:rPr>
        <w:t>que aprueba el inicio del proceso de actualización del Plan de Desarrollo Regional</w:t>
      </w:r>
      <w:r w:rsidR="00527650" w:rsidRPr="00EE003F">
        <w:rPr>
          <w:rFonts w:ascii="Arial Narrow" w:hAnsi="Arial Narrow"/>
          <w:sz w:val="24"/>
          <w:szCs w:val="24"/>
        </w:rPr>
        <w:t xml:space="preserve"> </w:t>
      </w:r>
      <w:r w:rsidRPr="00EE003F">
        <w:rPr>
          <w:rFonts w:ascii="Arial Narrow" w:hAnsi="Arial Narrow"/>
          <w:sz w:val="24"/>
          <w:szCs w:val="24"/>
        </w:rPr>
        <w:t>Concertado(PDRC) de la región Ancash 2008-2021.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Apurímac. Ordenanza Regional N˚056-2010-CR-Apurímac</w:t>
      </w:r>
      <w:r w:rsidR="00705542" w:rsidRPr="00EE003F">
        <w:rPr>
          <w:rFonts w:ascii="Arial Narrow" w:hAnsi="Arial Narrow"/>
          <w:sz w:val="24"/>
          <w:szCs w:val="24"/>
        </w:rPr>
        <w:t xml:space="preserve"> </w:t>
      </w:r>
      <w:r w:rsidRPr="00EE003F">
        <w:rPr>
          <w:rFonts w:ascii="Arial Narrow" w:hAnsi="Arial Narrow"/>
          <w:sz w:val="24"/>
          <w:szCs w:val="24"/>
        </w:rPr>
        <w:t>que aprueba el “Plan de Desarrollo Regional Concertado de Apurímac 2011-2021”.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Arequipa. Ordenanza Regional N˚309-2003/GRAAREQUIPA</w:t>
      </w:r>
      <w:r w:rsidR="00705542" w:rsidRPr="00EE003F">
        <w:rPr>
          <w:rFonts w:ascii="Arial Narrow" w:hAnsi="Arial Narrow"/>
          <w:sz w:val="24"/>
          <w:szCs w:val="24"/>
        </w:rPr>
        <w:t xml:space="preserve"> </w:t>
      </w:r>
      <w:r w:rsidRPr="00EE003F">
        <w:rPr>
          <w:rFonts w:ascii="Arial Narrow" w:hAnsi="Arial Narrow"/>
          <w:sz w:val="24"/>
          <w:szCs w:val="24"/>
        </w:rPr>
        <w:t>que aprueba el inicio del proceso de actualización del Plan de Desarrollo</w:t>
      </w:r>
    </w:p>
    <w:p w:rsidR="00705542"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Regional Concertado 2013-2021.</w:t>
      </w:r>
      <w:r w:rsidR="00705542" w:rsidRPr="00EE003F">
        <w:rPr>
          <w:rFonts w:ascii="Arial Narrow" w:hAnsi="Arial Narrow"/>
          <w:sz w:val="24"/>
          <w:szCs w:val="24"/>
        </w:rPr>
        <w:t xml:space="preserve"> </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Ayacucho. Ordenanza Regional N˚005-2013/GRA/CR que</w:t>
      </w:r>
      <w:r w:rsidR="00705542" w:rsidRPr="00EE003F">
        <w:rPr>
          <w:rFonts w:ascii="Arial Narrow" w:hAnsi="Arial Narrow"/>
          <w:sz w:val="24"/>
          <w:szCs w:val="24"/>
        </w:rPr>
        <w:t xml:space="preserve"> </w:t>
      </w:r>
      <w:r w:rsidRPr="00EE003F">
        <w:rPr>
          <w:rFonts w:ascii="Arial Narrow" w:hAnsi="Arial Narrow"/>
          <w:sz w:val="24"/>
          <w:szCs w:val="24"/>
        </w:rPr>
        <w:t>aprueba el Plan de Desarrollo Regional Concertado 2013-2021 de la región Ayacucho.</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Cajamarca. Ordenanza Regional N˚016-2010/GRCAJ-CR</w:t>
      </w:r>
      <w:r w:rsidR="00705542" w:rsidRPr="00EE003F">
        <w:rPr>
          <w:rFonts w:ascii="Arial Narrow" w:hAnsi="Arial Narrow"/>
          <w:sz w:val="24"/>
          <w:szCs w:val="24"/>
        </w:rPr>
        <w:t xml:space="preserve"> </w:t>
      </w:r>
      <w:r w:rsidRPr="00EE003F">
        <w:rPr>
          <w:rFonts w:ascii="Arial Narrow" w:hAnsi="Arial Narrow"/>
          <w:sz w:val="24"/>
          <w:szCs w:val="24"/>
        </w:rPr>
        <w:t>que aprueba el Plan de Desarrollo Regional Concertado Cajamarca al 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del Callao. Dictamen N˚033-2010/GRA/CAR que aprueba el</w:t>
      </w:r>
      <w:r w:rsidR="00705542" w:rsidRPr="00EE003F">
        <w:rPr>
          <w:rFonts w:ascii="Arial Narrow" w:hAnsi="Arial Narrow"/>
          <w:sz w:val="24"/>
          <w:szCs w:val="24"/>
        </w:rPr>
        <w:t xml:space="preserve"> </w:t>
      </w:r>
      <w:r w:rsidRPr="00EE003F">
        <w:rPr>
          <w:rFonts w:ascii="Arial Narrow" w:hAnsi="Arial Narrow"/>
          <w:sz w:val="24"/>
          <w:szCs w:val="24"/>
        </w:rPr>
        <w:t>Plan de Desarrollo Regional Concertado de la región Callao 2011-2021.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Cusco. Ordenanza Regional N˚081-2010-CRC.Cusco que aprueba el Plan de Desarrollo Regional Concertado Cusco al 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Huancavelica. Ordenanza Regional N˚293-GOB.REG-HVCA/</w:t>
      </w:r>
      <w:r w:rsidR="00705542" w:rsidRPr="00EE003F">
        <w:rPr>
          <w:rFonts w:ascii="Arial Narrow" w:hAnsi="Arial Narrow"/>
          <w:sz w:val="24"/>
          <w:szCs w:val="24"/>
        </w:rPr>
        <w:t xml:space="preserve"> </w:t>
      </w:r>
      <w:r w:rsidRPr="00EE003F">
        <w:rPr>
          <w:rFonts w:ascii="Arial Narrow" w:hAnsi="Arial Narrow"/>
          <w:sz w:val="24"/>
          <w:szCs w:val="24"/>
        </w:rPr>
        <w:t>CR que aprueba el Plan de Desarrollo Regional Concertado Huancavelica al 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Huánuco. Ordenanza Regional N˚010-2015-CR-GRH que aprueba el inicio del proceso de planeamiento estratégico para la actualización del</w:t>
      </w:r>
      <w:r w:rsidR="00705542" w:rsidRPr="00EE003F">
        <w:rPr>
          <w:rFonts w:ascii="Arial Narrow" w:hAnsi="Arial Narrow"/>
          <w:sz w:val="24"/>
          <w:szCs w:val="24"/>
        </w:rPr>
        <w:t xml:space="preserve"> </w:t>
      </w:r>
      <w:r w:rsidRPr="00EE003F">
        <w:rPr>
          <w:rFonts w:ascii="Arial Narrow" w:hAnsi="Arial Narrow"/>
          <w:sz w:val="24"/>
          <w:szCs w:val="24"/>
        </w:rPr>
        <w:t>Plan de Desarrollo Regional Concertado 2014-2021 de la región Huánuco.</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Ica. Ordenanza Regional N˚0005-2011-GORE-ICA que aprueba el Plan de Desarrollo Regional Concertado 2010-2021 de la región Ica.</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Junín. Ordenanza Regional N° 19</w:t>
      </w:r>
      <w:r w:rsidR="00202F99" w:rsidRPr="00EE003F">
        <w:rPr>
          <w:rFonts w:ascii="Arial Narrow" w:hAnsi="Arial Narrow"/>
          <w:sz w:val="24"/>
          <w:szCs w:val="24"/>
        </w:rPr>
        <w:t>3</w:t>
      </w:r>
      <w:r w:rsidRPr="00EE003F">
        <w:rPr>
          <w:rFonts w:ascii="Arial Narrow" w:hAnsi="Arial Narrow"/>
          <w:sz w:val="24"/>
          <w:szCs w:val="24"/>
        </w:rPr>
        <w:t>-2014-GRJ/C que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aprueba el Plan de Desarrollo Regional Concertado Junín al 205</w:t>
      </w:r>
      <w:r w:rsidR="00202F99" w:rsidRPr="00EE003F">
        <w:rPr>
          <w:rFonts w:ascii="Arial Narrow" w:hAnsi="Arial Narrow"/>
          <w:sz w:val="24"/>
          <w:szCs w:val="24"/>
        </w:rPr>
        <w:t>0.</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La Libertad. Resolución Ejecutiva Regional Nº</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3114-2008-GRLL-PRE que aprueba el plan de trabajo para la formulación del Plan de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Desarrollo Regional Concertado de La Libertad 2010-2021.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Lambayeque. Ordenanza Regional Nº 010-2011 que aprueba el Plan de Desarrollo Regional Concertado Lambayeque 2011-2021.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Loreto. Acuerdo de Consejo Regional Nº 084-2008-SOGRL que aprueba el Plan de Desarrollo Regional Concertado Loreto 2008-2021.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Madre de Dios. Ordenanza Regional N° 019-2007GRMDD/</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CR que aprueba el proceso de actualización del Plan de Desarrollo Regional Concertado de Madre de Dios 2007-2021.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Moquegua. Ordenanza regional Nº 015-2013-CR/GRM que aprueba el Plan de Desarrollo Regional Concertado Moquegua al 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Pasco. Ordenanza Regional Nº 300-2012-CR/PASCO/CR que aprueba el Plan de Desarrollo Regional Concertado Pasco 2010-2021.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Piura. Ordenanza Regional Nº N° 262 - 2013/GRP-CR que aprueba el Plan de Desarrollo Regional Concertado Piura 2013-2016.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Puno. Ordenanza Regional Nº 022-2013-GRP-CRP que aprueba el Plan de Desarrollo Regional Concertado Puno al 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San Martín. Ordenanza Regional Nº 017-2013-GRSM-CR que aprueba el Plan de Desarrollo Regional Concertado San Martín al 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Tacna. Ordenanza Regional Nº 021-2014-CR que aprueba el Plan de Desarrollo Regional Concertado Tacna 2013-2023 “¨Plan Basadre”.</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Tumbes. Ordenanza Regional Nº 006-2012-GOB.REG.</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TUMBES-CR que aprueba el Plan de Desarrollo Regional Concertado Tumbes 2011-2014.</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Gobierno Regional de Ucayali. Ordenanza Regional Nº 011-2015-GRU/CR que aprueba el proceso de actualización del Plan de Desarrollo Regional Concertado de la región de Ucayali.</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Instituto Nacional de Defensa de la Competencia y de la Protección de la</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Propiedad Intelectual. Plan Estratégico Institucional 2012-2016.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Ley Nº 27270, Ley contra actos de discriminación, que incorpora el Capítulo IV, al Título XIV-A del Código Penal.</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Ley Nº 29778, Ley Marco para el Desarrollo y la Integración Fronteriza.</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Ley Nº 30068, Ley que incorpora el artículo 108 A al Código Penal con la finalidad de prevenir, sancionar y erradicar el feminicidio.</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Jurado Nacional de Elecciones. Proyecto de Código Electoral y Código Procesal</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Electoral. Perú, Ministerio de Cultura. Resolución Ministerial N° 380-2012-MC que aprueba el Plan Estratégico Sectorial Multianual del Sector Cultura 2012-2016.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Jurado Nacional de Elecciones, Oficina Nacional de Procesos Electorales, Registro</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Nacional de Identificación y Estado Civil (2013). Propuesta legislativa: “Nueva ley de los derechos de participación y control ciudadanos”.</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Agricultura y Riego. Resolución Suprema N° 002-2006-AG que aprueba el Plan Nacional de Reforestación.</w:t>
      </w:r>
    </w:p>
    <w:p w:rsidR="003D7157" w:rsidRPr="00EE003F" w:rsidRDefault="003D7157"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Agricultura y Riego. Resolución Ministerial N° 0709-2014-MINAGRI que aprueba los Lineamientos de Política Agraria. (agregado)</w:t>
      </w:r>
    </w:p>
    <w:p w:rsidR="003D7157" w:rsidRPr="00EE003F" w:rsidRDefault="003D7157"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Agricultura y Riego. Resolución Ministerial N° 0461-2015-MINAGRI que aprueba el Plan Estratégico Sectorial Multianual 2015-2021.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Agricultura y Riego. Resolución Ministerial N° 041-2015-MINAGRI que aprueba el Plan Estratégico Sectorial Multianual 2015 – 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del Ambiente. Resolución Ministerial N° 334-2012-MINAM que aprueba el Plan Estratégico Sectorial Multianual 2012-2016.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Comercio Exterior y Turismo. Plan Estratégico Nacional de Turismo</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2012-2021.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Comercio Exterior y Turismo. Resolución Ministerial</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N° 022-2009-MINCETUR/DM que aprueba el Plan Estratégico Sectorial Multianual</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2012-2016.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Cultura. Resolución Ministerial N° 339-2014-MC que aprueba las Orientaciones para la Implementación de Políticas Públicas para la Comunidad</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Afroperuana.</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Desarrollo e Inclusión Social. Decreto Supremo N° 008-2013-MIDIS que aprueba la Estrategia Nacional de Desarrollo e Inclusión Social “Incluir para Crecer”.</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Justicia y Derechos Humanos. Resolución Ministerial N° 054-2015-JUS que aprueba el Plan Estratégico Sectorial Multianual 2015 – 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Economía y Finanzas. Marco Macroeconómico Multianual 201</w:t>
      </w:r>
      <w:r w:rsidR="00FE3DDF" w:rsidRPr="00EE003F">
        <w:rPr>
          <w:rFonts w:ascii="Arial Narrow" w:hAnsi="Arial Narrow"/>
          <w:sz w:val="24"/>
          <w:szCs w:val="24"/>
        </w:rPr>
        <w:t>7</w:t>
      </w:r>
      <w:r w:rsidRPr="00EE003F">
        <w:rPr>
          <w:rFonts w:ascii="Arial Narrow" w:hAnsi="Arial Narrow"/>
          <w:sz w:val="24"/>
          <w:szCs w:val="24"/>
        </w:rPr>
        <w:t>-</w:t>
      </w:r>
      <w:r w:rsidR="00A450DA" w:rsidRPr="00EE003F">
        <w:rPr>
          <w:rFonts w:ascii="Arial Narrow" w:hAnsi="Arial Narrow"/>
          <w:sz w:val="24"/>
          <w:szCs w:val="24"/>
        </w:rPr>
        <w:t xml:space="preserve"> </w:t>
      </w:r>
      <w:r w:rsidRPr="00EE003F">
        <w:rPr>
          <w:rFonts w:ascii="Arial Narrow" w:hAnsi="Arial Narrow"/>
          <w:sz w:val="24"/>
          <w:szCs w:val="24"/>
        </w:rPr>
        <w:t>201</w:t>
      </w:r>
      <w:r w:rsidR="00FE3DDF" w:rsidRPr="00EE003F">
        <w:rPr>
          <w:rFonts w:ascii="Arial Narrow" w:hAnsi="Arial Narrow"/>
          <w:sz w:val="24"/>
          <w:szCs w:val="24"/>
        </w:rPr>
        <w:t>9</w:t>
      </w:r>
      <w:r w:rsidRPr="00EE003F">
        <w:rPr>
          <w:rFonts w:ascii="Arial Narrow" w:hAnsi="Arial Narrow"/>
          <w:sz w:val="24"/>
          <w:szCs w:val="24"/>
        </w:rPr>
        <w:t xml:space="preserve">  aprobado en Sesión de Consejo de Ministros del 2</w:t>
      </w:r>
      <w:r w:rsidR="00FE3DDF" w:rsidRPr="00EE003F">
        <w:rPr>
          <w:rFonts w:ascii="Arial Narrow" w:hAnsi="Arial Narrow"/>
          <w:sz w:val="24"/>
          <w:szCs w:val="24"/>
        </w:rPr>
        <w:t>7</w:t>
      </w:r>
      <w:r w:rsidRPr="00EE003F">
        <w:rPr>
          <w:rFonts w:ascii="Arial Narrow" w:hAnsi="Arial Narrow"/>
          <w:sz w:val="24"/>
          <w:szCs w:val="24"/>
        </w:rPr>
        <w:t xml:space="preserve"> de abril de 201</w:t>
      </w:r>
      <w:r w:rsidR="00FE3DDF" w:rsidRPr="00EE003F">
        <w:rPr>
          <w:rFonts w:ascii="Arial Narrow" w:hAnsi="Arial Narrow"/>
          <w:sz w:val="24"/>
          <w:szCs w:val="24"/>
        </w:rPr>
        <w:t>6</w:t>
      </w:r>
      <w:r w:rsidRPr="00EE003F">
        <w:rPr>
          <w:rFonts w:ascii="Arial Narrow" w:hAnsi="Arial Narrow"/>
          <w:sz w:val="24"/>
          <w:szCs w:val="24"/>
        </w:rPr>
        <w:t>.</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Economía y Finanzas. Resolución Ministerial N° 807-2011-EF/41 que aprueba el Plan Estratégico Sectorial Multianual 2012-2016.</w:t>
      </w:r>
    </w:p>
    <w:p w:rsidR="006D5BD6" w:rsidRPr="00EE003F" w:rsidRDefault="006D5BD6" w:rsidP="006D5BD6">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 xml:space="preserve">Perú, Ministerio de Economía y Finanzas y Presidencia del Consejo de Ministros. Informe Preelectoral. Administración 2011 -2016. </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Educación. Resolución Suprema N° 001-2007-ED que aprueba el</w:t>
      </w:r>
      <w:r w:rsidR="00A450DA" w:rsidRPr="00EE003F">
        <w:rPr>
          <w:rFonts w:ascii="Arial Narrow" w:hAnsi="Arial Narrow"/>
          <w:sz w:val="24"/>
          <w:szCs w:val="24"/>
        </w:rPr>
        <w:t xml:space="preserve"> </w:t>
      </w:r>
      <w:r w:rsidRPr="00EE003F">
        <w:rPr>
          <w:rFonts w:ascii="Arial Narrow" w:hAnsi="Arial Narrow"/>
          <w:sz w:val="24"/>
          <w:szCs w:val="24"/>
        </w:rPr>
        <w:t>Proyecto Educativo Nacional al 2021: La educación que queremos para el Perú.</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Educación. Resolución Ministerial Nº 0518-2012-ED que aprueba el Plan Estratégico Sectorial Multianual de Educación 2012 – 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Energía y Minas. Oficio N°1563-2015-MEN/SEG que remite a Ceplan las Políticas Nacionales del Sector Energía y Minas.</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Energía y Minas. Resolución Ministerial N° 302-2012-MEM/DM que aprueba el Plan Estratégico Sectorial Multianual 2012-2016.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Energía y Minas. Resolución Ministerial Nº 203-2013-MEM/DM que aprueba: Plan de Acceso Universal a la Energía 2013 – 2022.</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Energía y Minas. Resolución Ministerial N° 302-2012-MEM/DM que aprueba el Plan Estratégico Sectorial Multianual 2012 – 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del Interior.</w:t>
      </w:r>
      <w:r w:rsidR="00754BBD" w:rsidRPr="00EE003F">
        <w:rPr>
          <w:rFonts w:ascii="Arial Narrow" w:hAnsi="Arial Narrow"/>
          <w:sz w:val="24"/>
          <w:szCs w:val="24"/>
        </w:rPr>
        <w:t xml:space="preserve"> Resolución Ministerial N° 397-201-IN que aprueba</w:t>
      </w:r>
      <w:r w:rsidRPr="00EE003F">
        <w:rPr>
          <w:rFonts w:ascii="Arial Narrow" w:hAnsi="Arial Narrow"/>
          <w:sz w:val="24"/>
          <w:szCs w:val="24"/>
        </w:rPr>
        <w:t xml:space="preserve"> Plan Estratégico </w:t>
      </w:r>
      <w:r w:rsidR="00754BBD" w:rsidRPr="00EE003F">
        <w:rPr>
          <w:rFonts w:ascii="Arial Narrow" w:hAnsi="Arial Narrow"/>
          <w:sz w:val="24"/>
          <w:szCs w:val="24"/>
        </w:rPr>
        <w:t xml:space="preserve">Sectorial Multianual </w:t>
      </w:r>
      <w:r w:rsidR="00D55E15" w:rsidRPr="00EE003F">
        <w:rPr>
          <w:rFonts w:ascii="Arial Narrow" w:hAnsi="Arial Narrow"/>
          <w:sz w:val="24"/>
          <w:szCs w:val="24"/>
        </w:rPr>
        <w:t xml:space="preserve">– PESEM </w:t>
      </w:r>
      <w:r w:rsidR="00754BBD" w:rsidRPr="00EE003F">
        <w:rPr>
          <w:rFonts w:ascii="Arial Narrow" w:hAnsi="Arial Narrow"/>
          <w:sz w:val="24"/>
          <w:szCs w:val="24"/>
        </w:rPr>
        <w:t>2016 – 2021</w:t>
      </w:r>
      <w:r w:rsidR="00D55E15" w:rsidRPr="00EE003F">
        <w:rPr>
          <w:rFonts w:ascii="Arial Narrow" w:hAnsi="Arial Narrow"/>
          <w:sz w:val="24"/>
          <w:szCs w:val="24"/>
        </w:rPr>
        <w:t xml:space="preserve"> del Sector Interior</w:t>
      </w:r>
      <w:r w:rsidRPr="00EE003F">
        <w:rPr>
          <w:rFonts w:ascii="Arial Narrow" w:hAnsi="Arial Narrow"/>
          <w:sz w:val="24"/>
          <w:szCs w:val="24"/>
        </w:rPr>
        <w:t>.</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Justicia y Derechos Humanos. Oficio N°2201-2015-JUS/OGPP que remite a Ceplan las Políticas Nacionales y/o Lineamientos de Política del Sector Justicia y Derechos Humanos.</w:t>
      </w:r>
    </w:p>
    <w:p w:rsidR="00B075B6" w:rsidRPr="00EE003F" w:rsidRDefault="00B075B6" w:rsidP="00B075B6">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Justicia y Derechos Humanos. Resolución Ministerial N°0054-2015-MINJUS que aprueba el Plan Estratégico Sectorial Multianual (PESEM) 2015 – 2021 del Sector Justicia y Derechos Humanos.</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 xml:space="preserve">Perú, Ministerio de la Producción. Resolución Ministerial N° </w:t>
      </w:r>
      <w:r w:rsidR="00D06374" w:rsidRPr="00EE003F">
        <w:rPr>
          <w:rFonts w:ascii="Arial Narrow" w:hAnsi="Arial Narrow"/>
          <w:sz w:val="24"/>
          <w:szCs w:val="24"/>
        </w:rPr>
        <w:t>435</w:t>
      </w:r>
      <w:r w:rsidRPr="00EE003F">
        <w:rPr>
          <w:rFonts w:ascii="Arial Narrow" w:hAnsi="Arial Narrow"/>
          <w:sz w:val="24"/>
          <w:szCs w:val="24"/>
        </w:rPr>
        <w:t>-201</w:t>
      </w:r>
      <w:r w:rsidR="00D06374" w:rsidRPr="00EE003F">
        <w:rPr>
          <w:rFonts w:ascii="Arial Narrow" w:hAnsi="Arial Narrow"/>
          <w:sz w:val="24"/>
          <w:szCs w:val="24"/>
        </w:rPr>
        <w:t>5</w:t>
      </w:r>
      <w:r w:rsidRPr="00EE003F">
        <w:rPr>
          <w:rFonts w:ascii="Arial Narrow" w:hAnsi="Arial Narrow"/>
          <w:sz w:val="24"/>
          <w:szCs w:val="24"/>
        </w:rPr>
        <w:t xml:space="preserve">-PRODUCE que aprueba el Plan Estratégico Sectorial Multianual </w:t>
      </w:r>
      <w:r w:rsidR="00D06374" w:rsidRPr="00EE003F">
        <w:rPr>
          <w:rFonts w:ascii="Arial Narrow" w:hAnsi="Arial Narrow"/>
          <w:sz w:val="24"/>
          <w:szCs w:val="24"/>
        </w:rPr>
        <w:t>(PESEM)</w:t>
      </w:r>
      <w:r w:rsidRPr="00EE003F">
        <w:rPr>
          <w:rFonts w:ascii="Arial Narrow" w:hAnsi="Arial Narrow"/>
          <w:sz w:val="24"/>
          <w:szCs w:val="24"/>
        </w:rPr>
        <w:t xml:space="preserve"> 201</w:t>
      </w:r>
      <w:r w:rsidR="00D06374" w:rsidRPr="00EE003F">
        <w:rPr>
          <w:rFonts w:ascii="Arial Narrow" w:hAnsi="Arial Narrow"/>
          <w:sz w:val="24"/>
          <w:szCs w:val="24"/>
        </w:rPr>
        <w:t>6</w:t>
      </w:r>
      <w:r w:rsidRPr="00EE003F">
        <w:rPr>
          <w:rFonts w:ascii="Arial Narrow" w:hAnsi="Arial Narrow"/>
          <w:sz w:val="24"/>
          <w:szCs w:val="24"/>
        </w:rPr>
        <w:t xml:space="preserve"> – 20</w:t>
      </w:r>
      <w:r w:rsidR="00D06374" w:rsidRPr="00EE003F">
        <w:rPr>
          <w:rFonts w:ascii="Arial Narrow" w:hAnsi="Arial Narrow"/>
          <w:sz w:val="24"/>
          <w:szCs w:val="24"/>
        </w:rPr>
        <w:t>2</w:t>
      </w:r>
      <w:r w:rsidRPr="00EE003F">
        <w:rPr>
          <w:rFonts w:ascii="Arial Narrow" w:hAnsi="Arial Narrow"/>
          <w:sz w:val="24"/>
          <w:szCs w:val="24"/>
        </w:rPr>
        <w:t>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Relaciones Exteriores. Decreto Supremo N° 014-2014-RE que aprueba la Política Nacional Antártica.</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Relaciones Exteriores. Decreto Supremo N° 017-2013-RE que aprueba la Política Nacional de Cooperación Técnica Internacional.</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 xml:space="preserve">Perú, Ministerio de Relaciones Exteriores. Resolución Ministerial </w:t>
      </w:r>
      <w:r w:rsidR="00A00F3A" w:rsidRPr="00EE003F">
        <w:rPr>
          <w:rFonts w:ascii="Arial Narrow" w:hAnsi="Arial Narrow"/>
          <w:sz w:val="24"/>
          <w:szCs w:val="24"/>
        </w:rPr>
        <w:t>de fecha 31 de diciembre de 2015 que aprueba</w:t>
      </w:r>
      <w:r w:rsidRPr="00EE003F">
        <w:rPr>
          <w:rFonts w:ascii="Arial Narrow" w:hAnsi="Arial Narrow"/>
          <w:sz w:val="24"/>
          <w:szCs w:val="24"/>
        </w:rPr>
        <w:t xml:space="preserve"> el Plan Estratégico Sectorial </w:t>
      </w:r>
      <w:r w:rsidR="00A00F3A" w:rsidRPr="00EE003F">
        <w:rPr>
          <w:rFonts w:ascii="Arial Narrow" w:hAnsi="Arial Narrow"/>
          <w:sz w:val="24"/>
          <w:szCs w:val="24"/>
        </w:rPr>
        <w:t>Multianual</w:t>
      </w:r>
      <w:r w:rsidRPr="00EE003F">
        <w:rPr>
          <w:rFonts w:ascii="Arial Narrow" w:hAnsi="Arial Narrow"/>
          <w:sz w:val="24"/>
          <w:szCs w:val="24"/>
        </w:rPr>
        <w:t xml:space="preserve"> </w:t>
      </w:r>
      <w:r w:rsidR="00A00F3A" w:rsidRPr="00EE003F">
        <w:rPr>
          <w:rFonts w:ascii="Arial Narrow" w:hAnsi="Arial Narrow"/>
          <w:sz w:val="24"/>
          <w:szCs w:val="24"/>
        </w:rPr>
        <w:t xml:space="preserve">PESEM </w:t>
      </w:r>
      <w:r w:rsidRPr="00EE003F">
        <w:rPr>
          <w:rFonts w:ascii="Arial Narrow" w:hAnsi="Arial Narrow"/>
          <w:sz w:val="24"/>
          <w:szCs w:val="24"/>
        </w:rPr>
        <w:t>201</w:t>
      </w:r>
      <w:r w:rsidR="00A00F3A" w:rsidRPr="00EE003F">
        <w:rPr>
          <w:rFonts w:ascii="Arial Narrow" w:hAnsi="Arial Narrow"/>
          <w:sz w:val="24"/>
          <w:szCs w:val="24"/>
        </w:rPr>
        <w:t>5</w:t>
      </w:r>
      <w:r w:rsidRPr="00EE003F">
        <w:rPr>
          <w:rFonts w:ascii="Arial Narrow" w:hAnsi="Arial Narrow"/>
          <w:sz w:val="24"/>
          <w:szCs w:val="24"/>
        </w:rPr>
        <w:t>-2021 del Sector Relaciones Exteriores.</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Salud. Plan Estratégico Sectorial Multianual 2012 – 2016 Propuesta</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Preliminar.</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del Trabajo y Promoción del Empleo. Decreto Supremo N° 52-2011-</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PCM que aprueba las Políticas Nacionales de Empleo.</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del Trabajo y Promoción del Empleo. Decreto Supremo N° 002-2013-TR que aprueba la Política Nacional de Salud y Seguridad en el Trabajo de Empleo.</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del Trabajo y Promoción del Empleo. Resolución Ministerial N° 227-2012-TR que aprueba los Lineamientos de Política del Sector Trabajo y Promoción del Empleo.</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del Trabajo y Promoción del Empleo. Resolución Ministerial N° 280-</w:t>
      </w:r>
      <w:r w:rsidR="00705542" w:rsidRPr="00EE003F">
        <w:rPr>
          <w:rFonts w:ascii="Arial Narrow" w:hAnsi="Arial Narrow"/>
          <w:sz w:val="24"/>
          <w:szCs w:val="24"/>
        </w:rPr>
        <w:t xml:space="preserve"> </w:t>
      </w:r>
      <w:r w:rsidRPr="00EE003F">
        <w:rPr>
          <w:rFonts w:ascii="Arial Narrow" w:hAnsi="Arial Narrow"/>
          <w:sz w:val="24"/>
          <w:szCs w:val="24"/>
        </w:rPr>
        <w:t>2012-TR que aprueba el Plan Estratégico Institucional 2012-2016.</w:t>
      </w:r>
    </w:p>
    <w:p w:rsidR="0031060D" w:rsidRPr="00EE003F" w:rsidRDefault="0002693C" w:rsidP="0070554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Transportes y Comunicaciones. Resolución Ministerial</w:t>
      </w:r>
      <w:r w:rsidR="0031060D" w:rsidRPr="00EE003F">
        <w:rPr>
          <w:rFonts w:ascii="Arial Narrow" w:hAnsi="Arial Narrow"/>
          <w:sz w:val="24"/>
          <w:szCs w:val="24"/>
        </w:rPr>
        <w:t xml:space="preserve"> </w:t>
      </w:r>
      <w:r w:rsidRPr="00EE003F">
        <w:rPr>
          <w:rFonts w:ascii="Arial Narrow" w:hAnsi="Arial Narrow"/>
          <w:sz w:val="24"/>
          <w:szCs w:val="24"/>
        </w:rPr>
        <w:t>N° 224-2012-MTC/01que aprueba el Plan Estratégico Sectorial Multianual 2012-2016.</w:t>
      </w:r>
      <w:r w:rsidR="00705542" w:rsidRPr="00EE003F">
        <w:rPr>
          <w:rFonts w:ascii="Arial Narrow" w:hAnsi="Arial Narrow"/>
          <w:sz w:val="24"/>
          <w:szCs w:val="24"/>
        </w:rPr>
        <w:t xml:space="preserve"> </w:t>
      </w:r>
    </w:p>
    <w:p w:rsidR="0002693C" w:rsidRPr="00EE003F" w:rsidRDefault="0002693C" w:rsidP="00A450DA">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Ministerio de Vivienda</w:t>
      </w:r>
      <w:r w:rsidR="0031060D" w:rsidRPr="00EE003F">
        <w:rPr>
          <w:rFonts w:ascii="Arial Narrow" w:hAnsi="Arial Narrow"/>
          <w:sz w:val="24"/>
          <w:szCs w:val="24"/>
        </w:rPr>
        <w:t>,</w:t>
      </w:r>
      <w:r w:rsidRPr="00EE003F">
        <w:rPr>
          <w:rFonts w:ascii="Arial Narrow" w:hAnsi="Arial Narrow"/>
          <w:sz w:val="24"/>
          <w:szCs w:val="24"/>
        </w:rPr>
        <w:t xml:space="preserve"> Construcción y Saneamiento. Resolución Ministerial</w:t>
      </w:r>
      <w:r w:rsidR="0031060D" w:rsidRPr="00EE003F">
        <w:rPr>
          <w:rFonts w:ascii="Arial Narrow" w:hAnsi="Arial Narrow"/>
          <w:sz w:val="24"/>
          <w:szCs w:val="24"/>
        </w:rPr>
        <w:t xml:space="preserve"> </w:t>
      </w:r>
      <w:r w:rsidRPr="00EE003F">
        <w:rPr>
          <w:rFonts w:ascii="Arial Narrow" w:hAnsi="Arial Narrow"/>
          <w:sz w:val="24"/>
          <w:szCs w:val="24"/>
        </w:rPr>
        <w:t xml:space="preserve">N° </w:t>
      </w:r>
      <w:r w:rsidR="0031060D" w:rsidRPr="00EE003F">
        <w:rPr>
          <w:rFonts w:ascii="Arial Narrow" w:hAnsi="Arial Narrow"/>
          <w:sz w:val="24"/>
          <w:szCs w:val="24"/>
        </w:rPr>
        <w:t>324</w:t>
      </w:r>
      <w:r w:rsidRPr="00EE003F">
        <w:rPr>
          <w:rFonts w:ascii="Arial Narrow" w:hAnsi="Arial Narrow"/>
          <w:sz w:val="24"/>
          <w:szCs w:val="24"/>
        </w:rPr>
        <w:t>-20</w:t>
      </w:r>
      <w:r w:rsidR="0031060D" w:rsidRPr="00EE003F">
        <w:rPr>
          <w:rFonts w:ascii="Arial Narrow" w:hAnsi="Arial Narrow"/>
          <w:sz w:val="24"/>
          <w:szCs w:val="24"/>
        </w:rPr>
        <w:t>15</w:t>
      </w:r>
      <w:r w:rsidRPr="00EE003F">
        <w:rPr>
          <w:rFonts w:ascii="Arial Narrow" w:hAnsi="Arial Narrow"/>
          <w:sz w:val="24"/>
          <w:szCs w:val="24"/>
        </w:rPr>
        <w:t>-VIVIENDA que aprueba el Plan Estratégico Multianual 20</w:t>
      </w:r>
      <w:r w:rsidR="0031060D" w:rsidRPr="00EE003F">
        <w:rPr>
          <w:rFonts w:ascii="Arial Narrow" w:hAnsi="Arial Narrow"/>
          <w:sz w:val="24"/>
          <w:szCs w:val="24"/>
        </w:rPr>
        <w:t>16</w:t>
      </w:r>
      <w:r w:rsidRPr="00EE003F">
        <w:rPr>
          <w:rFonts w:ascii="Arial Narrow" w:hAnsi="Arial Narrow"/>
          <w:sz w:val="24"/>
          <w:szCs w:val="24"/>
        </w:rPr>
        <w:t>-20</w:t>
      </w:r>
      <w:r w:rsidR="0031060D" w:rsidRPr="00EE003F">
        <w:rPr>
          <w:rFonts w:ascii="Arial Narrow" w:hAnsi="Arial Narrow"/>
          <w:sz w:val="24"/>
          <w:szCs w:val="24"/>
        </w:rPr>
        <w:t>2</w:t>
      </w:r>
      <w:r w:rsidRPr="00EE003F">
        <w:rPr>
          <w:rFonts w:ascii="Arial Narrow" w:hAnsi="Arial Narrow"/>
          <w:sz w:val="24"/>
          <w:szCs w:val="24"/>
        </w:rPr>
        <w:t>1</w:t>
      </w:r>
      <w:r w:rsidR="0031060D" w:rsidRPr="00EE003F">
        <w:rPr>
          <w:rFonts w:ascii="Arial Narrow" w:hAnsi="Arial Narrow"/>
          <w:sz w:val="24"/>
          <w:szCs w:val="24"/>
        </w:rPr>
        <w:t xml:space="preserve"> del Sector Vivienda, Construcción y Saneamiento</w:t>
      </w:r>
      <w:r w:rsidRPr="00EE003F">
        <w:rPr>
          <w:rFonts w:ascii="Arial Narrow" w:hAnsi="Arial Narrow"/>
          <w:sz w:val="24"/>
          <w:szCs w:val="24"/>
        </w:rPr>
        <w:t>.</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Organismo Supervisor en la Inversión en Energía y Minería. Plan Estratégico</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2010-2014.</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Organismo Supervisor de la Inversión en Infraestructura de Transporte de Uso</w:t>
      </w:r>
      <w:r w:rsidR="00A450DA" w:rsidRPr="00EE003F">
        <w:rPr>
          <w:rFonts w:ascii="Arial Narrow" w:hAnsi="Arial Narrow"/>
          <w:sz w:val="24"/>
          <w:szCs w:val="24"/>
        </w:rPr>
        <w:t xml:space="preserve"> </w:t>
      </w:r>
      <w:r w:rsidRPr="00EE003F">
        <w:rPr>
          <w:rFonts w:ascii="Arial Narrow" w:hAnsi="Arial Narrow"/>
          <w:sz w:val="24"/>
          <w:szCs w:val="24"/>
        </w:rPr>
        <w:t>Público. Plan Estratégico Institucional 2011-2015.</w:t>
      </w:r>
    </w:p>
    <w:p w:rsidR="0002693C" w:rsidRPr="00EE003F" w:rsidRDefault="0002693C" w:rsidP="00A450DA">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Organismo Supervisor de Inversión Privada en Telecomunicaciones. Resolución de</w:t>
      </w:r>
      <w:r w:rsidR="00593034" w:rsidRPr="00EE003F">
        <w:rPr>
          <w:rFonts w:ascii="Arial Narrow" w:hAnsi="Arial Narrow"/>
          <w:sz w:val="24"/>
          <w:szCs w:val="24"/>
        </w:rPr>
        <w:t xml:space="preserve"> </w:t>
      </w:r>
      <w:r w:rsidRPr="00EE003F">
        <w:rPr>
          <w:rFonts w:ascii="Arial Narrow" w:hAnsi="Arial Narrow"/>
          <w:sz w:val="24"/>
          <w:szCs w:val="24"/>
        </w:rPr>
        <w:t>Presidencia N° 036-2011-PD/OSIPTEL que aprueba el Plan Estratégico Institucional 2011-2014.</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 xml:space="preserve">Perú, Presidencia del Consejo de Ministros. Resolución Ministerial N° </w:t>
      </w:r>
      <w:r w:rsidR="00593034" w:rsidRPr="00EE003F">
        <w:rPr>
          <w:rFonts w:ascii="Arial Narrow" w:hAnsi="Arial Narrow"/>
          <w:sz w:val="24"/>
          <w:szCs w:val="24"/>
        </w:rPr>
        <w:t>289</w:t>
      </w:r>
      <w:r w:rsidRPr="00EE003F">
        <w:rPr>
          <w:rFonts w:ascii="Arial Narrow" w:hAnsi="Arial Narrow"/>
          <w:sz w:val="24"/>
          <w:szCs w:val="24"/>
        </w:rPr>
        <w:t>-201</w:t>
      </w:r>
      <w:r w:rsidR="00593034" w:rsidRPr="00EE003F">
        <w:rPr>
          <w:rFonts w:ascii="Arial Narrow" w:hAnsi="Arial Narrow"/>
          <w:sz w:val="24"/>
          <w:szCs w:val="24"/>
        </w:rPr>
        <w:t>5</w:t>
      </w:r>
      <w:r w:rsidRPr="00EE003F">
        <w:rPr>
          <w:rFonts w:ascii="Arial Narrow" w:hAnsi="Arial Narrow"/>
          <w:sz w:val="24"/>
          <w:szCs w:val="24"/>
        </w:rPr>
        <w:t>-PCM que aprueba el Plan Estratégico Sectorial M</w:t>
      </w:r>
      <w:r w:rsidR="00593034" w:rsidRPr="00EE003F">
        <w:rPr>
          <w:rFonts w:ascii="Arial Narrow" w:hAnsi="Arial Narrow"/>
          <w:sz w:val="24"/>
          <w:szCs w:val="24"/>
        </w:rPr>
        <w:t>ultianual PESEM 2016</w:t>
      </w:r>
      <w:r w:rsidRPr="00EE003F">
        <w:rPr>
          <w:rFonts w:ascii="Arial Narrow" w:hAnsi="Arial Narrow"/>
          <w:sz w:val="24"/>
          <w:szCs w:val="24"/>
        </w:rPr>
        <w:t>-20</w:t>
      </w:r>
      <w:r w:rsidR="00593034" w:rsidRPr="00EE003F">
        <w:rPr>
          <w:rFonts w:ascii="Arial Narrow" w:hAnsi="Arial Narrow"/>
          <w:sz w:val="24"/>
          <w:szCs w:val="24"/>
        </w:rPr>
        <w:t>20 del Sector Presidencia del Consejo de Ministros</w:t>
      </w:r>
      <w:r w:rsidRPr="00EE003F">
        <w:rPr>
          <w:rFonts w:ascii="Arial Narrow" w:hAnsi="Arial Narrow"/>
          <w:sz w:val="24"/>
          <w:szCs w:val="24"/>
        </w:rPr>
        <w:t>.</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Presidencia del Consejo de Ministros. Decreto Supremo N° 054-2011-PCM que aprueba el Plan Estratégico de Desarrollo Nacional denominado Plan Bicentenario: El</w:t>
      </w:r>
      <w:r w:rsidR="00A450DA" w:rsidRPr="00EE003F">
        <w:rPr>
          <w:rFonts w:ascii="Arial Narrow" w:hAnsi="Arial Narrow"/>
          <w:sz w:val="24"/>
          <w:szCs w:val="24"/>
        </w:rPr>
        <w:t xml:space="preserve"> </w:t>
      </w:r>
      <w:r w:rsidRPr="00EE003F">
        <w:rPr>
          <w:rFonts w:ascii="Arial Narrow" w:hAnsi="Arial Narrow"/>
          <w:sz w:val="24"/>
          <w:szCs w:val="24"/>
        </w:rPr>
        <w:t>Perú hacia el 2021.</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Presidencia del Consejo de Ministros (2012, noviembre). Plan Nacional de</w:t>
      </w:r>
      <w:r w:rsidR="00A450DA" w:rsidRPr="00EE003F">
        <w:rPr>
          <w:rFonts w:ascii="Arial Narrow" w:hAnsi="Arial Narrow"/>
          <w:sz w:val="24"/>
          <w:szCs w:val="24"/>
        </w:rPr>
        <w:t xml:space="preserve"> </w:t>
      </w:r>
      <w:r w:rsidRPr="00EE003F">
        <w:rPr>
          <w:rFonts w:ascii="Arial Narrow" w:hAnsi="Arial Narrow"/>
          <w:sz w:val="24"/>
          <w:szCs w:val="24"/>
        </w:rPr>
        <w:t>Descentralización 2012-2016 (documento de trabajo). Disponible en: http://www2.pcm.gob.pe/Popup_PCM/plandescentralizacion.pdf</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Presidencia del Consejo de Ministros. Decreto Supremo N° 119-2012-PCM que aprueba el Plan Nacional de Lucha Contra la Corrupción 2012-2016.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Presidencia del Consejo de Ministros. Propuesta de Plan Nacional de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Descentralización 2013-2016.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Presidencia del Consejo de Ministros. Resolución Ministerial N° 125-2013-PCM que aprueba el Plan de Implementación de la Política Nacional de Modernización de la</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Gestión Pública 2013 - 2016.</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ProInversión. Plan Estratégico Institucional 2011 – 2015.</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Perú, Superintendencia de Mercado de Valores. Plan Estratégico de la Comisión</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Nacional Supervisora de Empresas y Valores (hoy Superintendencia de Mercado de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Valores) 2011-2013.</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rPr>
        <w:t>Policía Nacional del Perú. Doctrina Policial: Orden interno, Orden Publica y</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Seguridad Ciudadana.</w:t>
      </w:r>
    </w:p>
    <w:p w:rsidR="0002693C" w:rsidRPr="00EE003F" w:rsidRDefault="0002693C" w:rsidP="000C7DC2">
      <w:pPr>
        <w:pStyle w:val="Prrafodelista"/>
        <w:numPr>
          <w:ilvl w:val="0"/>
          <w:numId w:val="9"/>
        </w:numPr>
        <w:tabs>
          <w:tab w:val="left" w:pos="426"/>
        </w:tabs>
        <w:jc w:val="both"/>
        <w:rPr>
          <w:rFonts w:ascii="Arial Narrow" w:hAnsi="Arial Narrow"/>
          <w:sz w:val="24"/>
          <w:szCs w:val="24"/>
          <w:lang w:val="en-US"/>
        </w:rPr>
      </w:pPr>
      <w:r w:rsidRPr="00EE003F">
        <w:rPr>
          <w:rFonts w:ascii="Arial Narrow" w:hAnsi="Arial Narrow"/>
          <w:sz w:val="24"/>
          <w:szCs w:val="24"/>
          <w:lang w:val="en-US"/>
        </w:rPr>
        <w:t>The European Conference of Ministers Responsible for Regional/Spatial Planning</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(1983). European Regional/Spatial Charter.</w:t>
      </w:r>
    </w:p>
    <w:p w:rsidR="0002693C" w:rsidRPr="00EE003F" w:rsidRDefault="0002693C" w:rsidP="000C7DC2">
      <w:pPr>
        <w:pStyle w:val="Prrafodelista"/>
        <w:numPr>
          <w:ilvl w:val="0"/>
          <w:numId w:val="9"/>
        </w:numPr>
        <w:tabs>
          <w:tab w:val="left" w:pos="426"/>
        </w:tabs>
        <w:jc w:val="both"/>
        <w:rPr>
          <w:rFonts w:ascii="Arial Narrow" w:hAnsi="Arial Narrow"/>
          <w:sz w:val="24"/>
          <w:szCs w:val="24"/>
        </w:rPr>
      </w:pPr>
      <w:r w:rsidRPr="00EE003F">
        <w:rPr>
          <w:rFonts w:ascii="Arial Narrow" w:hAnsi="Arial Narrow"/>
          <w:sz w:val="24"/>
          <w:szCs w:val="24"/>
          <w:lang w:val="en-US"/>
        </w:rPr>
        <w:t xml:space="preserve">The United States Commision on Civil Rights. </w:t>
      </w:r>
      <w:r w:rsidRPr="00EE003F">
        <w:rPr>
          <w:rFonts w:ascii="Arial Narrow" w:hAnsi="Arial Narrow"/>
          <w:sz w:val="24"/>
          <w:szCs w:val="24"/>
        </w:rPr>
        <w:t>(1977). Statement of Affirmative Action.</w:t>
      </w:r>
    </w:p>
    <w:p w:rsidR="0002693C" w:rsidRPr="00EE003F" w:rsidRDefault="0002693C" w:rsidP="00A450DA">
      <w:pPr>
        <w:tabs>
          <w:tab w:val="left" w:pos="426"/>
        </w:tabs>
        <w:ind w:left="360"/>
        <w:jc w:val="both"/>
        <w:rPr>
          <w:rFonts w:ascii="Arial Narrow" w:hAnsi="Arial Narrow"/>
          <w:sz w:val="24"/>
          <w:szCs w:val="24"/>
        </w:rPr>
      </w:pPr>
      <w:r w:rsidRPr="00EE003F">
        <w:rPr>
          <w:rFonts w:ascii="Arial Narrow" w:hAnsi="Arial Narrow"/>
          <w:sz w:val="24"/>
          <w:szCs w:val="24"/>
        </w:rPr>
        <w:t>REPORTES Y/O INFORMES</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 xml:space="preserve">Akamai Faster Forward (2013). The state of the internet (Second quarter, 2013 report), 6 n.° </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Amnistía Internacional (2013). Informe 2013 Amnistía Internacional: El Estado de los derechos humanos en el mundo. Madrid: Amnistía Internacional.</w:t>
      </w:r>
    </w:p>
    <w:p w:rsidR="0002693C" w:rsidRPr="00EE003F" w:rsidRDefault="0002693C" w:rsidP="00A450DA">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Aparicio, C., Aragón, G., Bonifaz, J. L., Urrunaga, R. Por un Perú integrado: Plan Nacional de Infraestructura 2012–2021. Asociación para el Fomento de la Infraestructura</w:t>
      </w:r>
      <w:r w:rsidR="006D5BD6" w:rsidRPr="00EE003F">
        <w:rPr>
          <w:rFonts w:ascii="Arial Narrow" w:hAnsi="Arial Narrow"/>
          <w:sz w:val="24"/>
          <w:szCs w:val="24"/>
        </w:rPr>
        <w:t xml:space="preserve"> </w:t>
      </w:r>
      <w:r w:rsidRPr="00EE003F">
        <w:rPr>
          <w:rFonts w:ascii="Arial Narrow" w:hAnsi="Arial Narrow"/>
          <w:sz w:val="24"/>
          <w:szCs w:val="24"/>
        </w:rPr>
        <w:t>Nacional (Perú), Universidad ESAN. Instituto de Regulación y Finanzas, Universidad del Pacífico. Centro de Investigación (2012). Lima: Asociación para el Fomento de la</w:t>
      </w:r>
      <w:r w:rsidR="006D5BD6" w:rsidRPr="00EE003F">
        <w:rPr>
          <w:rFonts w:ascii="Arial Narrow" w:hAnsi="Arial Narrow"/>
          <w:sz w:val="24"/>
          <w:szCs w:val="24"/>
        </w:rPr>
        <w:t xml:space="preserve"> </w:t>
      </w:r>
      <w:r w:rsidRPr="00EE003F">
        <w:rPr>
          <w:rFonts w:ascii="Arial Narrow" w:hAnsi="Arial Narrow"/>
          <w:sz w:val="24"/>
          <w:szCs w:val="24"/>
        </w:rPr>
        <w:t>Infraestructura Nacional.</w:t>
      </w:r>
    </w:p>
    <w:p w:rsidR="0002693C" w:rsidRPr="00EE003F" w:rsidRDefault="0002693C" w:rsidP="00A450DA">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APOYO Consultoría (2012). Lineamientos para promover la inversión en infraestructura en el Perú: 2012-2016. Informe encargado por la Cámara Peruana de la Construcción. Lima:</w:t>
      </w:r>
      <w:r w:rsidR="006D5BD6" w:rsidRPr="00EE003F">
        <w:rPr>
          <w:rFonts w:ascii="Arial Narrow" w:hAnsi="Arial Narrow"/>
          <w:sz w:val="24"/>
          <w:szCs w:val="24"/>
        </w:rPr>
        <w:t xml:space="preserve"> </w:t>
      </w:r>
      <w:r w:rsidRPr="00EE003F">
        <w:rPr>
          <w:rFonts w:ascii="Arial Narrow" w:hAnsi="Arial Narrow"/>
          <w:sz w:val="24"/>
          <w:szCs w:val="24"/>
        </w:rPr>
        <w:t>Autor.</w:t>
      </w:r>
    </w:p>
    <w:p w:rsidR="0002693C" w:rsidRPr="00EE003F" w:rsidRDefault="0002693C" w:rsidP="00A450DA">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Arias, L. (2011). Política tributaria para el 2011-2016. Lima: Consorcio de Investigación</w:t>
      </w:r>
      <w:r w:rsidR="006D5BD6" w:rsidRPr="00EE003F">
        <w:rPr>
          <w:rFonts w:ascii="Arial Narrow" w:hAnsi="Arial Narrow"/>
          <w:sz w:val="24"/>
          <w:szCs w:val="24"/>
        </w:rPr>
        <w:t xml:space="preserve"> </w:t>
      </w:r>
      <w:r w:rsidRPr="00EE003F">
        <w:rPr>
          <w:rFonts w:ascii="Arial Narrow" w:hAnsi="Arial Narrow"/>
          <w:sz w:val="24"/>
          <w:szCs w:val="24"/>
        </w:rPr>
        <w:t>Económica y Social e INDE Consultores.</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lang w:val="en-US"/>
        </w:rPr>
        <w:t xml:space="preserve">ATKearney (2012, diciembre). Challenge Future. Global mega trends. </w:t>
      </w:r>
      <w:r w:rsidRPr="00EE003F">
        <w:rPr>
          <w:rFonts w:ascii="Arial Narrow" w:hAnsi="Arial Narrow"/>
          <w:sz w:val="24"/>
          <w:szCs w:val="24"/>
        </w:rPr>
        <w:t>Disponible en:</w:t>
      </w:r>
    </w:p>
    <w:p w:rsidR="0002693C" w:rsidRPr="00EE003F" w:rsidRDefault="00A04633" w:rsidP="00A450DA">
      <w:pPr>
        <w:pStyle w:val="Prrafodelista"/>
        <w:tabs>
          <w:tab w:val="left" w:pos="426"/>
        </w:tabs>
        <w:jc w:val="both"/>
        <w:rPr>
          <w:rFonts w:ascii="Arial Narrow" w:hAnsi="Arial Narrow"/>
          <w:sz w:val="24"/>
          <w:szCs w:val="24"/>
        </w:rPr>
      </w:pPr>
      <w:hyperlink r:id="rId167" w:history="1">
        <w:r w:rsidR="0002693C" w:rsidRPr="00EE003F">
          <w:rPr>
            <w:rStyle w:val="Hipervnculo"/>
            <w:rFonts w:ascii="Arial Narrow" w:hAnsi="Arial Narrow"/>
            <w:color w:val="auto"/>
            <w:sz w:val="24"/>
            <w:szCs w:val="24"/>
            <w:u w:val="none"/>
          </w:rPr>
          <w:t>http://www.challengefuture.org/static/upload/uploads/Global_mega_trends.pdf</w:t>
        </w:r>
      </w:hyperlink>
    </w:p>
    <w:p w:rsidR="0002693C" w:rsidRPr="00EE003F" w:rsidRDefault="0002693C" w:rsidP="00A450DA">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Banco Central de Reserva del Perú (2013, setiembre). Reporte de Inflación: Panorama actual y proyecciones macroeconómicas 2013-2015. Disponible en: http://www.bcrp.gob.pe/docs/Publicaciones/Reporte-Inflacion/2013/setiembre/reporte-de-inflacionsetiembre-2013.pdf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Banco Interamericano de Desarrollo (2000, diciembre). Un nuevo impulso de la infraestructura regional de América del Sur. Disponible en: http://www.iirsa.org/ admin_iirsa_web/Uploads/Documents/Un%20Nuevo%20Impulso%20a%20la%20</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Integracion%20de%20la%20Infraestructura.pdf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Banco Interamericano de Desarrollo (2006). Política operativa sobre pueblos indígenas y estrategia para el desarrollo indígena. Serie de estrategias y políticas sectoriales del</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Departamento de Desarrollo Sostenible. Washington D.C.: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Banco Interamericano de Desarrollo (2012). Retos de desarrollo del Perú 2012-2016.</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Banco Interamericano de Desarrollo (2012). Un espacio para el desarrollo.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Banco Mundial (2007a). Análisis ambiental del Perú: Retos para un desarrollo sostenible.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Banco Mundial (2007b). Protección social en el Perú: ¿Cómo mejorar los resultados para los pobres?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Banco Mundial (2008). El impacto del repliegue de los glaciares en los Andes tropicales.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Banco Mundial (2013). Informe sobre seguimiento mundial 2013: La dinámica rural urbana y los objetivos de desarrollo del milenio. </w:t>
      </w:r>
      <w:proofErr w:type="spellStart"/>
      <w:r w:rsidRPr="00EE003F">
        <w:rPr>
          <w:rFonts w:ascii="Arial Narrow" w:hAnsi="Arial Narrow"/>
          <w:sz w:val="24"/>
          <w:szCs w:val="24"/>
          <w:lang w:val="en-US"/>
        </w:rPr>
        <w:t>Disponible</w:t>
      </w:r>
      <w:proofErr w:type="spellEnd"/>
      <w:r w:rsidRPr="00EE003F">
        <w:rPr>
          <w:rFonts w:ascii="Arial Narrow" w:hAnsi="Arial Narrow"/>
          <w:sz w:val="24"/>
          <w:szCs w:val="24"/>
          <w:lang w:val="en-US"/>
        </w:rPr>
        <w:t xml:space="preserve"> en: </w:t>
      </w:r>
      <w:hyperlink r:id="rId168" w:history="1">
        <w:r w:rsidR="00705542" w:rsidRPr="00EE003F">
          <w:rPr>
            <w:rStyle w:val="Hipervnculo"/>
            <w:rFonts w:ascii="Arial Narrow" w:hAnsi="Arial Narrow"/>
            <w:color w:val="auto"/>
            <w:sz w:val="24"/>
            <w:szCs w:val="24"/>
            <w:u w:val="none"/>
            <w:lang w:val="en-US"/>
          </w:rPr>
          <w:t>http://siteresources</w:t>
        </w:r>
      </w:hyperlink>
      <w:r w:rsidRPr="00EE003F">
        <w:rPr>
          <w:rFonts w:ascii="Arial Narrow" w:hAnsi="Arial Narrow"/>
          <w:sz w:val="24"/>
          <w:szCs w:val="24"/>
          <w:lang w:val="en-US"/>
        </w:rPr>
        <w:t>.</w:t>
      </w:r>
      <w:r w:rsidR="00705542" w:rsidRPr="00EE003F">
        <w:rPr>
          <w:rFonts w:ascii="Arial Narrow" w:hAnsi="Arial Narrow"/>
          <w:sz w:val="24"/>
          <w:szCs w:val="24"/>
          <w:lang w:val="en-US"/>
        </w:rPr>
        <w:t xml:space="preserve"> </w:t>
      </w:r>
      <w:r w:rsidRPr="00EE003F">
        <w:rPr>
          <w:rFonts w:ascii="Arial Narrow" w:hAnsi="Arial Narrow"/>
          <w:sz w:val="24"/>
          <w:szCs w:val="24"/>
          <w:lang w:val="en-US"/>
        </w:rPr>
        <w:t>worldbank.org/INTLAC/Resources/LAC_RegionalBrief_GMR2013_Sp.pdf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Beduschi, L., Diez de Sollano, R., Palma, A. y Soto, F., (2007). Desarrollo territorial rural: análisis de experiencias en Brasil, Chile y México. Santiago de Chile: Organización de las Naciones Unidas para la Agricultura y la Alimentación. Oficina Regional para</w:t>
      </w:r>
      <w:r w:rsidR="00705542" w:rsidRPr="00EE003F">
        <w:rPr>
          <w:rFonts w:ascii="Arial Narrow" w:hAnsi="Arial Narrow"/>
          <w:sz w:val="24"/>
          <w:szCs w:val="24"/>
        </w:rPr>
        <w:t xml:space="preserve"> </w:t>
      </w:r>
      <w:r w:rsidRPr="00EE003F">
        <w:rPr>
          <w:rFonts w:ascii="Arial Narrow" w:hAnsi="Arial Narrow"/>
          <w:sz w:val="24"/>
          <w:szCs w:val="24"/>
        </w:rPr>
        <w:t>América Latina y el Caribe y Banco Interamericano de Desarrollo.</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Bertelsmann Foundation (ed.) (2012). Megatrends in Global Interaction.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Bilbao-Osorio, B., Dutta, S. y Lanvin, B. (edits.) </w:t>
      </w:r>
      <w:r w:rsidRPr="00EE003F">
        <w:rPr>
          <w:rFonts w:ascii="Arial Narrow" w:hAnsi="Arial Narrow"/>
          <w:sz w:val="24"/>
          <w:szCs w:val="24"/>
          <w:lang w:val="en-US"/>
        </w:rPr>
        <w:t>(2013). The Global Information</w:t>
      </w:r>
      <w:r w:rsidR="00705542" w:rsidRPr="00EE003F">
        <w:rPr>
          <w:rFonts w:ascii="Arial Narrow" w:hAnsi="Arial Narrow"/>
          <w:sz w:val="24"/>
          <w:szCs w:val="24"/>
          <w:lang w:val="en-US"/>
        </w:rPr>
        <w:t xml:space="preserve"> </w:t>
      </w:r>
      <w:r w:rsidRPr="00EE003F">
        <w:rPr>
          <w:rFonts w:ascii="Arial Narrow" w:hAnsi="Arial Narrow"/>
          <w:sz w:val="24"/>
          <w:szCs w:val="24"/>
          <w:lang w:val="en-US"/>
        </w:rPr>
        <w:t>Technology Report 2013: Growth and Jobs in a Hyperconnected World. Ginebra: Foro</w:t>
      </w:r>
      <w:r w:rsidR="00705542" w:rsidRPr="00EE003F">
        <w:rPr>
          <w:rFonts w:ascii="Arial Narrow" w:hAnsi="Arial Narrow"/>
          <w:sz w:val="24"/>
          <w:szCs w:val="24"/>
          <w:lang w:val="en-US"/>
        </w:rPr>
        <w:t xml:space="preserve"> </w:t>
      </w:r>
      <w:r w:rsidRPr="00EE003F">
        <w:rPr>
          <w:rFonts w:ascii="Arial Narrow" w:hAnsi="Arial Narrow"/>
          <w:sz w:val="24"/>
          <w:szCs w:val="24"/>
          <w:lang w:val="en-US"/>
        </w:rPr>
        <w:t>Económico Mundial.</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Ceplan (2015). Modelo International Futures. fundamentos, adaptación y uso para el planeamiento estratégico del Perú. Serio documento metodológico / Nº 3</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Chile, Superintendencia Nacional de Servicios Sanitarios (2013, mayo). Cuenta Pública</w:t>
      </w:r>
      <w:r w:rsidR="00705542" w:rsidRPr="00EE003F">
        <w:rPr>
          <w:rFonts w:ascii="Arial Narrow" w:hAnsi="Arial Narrow"/>
          <w:sz w:val="24"/>
          <w:szCs w:val="24"/>
        </w:rPr>
        <w:t xml:space="preserve"> </w:t>
      </w:r>
      <w:r w:rsidRPr="00EE003F">
        <w:rPr>
          <w:rFonts w:ascii="Arial Narrow" w:hAnsi="Arial Narrow"/>
          <w:sz w:val="24"/>
          <w:szCs w:val="24"/>
        </w:rPr>
        <w:t xml:space="preserve">2012. Disponible en: </w:t>
      </w:r>
      <w:hyperlink r:id="rId169" w:history="1">
        <w:r w:rsidRPr="00EE003F">
          <w:rPr>
            <w:rStyle w:val="Hipervnculo"/>
            <w:rFonts w:ascii="Arial Narrow" w:hAnsi="Arial Narrow"/>
            <w:color w:val="auto"/>
            <w:sz w:val="24"/>
            <w:szCs w:val="24"/>
            <w:u w:val="none"/>
          </w:rPr>
          <w:t>http://www.siss.cl/appsiss/c_public/cta_pub2012.pdf</w:t>
        </w:r>
      </w:hyperlink>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lang w:val="en-US"/>
        </w:rPr>
        <w:t xml:space="preserve">Cuhls, K (s.f). The Millennium Project 2050 Foresight Brief No. 051. </w:t>
      </w:r>
      <w:r w:rsidRPr="00EE003F">
        <w:rPr>
          <w:rFonts w:ascii="Arial Narrow" w:hAnsi="Arial Narrow"/>
          <w:sz w:val="24"/>
          <w:szCs w:val="24"/>
        </w:rPr>
        <w:t>The European</w:t>
      </w:r>
      <w:r w:rsidR="00705542" w:rsidRPr="00EE003F">
        <w:rPr>
          <w:rFonts w:ascii="Arial Narrow" w:hAnsi="Arial Narrow"/>
          <w:sz w:val="24"/>
          <w:szCs w:val="24"/>
        </w:rPr>
        <w:t xml:space="preserve"> </w:t>
      </w:r>
      <w:r w:rsidRPr="00EE003F">
        <w:rPr>
          <w:rFonts w:ascii="Arial Narrow" w:hAnsi="Arial Narrow"/>
          <w:sz w:val="24"/>
          <w:szCs w:val="24"/>
        </w:rPr>
        <w:t>Foresight Monitoring Network.</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Comunidad Andina y Banco Interamericano de Desarrollo (2002). Proyecto estrategia regional de biodiversidad para los países del trópico andino.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Comisión Económica para América Latina y el Caribe (2011). </w:t>
      </w:r>
      <w:r w:rsidRPr="00EE003F">
        <w:rPr>
          <w:rFonts w:ascii="Arial Narrow" w:hAnsi="Arial Narrow"/>
          <w:sz w:val="24"/>
          <w:szCs w:val="24"/>
          <w:lang w:val="en-US"/>
        </w:rPr>
        <w:t>The economic infrastructure gap in Latin America and the Caribbean. Issue n.° 293, Number 1/2011.</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Comisión Económica para América Latina y el Caribe (2012). </w:t>
      </w:r>
      <w:r w:rsidRPr="00EE003F">
        <w:rPr>
          <w:rFonts w:ascii="Arial Narrow" w:hAnsi="Arial Narrow"/>
          <w:sz w:val="24"/>
          <w:szCs w:val="24"/>
          <w:lang w:val="en-US"/>
        </w:rPr>
        <w:t>Panorama social de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América Latina. Santiago de Chile: Autor.</w:t>
      </w:r>
    </w:p>
    <w:p w:rsidR="0002693C" w:rsidRPr="00EE003F" w:rsidRDefault="0002693C" w:rsidP="00A450DA">
      <w:pPr>
        <w:pStyle w:val="Prrafodelista"/>
        <w:numPr>
          <w:ilvl w:val="0"/>
          <w:numId w:val="10"/>
        </w:numPr>
        <w:tabs>
          <w:tab w:val="left" w:pos="426"/>
        </w:tabs>
        <w:ind w:left="709"/>
        <w:jc w:val="both"/>
        <w:rPr>
          <w:rFonts w:ascii="Arial Narrow" w:hAnsi="Arial Narrow"/>
          <w:sz w:val="24"/>
          <w:szCs w:val="24"/>
        </w:rPr>
      </w:pPr>
      <w:r w:rsidRPr="00EE003F">
        <w:rPr>
          <w:rFonts w:ascii="Arial Narrow" w:hAnsi="Arial Narrow"/>
          <w:sz w:val="24"/>
          <w:szCs w:val="24"/>
        </w:rPr>
        <w:t>Comisión Económica Para América Latina y el Caribe (2013a). Desarrollo sostenible en</w:t>
      </w:r>
      <w:r w:rsidR="00392A98" w:rsidRPr="00EE003F">
        <w:rPr>
          <w:rFonts w:ascii="Arial Narrow" w:hAnsi="Arial Narrow"/>
          <w:sz w:val="24"/>
          <w:szCs w:val="24"/>
        </w:rPr>
        <w:t xml:space="preserve"> </w:t>
      </w:r>
      <w:r w:rsidRPr="00EE003F">
        <w:rPr>
          <w:rFonts w:ascii="Arial Narrow" w:hAnsi="Arial Narrow"/>
          <w:sz w:val="24"/>
          <w:szCs w:val="24"/>
        </w:rPr>
        <w:t>América Latina y el Caribe, seguimiento de la agenda de las Naciones Unidas para el desarrollo post-2015 y Río +20. Santiago de Chile: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Comisión Económica para América Latina y el Caribe (2013b). Mujeres indígenas en América Latina: dinámicas demográficas y sociales en el marco de los derechos humanos. Santiago de Chile: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Comisión Económica para América Latina y el Caribe y Organización para la</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Cooperación y el Desarrollo Económico (2012). Perspectivas económicas de América</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Latina 2013: Políticas de pymes para el cambio estructural.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Comisión Interamericana de Derechos Humanos (2008). Lineamientos para la elaboración de indicadores de progreso en materia de derechos económicos, sociales y culturales (OEA/Ser.L/V/II.132 Doc. 14). San José: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Comisión Interamericana de Derechos Humanos (2009, diciembre). Derechos de los pueblos indígenas y tribales sobre sus tierras ancestrales y recursos naturales. Normas y jurisprudencia del Sistema Interamericano de Derechos Humanos (OEA/Ser.L/V/</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II.Doc.56/09). San José: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Corporación Andina de Fomento (2010). Observatorio de movilidad urbana en América</w:t>
      </w:r>
      <w:r w:rsidR="00705542" w:rsidRPr="00EE003F">
        <w:rPr>
          <w:rFonts w:ascii="Arial Narrow" w:hAnsi="Arial Narrow"/>
          <w:sz w:val="24"/>
          <w:szCs w:val="24"/>
        </w:rPr>
        <w:t xml:space="preserve"> </w:t>
      </w:r>
      <w:r w:rsidRPr="00EE003F">
        <w:rPr>
          <w:rFonts w:ascii="Arial Narrow" w:hAnsi="Arial Narrow"/>
          <w:sz w:val="24"/>
          <w:szCs w:val="24"/>
        </w:rPr>
        <w:t>Latina.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Corporación Andina de Fomento (2011a). Desarrollo urbano y movilidad en América</w:t>
      </w:r>
      <w:r w:rsidR="00705542" w:rsidRPr="00EE003F">
        <w:rPr>
          <w:rFonts w:ascii="Arial Narrow" w:hAnsi="Arial Narrow"/>
          <w:sz w:val="24"/>
          <w:szCs w:val="24"/>
        </w:rPr>
        <w:t xml:space="preserve"> </w:t>
      </w:r>
      <w:r w:rsidRPr="00EE003F">
        <w:rPr>
          <w:rFonts w:ascii="Arial Narrow" w:hAnsi="Arial Narrow"/>
          <w:sz w:val="24"/>
          <w:szCs w:val="24"/>
        </w:rPr>
        <w:t>Latina. Ciudad de Panamá: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Corporación Andina de Fomento (2011b). Informe Anual. Bogotá: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Corporación Andina de Fomento (2012a). Agua potable y saneamiento en América</w:t>
      </w:r>
      <w:r w:rsidR="00705542" w:rsidRPr="00EE003F">
        <w:rPr>
          <w:rFonts w:ascii="Arial Narrow" w:hAnsi="Arial Narrow"/>
          <w:sz w:val="24"/>
          <w:szCs w:val="24"/>
        </w:rPr>
        <w:t xml:space="preserve"> </w:t>
      </w:r>
      <w:r w:rsidRPr="00EE003F">
        <w:rPr>
          <w:rFonts w:ascii="Arial Narrow" w:hAnsi="Arial Narrow"/>
          <w:sz w:val="24"/>
          <w:szCs w:val="24"/>
        </w:rPr>
        <w:t>Latina y el Caribe: metas realistas y soluciones sostenibles. Propuestas para el 6˚ Foro</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Mundial del Agua. Ciudad de Panamá: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Corporación Andina de Fomento (2012b). Informe anual 2011. Bogotá: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Corporación Andina de Fomento (2012c). La infraestructura en el desarrollo integral de América Latina. Transporte de gas. Bogotá: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Corporación Latinobarómetro (2013). Informe Latinobarómetro 2013. Santiago de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Chile: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Cuervo, L. (2012). Prospectiva económica: una primera aproximación al estado del arte. Serie gestión pública n.° 76. Santiago de Chile: Comisión Económica para</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América Latina y el Caribe.</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 xml:space="preserve">Efrat, Z. (s. f.). World’s top global mega trends to 2020 and implications to business, society and cultures. Executive summary. Frost y Sullivan. </w:t>
      </w:r>
      <w:r w:rsidRPr="00EE003F">
        <w:rPr>
          <w:rFonts w:ascii="Arial Narrow" w:hAnsi="Arial Narrow"/>
          <w:sz w:val="24"/>
          <w:szCs w:val="24"/>
        </w:rPr>
        <w:t>Disponible en: http://www.bar-oriyan.</w:t>
      </w:r>
    </w:p>
    <w:p w:rsidR="0002693C" w:rsidRPr="00EE003F" w:rsidRDefault="0002693C" w:rsidP="00A450DA">
      <w:pPr>
        <w:pStyle w:val="Prrafodelista"/>
        <w:tabs>
          <w:tab w:val="left" w:pos="426"/>
        </w:tabs>
        <w:jc w:val="both"/>
        <w:rPr>
          <w:rFonts w:ascii="Arial Narrow" w:hAnsi="Arial Narrow"/>
          <w:sz w:val="24"/>
          <w:szCs w:val="24"/>
          <w:lang w:val="en-US"/>
        </w:rPr>
      </w:pPr>
      <w:r w:rsidRPr="00EE003F">
        <w:rPr>
          <w:rFonts w:ascii="Arial Narrow" w:hAnsi="Arial Narrow"/>
          <w:sz w:val="24"/>
          <w:szCs w:val="24"/>
          <w:lang w:val="en-US"/>
        </w:rPr>
        <w:t>com/Portals/0/mega%20trands%20exec%20summary%20v3%20%281%29.pdf</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Electris, C., Raskin, P., Rosen, R. y Stutz, J. The century ahead: four global scenarios. Technical documentation. Boston, MA: Tellus Institute.</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Ernst y Young (2011). Tracking global trends. How six key developments are shaping the business world.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Fernández de Lis, S. y Tuesta, D. (2013). Una cuantificación de los factores que afectan a la inclusión financiera en el Perú. BBVA Research. Disponible en http://</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serviciodeestudios.bbva.com/KETD/fbin/mult/130612_Inclusionfinancieraperu_</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tcm346-391584.pdf?ts=19112013</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Fondo para el Desarrollo de los Pueblos Indígenas de América Latina y el Caribe (2007).</w:t>
      </w:r>
      <w:r w:rsidR="00705542" w:rsidRPr="00EE003F">
        <w:rPr>
          <w:rFonts w:ascii="Arial Narrow" w:hAnsi="Arial Narrow"/>
          <w:sz w:val="24"/>
          <w:szCs w:val="24"/>
        </w:rPr>
        <w:t xml:space="preserve"> </w:t>
      </w:r>
      <w:r w:rsidRPr="00EE003F">
        <w:rPr>
          <w:rFonts w:ascii="Arial Narrow" w:hAnsi="Arial Narrow"/>
          <w:sz w:val="24"/>
          <w:szCs w:val="24"/>
        </w:rPr>
        <w:t>Tendencias de la institucionalidad estatal y las políticas públicas respecto al desarrollo indígena en América Latina y el caribe. Bolivia: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Fondo Monetario Internacional (2013, febrero). Perú: selected issues paper. IMF</w:t>
      </w:r>
    </w:p>
    <w:p w:rsidR="0002693C" w:rsidRPr="00EE003F" w:rsidRDefault="0002693C" w:rsidP="00A450DA">
      <w:pPr>
        <w:pStyle w:val="Prrafodelista"/>
        <w:tabs>
          <w:tab w:val="left" w:pos="426"/>
        </w:tabs>
        <w:jc w:val="both"/>
        <w:rPr>
          <w:rFonts w:ascii="Arial Narrow" w:hAnsi="Arial Narrow"/>
          <w:sz w:val="24"/>
          <w:szCs w:val="24"/>
          <w:lang w:val="en-US"/>
        </w:rPr>
      </w:pPr>
      <w:r w:rsidRPr="00EE003F">
        <w:rPr>
          <w:rFonts w:ascii="Arial Narrow" w:hAnsi="Arial Narrow"/>
          <w:sz w:val="24"/>
          <w:szCs w:val="24"/>
          <w:lang w:val="en-US"/>
        </w:rPr>
        <w:t>Country Report n.° 13/46. Washingtong DC: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Fondo Monetario Internacional (2013, mayo). Regional economic outlook. </w:t>
      </w:r>
      <w:r w:rsidRPr="00EE003F">
        <w:rPr>
          <w:rFonts w:ascii="Arial Narrow" w:hAnsi="Arial Narrow"/>
          <w:sz w:val="24"/>
          <w:szCs w:val="24"/>
          <w:lang w:val="en-US"/>
        </w:rPr>
        <w:t>Western Hemisphere. Time to rebuild policy space. Washington, D.C.: Autor.</w:t>
      </w:r>
    </w:p>
    <w:p w:rsidR="00705542"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 xml:space="preserve">Fondo Monetario Internacional (2013). World Economic Outlook. April 2013. </w:t>
      </w:r>
      <w:r w:rsidRPr="00EE003F">
        <w:rPr>
          <w:rFonts w:ascii="Arial Narrow" w:hAnsi="Arial Narrow"/>
          <w:sz w:val="24"/>
          <w:szCs w:val="24"/>
        </w:rPr>
        <w:t>Hopes,</w:t>
      </w:r>
      <w:r w:rsidR="00705542" w:rsidRPr="00EE003F">
        <w:rPr>
          <w:rFonts w:ascii="Arial Narrow" w:hAnsi="Arial Narrow"/>
          <w:sz w:val="24"/>
          <w:szCs w:val="24"/>
        </w:rPr>
        <w:t xml:space="preserve"> </w:t>
      </w:r>
      <w:r w:rsidRPr="00EE003F">
        <w:rPr>
          <w:rFonts w:ascii="Arial Narrow" w:hAnsi="Arial Narrow"/>
          <w:sz w:val="24"/>
          <w:szCs w:val="24"/>
          <w:lang w:val="en-US"/>
        </w:rPr>
        <w:t xml:space="preserve">Realities, Risks. Washington, DC: Autor. </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Fondo Monetario Internacional (2013, febrero).Perú 2012 Article IV Consultation. </w:t>
      </w:r>
      <w:r w:rsidRPr="00EE003F">
        <w:rPr>
          <w:rFonts w:ascii="Arial Narrow" w:hAnsi="Arial Narrow"/>
          <w:sz w:val="24"/>
          <w:szCs w:val="24"/>
          <w:lang w:val="en-US"/>
        </w:rPr>
        <w:t>IMF Country Report n.° 13/45. Washington DC: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Fondo de Población de las Naciones Unidas (2013). Respuesta a la violencia basada en género. Disponible en </w:t>
      </w:r>
      <w:hyperlink r:id="rId170" w:history="1">
        <w:r w:rsidRPr="00EE003F">
          <w:rPr>
            <w:rFonts w:ascii="Arial Narrow" w:hAnsi="Arial Narrow"/>
          </w:rPr>
          <w:t>http://www.unfpa.or.cr/genero/violencia-basada-en-genero</w:t>
        </w:r>
      </w:hyperlink>
      <w:r w:rsidRPr="00EE003F">
        <w:rPr>
          <w:rFonts w:ascii="Arial Narrow" w:hAnsi="Arial Narrow"/>
          <w:sz w:val="24"/>
          <w:szCs w:val="24"/>
        </w:rPr>
        <w:t>.</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Foro Económico Mundial (2010). Mining and Metals. Scenarios to 2030. Ginebra: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Foro Económico Mundial (2013). The global competitiveness report 2013-2014. Full data edition. Ginebra: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Fundación de Investigaciones Económicas Latinoamericanas (1998). La regulación de la competencia y de los servicios públicos. Teoría y experiencia argentina reciente.</w:t>
      </w:r>
      <w:r w:rsidR="00705542" w:rsidRPr="00EE003F">
        <w:rPr>
          <w:rFonts w:ascii="Arial Narrow" w:hAnsi="Arial Narrow"/>
          <w:sz w:val="24"/>
          <w:szCs w:val="24"/>
        </w:rPr>
        <w:t xml:space="preserve"> </w:t>
      </w:r>
      <w:r w:rsidRPr="00EE003F">
        <w:rPr>
          <w:rFonts w:ascii="Arial Narrow" w:hAnsi="Arial Narrow"/>
          <w:sz w:val="24"/>
          <w:szCs w:val="24"/>
        </w:rPr>
        <w:t>Buenos Aires: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Galarza, L. (2011). Visión del futuro del desarrollo territorial. Lima: Centro Nacional de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Planeamiento Estratégico.</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lang w:val="en-US"/>
        </w:rPr>
        <w:t xml:space="preserve">Gallopín, G. (2012.). Global Water Futures 2050. </w:t>
      </w:r>
      <w:r w:rsidRPr="00EE003F">
        <w:rPr>
          <w:rFonts w:ascii="Arial Narrow" w:hAnsi="Arial Narrow"/>
          <w:sz w:val="24"/>
          <w:szCs w:val="24"/>
        </w:rPr>
        <w:t>Five Stylized Scenarios. París:</w:t>
      </w:r>
      <w:r w:rsidR="00705542" w:rsidRPr="00EE003F">
        <w:rPr>
          <w:rFonts w:ascii="Arial Narrow" w:hAnsi="Arial Narrow"/>
          <w:sz w:val="24"/>
          <w:szCs w:val="24"/>
        </w:rPr>
        <w:t xml:space="preserve"> </w:t>
      </w:r>
      <w:r w:rsidRPr="00EE003F">
        <w:rPr>
          <w:rFonts w:ascii="Arial Narrow" w:hAnsi="Arial Narrow"/>
          <w:sz w:val="24"/>
          <w:szCs w:val="24"/>
        </w:rPr>
        <w:t>Organización de las Naciones Unidas para la Educación, la Ciencia y la Cultura y</w:t>
      </w:r>
      <w:r w:rsidR="00705542" w:rsidRPr="00EE003F">
        <w:rPr>
          <w:rFonts w:ascii="Arial Narrow" w:hAnsi="Arial Narrow"/>
          <w:sz w:val="24"/>
          <w:szCs w:val="24"/>
        </w:rPr>
        <w:t xml:space="preserve"> </w:t>
      </w:r>
      <w:r w:rsidRPr="00EE003F">
        <w:rPr>
          <w:rFonts w:ascii="Arial Narrow" w:hAnsi="Arial Narrow"/>
          <w:sz w:val="24"/>
          <w:szCs w:val="24"/>
        </w:rPr>
        <w:t>Programa Mundial de Evaluación de los Recursos Hídricos.</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Gómez, G. (2005). Competitividad y complejos productivos: teoría y lecciones de política. Buenos Aires: Comisión Económica Para América Latina y el Caribe.</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Green Growth Knowledge Platform (2013). Moving towards a common approach on</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green growth indicators.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Grupo BP (2012, enero). BP Energy Outlook 2030. Disponible en: http://www.bp.com/liveassets/bp_internet/globalbp/STAGING/global_assets/downloads/O/2012_2030_</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energy_outlook_booklet.pdf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lang w:val="en-US"/>
        </w:rPr>
        <w:t xml:space="preserve">Human Rights Watch (2013). World Report 2013. </w:t>
      </w:r>
      <w:r w:rsidRPr="00EE003F">
        <w:rPr>
          <w:rFonts w:ascii="Arial Narrow" w:hAnsi="Arial Narrow"/>
          <w:sz w:val="24"/>
          <w:szCs w:val="24"/>
        </w:rPr>
        <w:t>Nueva York: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Instituto Interamericano de Derechos Humanos (2013). Glosario. Disponible en: http://</w:t>
      </w:r>
    </w:p>
    <w:p w:rsidR="0002693C" w:rsidRPr="00EE003F" w:rsidRDefault="00A04633" w:rsidP="00A450DA">
      <w:pPr>
        <w:pStyle w:val="Prrafodelista"/>
        <w:tabs>
          <w:tab w:val="left" w:pos="426"/>
        </w:tabs>
        <w:jc w:val="both"/>
        <w:rPr>
          <w:rFonts w:ascii="Arial Narrow" w:hAnsi="Arial Narrow"/>
          <w:sz w:val="24"/>
          <w:szCs w:val="24"/>
        </w:rPr>
      </w:pPr>
      <w:hyperlink r:id="rId171" w:history="1">
        <w:r w:rsidR="0002693C" w:rsidRPr="00EE003F">
          <w:rPr>
            <w:rStyle w:val="Hipervnculo"/>
            <w:rFonts w:ascii="Arial Narrow" w:hAnsi="Arial Narrow"/>
            <w:color w:val="auto"/>
            <w:sz w:val="24"/>
            <w:szCs w:val="24"/>
            <w:u w:val="none"/>
          </w:rPr>
          <w:t>www.iidh.ed.cr/glosario.htm</w:t>
        </w:r>
      </w:hyperlink>
      <w:r w:rsidR="0002693C" w:rsidRPr="00EE003F">
        <w:rPr>
          <w:rFonts w:ascii="Arial Narrow" w:hAnsi="Arial Narrow"/>
          <w:sz w:val="24"/>
          <w:szCs w:val="24"/>
        </w:rPr>
        <w:t>.</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Instituto del Mar del Perú (2010). Anuario científico tecnológico 2010.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Instituto Peruano de Economía (2006). Inversión privada y pública en infraestructura en el Perú.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Llop, J. (1999). Ciudades intermedias y urbanización mundial. Lleida: Ayuntamiento deLleida, Organización de las Naciones Unidas para la Educación, la Ciencia y la Cultura Unión Internacional de Arquitectos y Ministerio de Asuntos Exteriores de España.</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lang w:val="en-US"/>
        </w:rPr>
        <w:t xml:space="preserve">National Intelligence Council (2012). Global trends 2030: alternative worlds. </w:t>
      </w:r>
      <w:r w:rsidRPr="00EE003F">
        <w:rPr>
          <w:rFonts w:ascii="Arial Narrow" w:hAnsi="Arial Narrow"/>
          <w:sz w:val="24"/>
          <w:szCs w:val="24"/>
        </w:rPr>
        <w:t>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Oficina del Alto Comisionado de las Naciones Unidas para los Derechos Humanos</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(2010). Derechos de las minorías: normas internacionales y orientaciones para su aplicación. Nueva York y Ginebra: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Oficina del Alto Comisionado de las Naciones Unidas para los Derechos Humanos</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(2011). Principios rectores sobre las empresas y los derechos humanos. Nueva York y</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Ginebra: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Oficina del Alto Comisionado de las Naciones Unidas para los Derechos Humanos (2012a). </w:t>
      </w:r>
      <w:r w:rsidRPr="00EE003F">
        <w:rPr>
          <w:rFonts w:ascii="Arial Narrow" w:hAnsi="Arial Narrow"/>
          <w:sz w:val="24"/>
          <w:szCs w:val="24"/>
          <w:lang w:val="en-US"/>
        </w:rPr>
        <w:t>Human rights indicators, a guide to measurement and implementation.</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Nueva York-Ginebra: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Oficina del Alto Comisionado de las Naciones Unidas para los Derechos Humanos</w:t>
      </w:r>
      <w:r w:rsidR="00705542" w:rsidRPr="00EE003F">
        <w:rPr>
          <w:rFonts w:ascii="Arial Narrow" w:hAnsi="Arial Narrow"/>
          <w:sz w:val="24"/>
          <w:szCs w:val="24"/>
        </w:rPr>
        <w:t xml:space="preserve"> </w:t>
      </w:r>
      <w:r w:rsidRPr="00EE003F">
        <w:rPr>
          <w:rFonts w:ascii="Arial Narrow" w:hAnsi="Arial Narrow"/>
          <w:sz w:val="24"/>
          <w:szCs w:val="24"/>
        </w:rPr>
        <w:t>(2012b). Nacidos libres e iguales: orientación sexual e identidad de género en las normas internacionales de derechos humanos. Nueva York y Ginebra: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Oficina del Alto Comisionado de las Naciones Unidas para los Derechos Humanos</w:t>
      </w:r>
      <w:r w:rsidR="00705542" w:rsidRPr="00EE003F">
        <w:rPr>
          <w:rFonts w:ascii="Arial Narrow" w:hAnsi="Arial Narrow"/>
          <w:sz w:val="24"/>
          <w:szCs w:val="24"/>
        </w:rPr>
        <w:t xml:space="preserve"> </w:t>
      </w:r>
      <w:r w:rsidRPr="00EE003F">
        <w:rPr>
          <w:rFonts w:ascii="Arial Narrow" w:hAnsi="Arial Narrow"/>
          <w:sz w:val="24"/>
          <w:szCs w:val="24"/>
        </w:rPr>
        <w:t>(2013)</w:t>
      </w:r>
      <w:r w:rsidR="00392A98" w:rsidRPr="00EE003F">
        <w:rPr>
          <w:rFonts w:ascii="Arial Narrow" w:hAnsi="Arial Narrow"/>
          <w:sz w:val="24"/>
          <w:szCs w:val="24"/>
        </w:rPr>
        <w:t xml:space="preserve"> </w:t>
      </w:r>
      <w:r w:rsidRPr="00EE003F">
        <w:rPr>
          <w:rFonts w:ascii="Arial Narrow" w:hAnsi="Arial Narrow"/>
          <w:sz w:val="24"/>
          <w:szCs w:val="24"/>
        </w:rPr>
        <w:t>¿Quién debe rendir cuentas? Los derechos humanos y la agenda para el desarrollo después de 2015. Nueva York y Ginebra: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Organización para la Cooperación y Desarrollo Económico (2012). </w:t>
      </w:r>
      <w:r w:rsidRPr="00EE003F">
        <w:rPr>
          <w:rFonts w:ascii="Arial Narrow" w:hAnsi="Arial Narrow"/>
          <w:sz w:val="24"/>
          <w:szCs w:val="24"/>
          <w:lang w:val="en-US"/>
        </w:rPr>
        <w:t>Environmental</w:t>
      </w:r>
      <w:r w:rsidR="00705542" w:rsidRPr="00EE003F">
        <w:rPr>
          <w:rFonts w:ascii="Arial Narrow" w:hAnsi="Arial Narrow"/>
          <w:sz w:val="24"/>
          <w:szCs w:val="24"/>
          <w:lang w:val="en-US"/>
        </w:rPr>
        <w:t xml:space="preserve"> </w:t>
      </w:r>
      <w:r w:rsidRPr="00EE003F">
        <w:rPr>
          <w:rFonts w:ascii="Arial Narrow" w:hAnsi="Arial Narrow"/>
          <w:sz w:val="24"/>
          <w:szCs w:val="24"/>
          <w:lang w:val="en-US"/>
        </w:rPr>
        <w:t>Outlook to 2050. París: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Organización para la Cooperación y el Desarrollo Económico (2013a). Activos con</w:t>
      </w:r>
      <w:r w:rsidR="00705542" w:rsidRPr="00EE003F">
        <w:rPr>
          <w:rFonts w:ascii="Arial Narrow" w:hAnsi="Arial Narrow"/>
          <w:sz w:val="24"/>
          <w:szCs w:val="24"/>
        </w:rPr>
        <w:t xml:space="preserve"> </w:t>
      </w:r>
      <w:r w:rsidRPr="00EE003F">
        <w:rPr>
          <w:rFonts w:ascii="Arial Narrow" w:hAnsi="Arial Narrow"/>
          <w:sz w:val="24"/>
          <w:szCs w:val="24"/>
        </w:rPr>
        <w:t xml:space="preserve">América Latina y el Caribe. Mejores políticas para una vida mejor. Una asociación de mutuo enriquecimiento. Disponible en </w:t>
      </w:r>
      <w:hyperlink r:id="rId172" w:history="1">
        <w:r w:rsidR="00705542" w:rsidRPr="00EE003F">
          <w:rPr>
            <w:rStyle w:val="Hipervnculo"/>
            <w:rFonts w:ascii="Arial Narrow" w:hAnsi="Arial Narrow"/>
            <w:color w:val="auto"/>
            <w:sz w:val="24"/>
            <w:szCs w:val="24"/>
            <w:u w:val="none"/>
          </w:rPr>
          <w:t>http://www.oecd.org/globalrelations/Latin_</w:t>
        </w:r>
      </w:hyperlink>
      <w:r w:rsidR="00705542" w:rsidRPr="00EE003F">
        <w:rPr>
          <w:rFonts w:ascii="Arial Narrow" w:hAnsi="Arial Narrow"/>
          <w:sz w:val="24"/>
          <w:szCs w:val="24"/>
        </w:rPr>
        <w:t xml:space="preserve"> </w:t>
      </w:r>
      <w:r w:rsidRPr="00EE003F">
        <w:rPr>
          <w:rFonts w:ascii="Arial Narrow" w:hAnsi="Arial Narrow"/>
          <w:sz w:val="24"/>
          <w:szCs w:val="24"/>
        </w:rPr>
        <w:t>America_2013_ESP.pdf</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Organización para la Cooperación y el Desarrollo Económico, Green Growth Studies (2013b). </w:t>
      </w:r>
      <w:r w:rsidRPr="00EE003F">
        <w:rPr>
          <w:rFonts w:ascii="Arial Narrow" w:hAnsi="Arial Narrow"/>
          <w:sz w:val="24"/>
          <w:szCs w:val="24"/>
          <w:lang w:val="en-US"/>
        </w:rPr>
        <w:t>Putting green growth at the heart of development: summary for</w:t>
      </w:r>
      <w:r w:rsidR="00705542" w:rsidRPr="00EE003F">
        <w:rPr>
          <w:rFonts w:ascii="Arial Narrow" w:hAnsi="Arial Narrow"/>
          <w:sz w:val="24"/>
          <w:szCs w:val="24"/>
          <w:lang w:val="en-US"/>
        </w:rPr>
        <w:t xml:space="preserve"> </w:t>
      </w:r>
      <w:r w:rsidRPr="00EE003F">
        <w:rPr>
          <w:rFonts w:ascii="Arial Narrow" w:hAnsi="Arial Narrow"/>
          <w:sz w:val="24"/>
          <w:szCs w:val="24"/>
          <w:lang w:val="en-US"/>
        </w:rPr>
        <w:t>policymakers.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Organización Internacional del Trabajo (2013). Informe de la Comisión de Expertos.</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Ginebra: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Organización de las Naciones Unidas para la </w:t>
      </w:r>
      <w:r w:rsidR="003E3053" w:rsidRPr="00EE003F">
        <w:rPr>
          <w:rFonts w:ascii="Arial Narrow" w:hAnsi="Arial Narrow"/>
          <w:sz w:val="24"/>
          <w:szCs w:val="24"/>
        </w:rPr>
        <w:t>Alimentación</w:t>
      </w:r>
      <w:r w:rsidRPr="00EE003F">
        <w:rPr>
          <w:rFonts w:ascii="Arial Narrow" w:hAnsi="Arial Narrow"/>
          <w:sz w:val="24"/>
          <w:szCs w:val="24"/>
        </w:rPr>
        <w:t xml:space="preserve"> y la Agricultura (2005).</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Estudio de tendencias y perspectivas del sector forestal en América Latina: Informe de la subregión Amazónica. Roma: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Organización de las Naciones Unidas para la Alimentación y la Agricultura y Agencia</w:t>
      </w:r>
      <w:r w:rsidR="00705542" w:rsidRPr="00EE003F">
        <w:rPr>
          <w:rFonts w:ascii="Arial Narrow" w:hAnsi="Arial Narrow"/>
          <w:sz w:val="24"/>
          <w:szCs w:val="24"/>
        </w:rPr>
        <w:t xml:space="preserve"> </w:t>
      </w:r>
      <w:r w:rsidRPr="00EE003F">
        <w:rPr>
          <w:rFonts w:ascii="Arial Narrow" w:hAnsi="Arial Narrow"/>
          <w:sz w:val="24"/>
          <w:szCs w:val="24"/>
        </w:rPr>
        <w:t>Española de Cooperación Internacional (2013). Seguridad alimentaria y nutricional, conceptos básicos del Programa Especial para la Seguridad Alimentaria-PESA</w:t>
      </w:r>
      <w:r w:rsidR="00392A98" w:rsidRPr="00EE003F">
        <w:rPr>
          <w:rFonts w:ascii="Arial Narrow" w:hAnsi="Arial Narrow"/>
          <w:sz w:val="24"/>
          <w:szCs w:val="24"/>
        </w:rPr>
        <w:t xml:space="preserve"> </w:t>
      </w:r>
      <w:r w:rsidRPr="00EE003F">
        <w:rPr>
          <w:rFonts w:ascii="Arial Narrow" w:hAnsi="Arial Narrow"/>
          <w:sz w:val="24"/>
          <w:szCs w:val="24"/>
        </w:rPr>
        <w:t xml:space="preserve">Centroamérica. Disponible en: </w:t>
      </w:r>
      <w:hyperlink r:id="rId173" w:history="1">
        <w:r w:rsidRPr="00EE003F">
          <w:rPr>
            <w:rStyle w:val="Hipervnculo"/>
            <w:rFonts w:ascii="Arial Narrow" w:hAnsi="Arial Narrow"/>
            <w:color w:val="auto"/>
            <w:sz w:val="24"/>
            <w:szCs w:val="24"/>
            <w:u w:val="none"/>
          </w:rPr>
          <w:t>ftp://ftp.fao.org/TC/TCA/ESP/PESA/conceptosSAN.pdf</w:t>
        </w:r>
      </w:hyperlink>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Organización Panamericana de la Salud (2013). Violencia contra la mujer en América</w:t>
      </w:r>
      <w:r w:rsidR="00705542" w:rsidRPr="00EE003F">
        <w:rPr>
          <w:rFonts w:ascii="Arial Narrow" w:hAnsi="Arial Narrow"/>
          <w:sz w:val="24"/>
          <w:szCs w:val="24"/>
        </w:rPr>
        <w:t xml:space="preserve"> </w:t>
      </w:r>
      <w:r w:rsidRPr="00EE003F">
        <w:rPr>
          <w:rFonts w:ascii="Arial Narrow" w:hAnsi="Arial Narrow"/>
          <w:sz w:val="24"/>
          <w:szCs w:val="24"/>
        </w:rPr>
        <w:t>Latina y el Caribe: análisis comparativo de datos poblacionales de 12 países.</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Washington, DC: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Overseas Development Institute (2010). Millennium development goals report card: measuring progress across countries. Londres: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Perrotti, D. y Sánchez, R. (2011, julio). La brecha de infraestructura en América Latina y el Caribe. Serie recursos naturales e infraestructura n.° 153. Santiago de Chile: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Naciones Unidas.</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Centro Nacional de Estimación, Prevención y Reducción del Riesgo de Desastres</w:t>
      </w:r>
      <w:r w:rsidR="00705542" w:rsidRPr="00EE003F">
        <w:rPr>
          <w:rFonts w:ascii="Arial Narrow" w:hAnsi="Arial Narrow"/>
          <w:sz w:val="24"/>
          <w:szCs w:val="24"/>
        </w:rPr>
        <w:t xml:space="preserve"> </w:t>
      </w:r>
      <w:r w:rsidRPr="00EE003F">
        <w:rPr>
          <w:rFonts w:ascii="Arial Narrow" w:hAnsi="Arial Narrow"/>
          <w:sz w:val="24"/>
          <w:szCs w:val="24"/>
        </w:rPr>
        <w:t>(2013). Escenario de Riesgos por bajas temperaturas.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Comisión Multisectorial para el Desarrollo de la Sociedad de la Información</w:t>
      </w:r>
      <w:r w:rsidR="00705542" w:rsidRPr="00EE003F">
        <w:rPr>
          <w:rFonts w:ascii="Arial Narrow" w:hAnsi="Arial Narrow"/>
          <w:sz w:val="24"/>
          <w:szCs w:val="24"/>
        </w:rPr>
        <w:t xml:space="preserve"> </w:t>
      </w:r>
      <w:r w:rsidRPr="00EE003F">
        <w:rPr>
          <w:rFonts w:ascii="Arial Narrow" w:hAnsi="Arial Narrow"/>
          <w:sz w:val="24"/>
          <w:szCs w:val="24"/>
        </w:rPr>
        <w:t>(2005). Plan de desarrollo de la sociedad de la información en el Perú. La Agenda</w:t>
      </w:r>
      <w:r w:rsidR="00705542" w:rsidRPr="00EE003F">
        <w:rPr>
          <w:rFonts w:ascii="Arial Narrow" w:hAnsi="Arial Narrow"/>
          <w:sz w:val="24"/>
          <w:szCs w:val="24"/>
        </w:rPr>
        <w:t xml:space="preserve"> </w:t>
      </w:r>
      <w:r w:rsidRPr="00EE003F">
        <w:rPr>
          <w:rFonts w:ascii="Arial Narrow" w:hAnsi="Arial Narrow"/>
          <w:sz w:val="24"/>
          <w:szCs w:val="24"/>
        </w:rPr>
        <w:t>Digital Peruana.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Comisión Multisectorial creada por Resolución Suprema n.° 189-2012-PCM. (s.f.). Ejes Estrategicos de la Gestion Ambiental. Disponible en: http://www.minam.gob.</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pe/dmdocuments/ejes_estrategicos_gestion_ambiental.pdf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Perú, Comisión Multisectorial Temporal encargada de elaborar el Plan Nacional para el Desarrollo de la Banda Ancha en el Perú (2010, junio). Informe n.° 01 Diagnóstico sobre el desarrollo de la banda ancha en el Perú. Disponible en: </w:t>
      </w:r>
      <w:hyperlink r:id="rId174" w:history="1">
        <w:r w:rsidR="00705542" w:rsidRPr="00EE003F">
          <w:rPr>
            <w:rStyle w:val="Hipervnculo"/>
            <w:rFonts w:ascii="Arial Narrow" w:hAnsi="Arial Narrow"/>
            <w:color w:val="auto"/>
            <w:sz w:val="24"/>
            <w:szCs w:val="24"/>
            <w:u w:val="none"/>
          </w:rPr>
          <w:t>http://www.mtc.gob</w:t>
        </w:r>
      </w:hyperlink>
      <w:r w:rsidRPr="00EE003F">
        <w:rPr>
          <w:rFonts w:ascii="Arial Narrow" w:hAnsi="Arial Narrow"/>
          <w:sz w:val="24"/>
          <w:szCs w:val="24"/>
        </w:rPr>
        <w:t>.</w:t>
      </w:r>
      <w:r w:rsidR="00705542" w:rsidRPr="00EE003F">
        <w:rPr>
          <w:rFonts w:ascii="Arial Narrow" w:hAnsi="Arial Narrow"/>
          <w:sz w:val="24"/>
          <w:szCs w:val="24"/>
        </w:rPr>
        <w:t xml:space="preserve"> </w:t>
      </w:r>
      <w:r w:rsidRPr="00EE003F">
        <w:rPr>
          <w:rFonts w:ascii="Arial Narrow" w:hAnsi="Arial Narrow"/>
          <w:sz w:val="24"/>
          <w:szCs w:val="24"/>
        </w:rPr>
        <w:t>pe/portal/proyecto_banda_ancha/INFORME%2001%20BANDA%20ANCHA.pdf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Consejo Nacional del Ambiente (2005). Evaluación local integral y estrategia de adaptación al cambio climático en la cuenca del río Piura.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Consejo Nacional de Ciencia y Tecnología, Ministerio de la Producción y Ministerio de Relaciones Exteriores (2012). Examen de las políticas de ciencia, tecnología e innovación del Perú. Logros y desafíos de las políticas públicas de CTI. Perú. Disponible en: http://unctad.org/meetings/en/Presentation/ecn162012_p26_ES.pdf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Consejo Nacional de la Competitividad (2013, Setiembre). Agenda de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Competitividad. Avances de resultados a septiembre 2013. Disponible en http://www.</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cnc.gob.pe/documentos/29</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Perú, Consejo Nacional de Salud (2013, julio). Documento de política. Lineamientos y medidas de reforma del sector salud. Disponible en: </w:t>
      </w:r>
      <w:hyperlink r:id="rId175" w:history="1">
        <w:r w:rsidR="00705542" w:rsidRPr="00EE003F">
          <w:rPr>
            <w:rStyle w:val="Hipervnculo"/>
            <w:rFonts w:ascii="Arial Narrow" w:hAnsi="Arial Narrow"/>
            <w:color w:val="auto"/>
            <w:sz w:val="24"/>
            <w:szCs w:val="24"/>
            <w:u w:val="none"/>
          </w:rPr>
          <w:t>http://www.minsa.gob.pe/</w:t>
        </w:r>
      </w:hyperlink>
      <w:r w:rsidR="00705542" w:rsidRPr="00EE003F">
        <w:rPr>
          <w:rFonts w:ascii="Arial Narrow" w:hAnsi="Arial Narrow"/>
          <w:sz w:val="24"/>
          <w:szCs w:val="24"/>
        </w:rPr>
        <w:t xml:space="preserve"> </w:t>
      </w:r>
      <w:r w:rsidRPr="00EE003F">
        <w:rPr>
          <w:rFonts w:ascii="Arial Narrow" w:hAnsi="Arial Narrow"/>
          <w:sz w:val="24"/>
          <w:szCs w:val="24"/>
        </w:rPr>
        <w:t>portada/Especiales/2013/reforma/documentos/documentoreforma12072013.pdf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Defensoría del Pueblo (2007). Informe Defensorial 128: el Estado frente a las víctimas de la violencia. ¿Hacia dónde vamos en políticas de reparación y justicia?</w:t>
      </w:r>
      <w:r w:rsidR="00705542" w:rsidRPr="00EE003F">
        <w:rPr>
          <w:rFonts w:ascii="Arial Narrow" w:hAnsi="Arial Narrow"/>
          <w:sz w:val="24"/>
          <w:szCs w:val="24"/>
        </w:rPr>
        <w:t xml:space="preserve"> </w:t>
      </w:r>
      <w:r w:rsidRPr="00EE003F">
        <w:rPr>
          <w:rFonts w:ascii="Arial Narrow" w:hAnsi="Arial Narrow"/>
          <w:sz w:val="24"/>
          <w:szCs w:val="24"/>
        </w:rPr>
        <w:t>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Defensoría del Pueblo (2008). Informe Defensorial n.° 137. El Transporte Urbano en Lima Metropolitana: Un desafío en defensa de la vida.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Defensoría del Pueblo (2009). Informe Defensorial n.° 146: migraciones y derechos humanos. Supervisión de las políticas de protección de los derechos de los peruanos migrantes.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Defensoría del Pueblo (2012). Informe Defensorial n.° 156: violencia en los conflictos sociales.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Defensoría del Pueblo (2013a). Área temática: discriminación. Disponible en: http://www.defensoria.gob.pe/temas.php?des=10.</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Defensoría del Pueblo (2013b). Informe Defensorial n.° 160: Gestión del Estado frente a la minería Informal e Ilegal en el Perú.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Defensoría del Pueblo (2013c). Reporte de conflictos sociales n.° 113.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Defensoría del Pueblo (2013d, octubre). Primer Reporte de supervisión al Programa Social Qali Warma en instituciones educativas ubicadas en zonas rurales.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Peru, Grupo de Trabajo Multisectorial para la preparación del Ministerio del Medio Ambiente. (2008). Diagnóstico Ambiental del Perú.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Instituto Nacional de Defensa Civil (2011). Impacto socieconómico y ambiental del Sismo del 15 de agosto 2007 - Cuaderno Técnico n.° 1.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Instituto Nacional de Estadística e Informática (2012a). Perú: Anuario de Estadístcas Ambientales 2012.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Instituto Nacional de Estadística e Informática (2012b). VI Censo Nacional Agropecuario Resultados Definitivos 2012.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Instituto Nacional de Estadística e Informática (2013). Evolución de la pobreza monetaria 2007-2012.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Jurado Nacional de Elecciones. Dirección Nacional de Educación y Formación Cívica Ciudadana (2008). Guía de Participación Ciudadana en el Perú.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 Agricultura y Riego (s. f.). Problema de la Agricultura Peruana. Disponible en: http://www.minag.gob.pe/portal/sector-agrario/agricola</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del Ambiente (2008). Diagnóstico Ambiental del Perú.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del Ambiente (2010a). Perú: economía y diversidad biológica.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del Ambiente (2010b). Segunda comunicación nacional del Perú a la</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Convención Marco de las Nacionales Unidas sobre Cambio Climático (SCNCC). Lima:</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Aguilar S.A.C.</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del Ambiente (2011). Minería aurífera en Madre de Dios y contaminación con mercurio. Una bomba de tiempo.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del Ambiente (2012). Cuarto informe nacinal de residuos sólidos municipales y no municipales - Gestión 2010-2011.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Perú, Ministerio del Ambiente (s. f.). Adaptación al cambio climático. Disponible en: </w:t>
      </w:r>
      <w:hyperlink r:id="rId176" w:history="1">
        <w:r w:rsidRPr="00EE003F">
          <w:rPr>
            <w:rFonts w:ascii="Arial Narrow" w:hAnsi="Arial Narrow"/>
            <w:sz w:val="24"/>
            <w:szCs w:val="24"/>
          </w:rPr>
          <w:t>http://cambioclimatico.minam.gob.pe/adaptacion-al-cc/avances-en-el-peru-enadaptacion/</w:t>
        </w:r>
      </w:hyperlink>
      <w:r w:rsidRPr="00EE003F">
        <w:rPr>
          <w:rFonts w:ascii="Arial Narrow" w:hAnsi="Arial Narrow"/>
          <w:sz w:val="24"/>
          <w:szCs w:val="24"/>
        </w:rPr>
        <w:t xml:space="preserve"> a-nivel-de-cuencas/.</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 Educación (2013). Memoria Institucional 2012-2013.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Perú, Ministerio de Energía y Minas (2011). Anuario Estadístico de Electricidad 2010. Disponible en: </w:t>
      </w:r>
      <w:hyperlink r:id="rId177" w:history="1">
        <w:r w:rsidRPr="00EE003F">
          <w:rPr>
            <w:rFonts w:ascii="Arial Narrow" w:hAnsi="Arial Narrow"/>
            <w:sz w:val="24"/>
            <w:szCs w:val="24"/>
          </w:rPr>
          <w:t>http://www.minem.gob.pe/descripcion.php?idSector=6&amp;idTitular=3903</w:t>
        </w:r>
      </w:hyperlink>
      <w:r w:rsidRPr="00EE003F">
        <w:rPr>
          <w:rFonts w:ascii="Arial Narrow" w:hAnsi="Arial Narrow"/>
          <w:sz w:val="24"/>
          <w:szCs w:val="24"/>
        </w:rPr>
        <w:t>.</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 Justicia y Derechos Humanos (2013). Todos los nombres: memoria institucional del Consejo de Reparaciones 2006-2013. Lima: MINJUS.</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 Producción (2007). Guía práctica para el desarrollo de cadenas productivas. Disponible en: http://www.cadenasproductivas.org.pe/userfiles/flash/</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pptguia_practica.swf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 Trabajo y Promoción del Empleo (2012). Políticas Nacionales de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Empleo.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 Vivienda, Construcción y Saneamiento (2012, febrero). Mejora de la gestión de territorio mediante la reducción de riesgos de desastres. Disponible en:</w:t>
      </w:r>
      <w:r w:rsidR="00705542" w:rsidRPr="00EE003F">
        <w:rPr>
          <w:rFonts w:ascii="Arial Narrow" w:hAnsi="Arial Narrow"/>
          <w:sz w:val="24"/>
          <w:szCs w:val="24"/>
        </w:rPr>
        <w:t xml:space="preserve"> </w:t>
      </w:r>
      <w:r w:rsidRPr="00EE003F">
        <w:rPr>
          <w:rFonts w:ascii="Arial Narrow" w:hAnsi="Arial Narrow"/>
          <w:sz w:val="24"/>
          <w:szCs w:val="24"/>
        </w:rPr>
        <w:t>http://www.mef.gob.pe/contenidos/presu_publ/migl/manuales/VIVIENDA_peligro_</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vulnerabilidad_B.pdf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Ministerio de Vivienda, Construcción y Saneamiento (s. f.). Experiencias de gestión de riesgo desde el Estado. Disponible en: http://www.cenepred.gob.pe/es/</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noticias/foro/08-MVCS.pdf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Perú, Organismo Supervisor en la Inversión en Energía y Minería (2009). Libro blanco del marco regulatorio de la distribución eléctrica en el Perú. Determinación del valor agregado, Septiembre. Disponible en: </w:t>
      </w:r>
      <w:hyperlink r:id="rId178" w:history="1">
        <w:r w:rsidRPr="00EE003F">
          <w:rPr>
            <w:rStyle w:val="Hipervnculo"/>
            <w:rFonts w:ascii="Arial Narrow" w:hAnsi="Arial Narrow"/>
            <w:color w:val="auto"/>
            <w:sz w:val="24"/>
            <w:szCs w:val="24"/>
            <w:u w:val="none"/>
          </w:rPr>
          <w:t>http://www2.osinerg.gob.pe/</w:t>
        </w:r>
      </w:hyperlink>
      <w:r w:rsidRPr="00EE003F">
        <w:rPr>
          <w:rFonts w:ascii="Arial Narrow" w:hAnsi="Arial Narrow"/>
          <w:sz w:val="24"/>
          <w:szCs w:val="24"/>
        </w:rPr>
        <w:t xml:space="preserve"> Novedades/20091126_Libro%20Blanco_CD_ME-IIT.PDF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Organismo Supervisor en la Inversión en Energía y Minería (2013). Reporte semestral de monitoreo del mercado de gas natural. Segundo semestre del 2012, Año</w:t>
      </w:r>
      <w:r w:rsidR="00705542" w:rsidRPr="00EE003F">
        <w:rPr>
          <w:rFonts w:ascii="Arial Narrow" w:hAnsi="Arial Narrow"/>
          <w:sz w:val="24"/>
          <w:szCs w:val="24"/>
        </w:rPr>
        <w:t xml:space="preserve"> </w:t>
      </w:r>
      <w:r w:rsidRPr="00EE003F">
        <w:rPr>
          <w:rFonts w:ascii="Arial Narrow" w:hAnsi="Arial Narrow"/>
          <w:sz w:val="24"/>
          <w:szCs w:val="24"/>
        </w:rPr>
        <w:t>2, n.° 2, Mayo.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Presidencia de Consejo de Ministros (2012a). Energía para nuestro desarrollo y calidad de vida.</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Presidencia del Consejo de Ministros. Oficina Nacional de Diálogo y Sostenibilidad (2012b). Willaqniqui: informe de diferencias, controversias y conflictos sociales (n.° 1).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Presidencia del Consejo de Ministros (2013b). Reporte de la Oficina Nacional de Diálogo y Sostenibilidad.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Presidencia del Consejo de Ministros. Oficina Nacional de Diálogo y Sostenibilidad (2013a). Institucionalizando el diálogo, a un año de gestión: experiencias y aportes de la ONDS-PCM 2012-2013.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Proinversión (2005). Las asociaciones público-privadas en el Perú. Documento de trabajo n.° 4.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Perú, Proinversion (2013). Inversión extranjera directa. Disponible en: http://</w:t>
      </w:r>
    </w:p>
    <w:p w:rsidR="0002693C" w:rsidRPr="00EE003F" w:rsidRDefault="00A04633" w:rsidP="00A450DA">
      <w:pPr>
        <w:pStyle w:val="Prrafodelista"/>
        <w:tabs>
          <w:tab w:val="left" w:pos="426"/>
        </w:tabs>
        <w:jc w:val="both"/>
        <w:rPr>
          <w:rFonts w:ascii="Arial Narrow" w:hAnsi="Arial Narrow"/>
          <w:sz w:val="24"/>
          <w:szCs w:val="24"/>
          <w:lang w:val="en-US"/>
        </w:rPr>
      </w:pPr>
      <w:hyperlink r:id="rId179" w:history="1">
        <w:r w:rsidR="0002693C" w:rsidRPr="00EE003F">
          <w:rPr>
            <w:rStyle w:val="Hipervnculo"/>
            <w:rFonts w:ascii="Arial Narrow" w:hAnsi="Arial Narrow"/>
            <w:color w:val="auto"/>
            <w:sz w:val="24"/>
            <w:szCs w:val="24"/>
            <w:u w:val="none"/>
            <w:lang w:val="en-US"/>
          </w:rPr>
          <w:t>www.proinversion.gob.pe/0/0/modulos/JER/PlantillaStandardsinHijos</w:t>
        </w:r>
      </w:hyperlink>
      <w:r w:rsidR="0002693C" w:rsidRPr="00EE003F">
        <w:rPr>
          <w:rFonts w:ascii="Arial Narrow" w:hAnsi="Arial Narrow"/>
          <w:sz w:val="24"/>
          <w:szCs w:val="24"/>
          <w:lang w:val="en-US"/>
        </w:rPr>
        <w:t>. aspx?ARE=0&amp;PFL=0&amp;JER=1537</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Perú, Superintendencia Nacional de Servicios de Saneamiento (2012). Indicadores de las EPS. Disponible en: </w:t>
      </w:r>
      <w:hyperlink r:id="rId180" w:history="1">
        <w:r w:rsidRPr="00EE003F">
          <w:rPr>
            <w:rStyle w:val="Hipervnculo"/>
            <w:rFonts w:ascii="Arial Narrow" w:hAnsi="Arial Narrow"/>
            <w:color w:val="auto"/>
            <w:sz w:val="24"/>
            <w:szCs w:val="24"/>
            <w:u w:val="none"/>
          </w:rPr>
          <w:t>http://intranet.sunass.gob.pe:81/indicadores/index.php/</w:t>
        </w:r>
      </w:hyperlink>
      <w:r w:rsidRPr="00EE003F">
        <w:rPr>
          <w:rFonts w:ascii="Arial Narrow" w:hAnsi="Arial Narrow"/>
          <w:sz w:val="24"/>
          <w:szCs w:val="24"/>
        </w:rPr>
        <w:t xml:space="preserve"> tratamiento-aguas-residuales</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Programa de las Naciones Unidas para el Desarrollo (2003). Mapa de potencialidades del Perú. Una primera aproximación a nivel provincial.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Programa de las Naciones Unidas para el Desarrollo (2004). La democracia en América Latina: hacia una democracia de ciudadanas y ciudadanos. Nueva York: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Programa de las Naciones Unidas para el Desarrollo (2010). </w:t>
      </w:r>
      <w:r w:rsidRPr="00EE003F">
        <w:rPr>
          <w:rFonts w:ascii="Arial Narrow" w:hAnsi="Arial Narrow"/>
          <w:sz w:val="24"/>
          <w:szCs w:val="24"/>
          <w:lang w:val="en-US"/>
        </w:rPr>
        <w:t xml:space="preserve">A guide to UNDP Democratic Governance Practice. </w:t>
      </w:r>
      <w:r w:rsidRPr="00EE003F">
        <w:rPr>
          <w:rFonts w:ascii="Arial Narrow" w:hAnsi="Arial Narrow"/>
          <w:sz w:val="24"/>
          <w:szCs w:val="24"/>
        </w:rPr>
        <w:t>New York: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Programa de las Naciones Unidas para el Desarrollo (2012). Estrategia de igualdad de género.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Programa de las Naciones Unidas para el Desarrollo (2013a). Ciudadanía intercultural: aportes desde la participación política de los pueblos indígenas de Latinoamérica. Nueva York: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Programa de las Naciones Unidas para el Desarrollo (2013a). </w:t>
      </w:r>
      <w:r w:rsidRPr="00EE003F">
        <w:rPr>
          <w:rFonts w:ascii="Arial Narrow" w:hAnsi="Arial Narrow"/>
          <w:sz w:val="24"/>
          <w:szCs w:val="24"/>
          <w:lang w:val="en-US"/>
        </w:rPr>
        <w:t xml:space="preserve">Human development report 2013. The rise of the south: human progress in a diverse world. </w:t>
      </w:r>
      <w:r w:rsidRPr="00EE003F">
        <w:rPr>
          <w:rFonts w:ascii="Arial Narrow" w:hAnsi="Arial Narrow"/>
          <w:sz w:val="24"/>
          <w:szCs w:val="24"/>
        </w:rPr>
        <w:t>New York, NY: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Programa de las Naciones Unidas para el Desarrollo (2013b). Perú: Tercer informe nacional de cumplimiento de los Objetivos de Desarrollo del Milenio.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Programa de las Naciones Unidas para el Desarrollo, Proyecto Análisis Político y Escenarios Prospectivos e Instituto Internacional para la Democracia y la Asistencia Electoral (2012). Perú: la oportunidad de un nuevo ciclo de desarrollo. La Paz: Autores.</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Programa de las Naciones Unidas para el Desarrollo y Fundación UNIR Bolivia (2013). </w:t>
      </w:r>
      <w:r w:rsidRPr="00EE003F">
        <w:rPr>
          <w:rFonts w:ascii="Arial Narrow" w:hAnsi="Arial Narrow"/>
          <w:sz w:val="24"/>
          <w:szCs w:val="24"/>
          <w:lang w:val="en-US"/>
        </w:rPr>
        <w:t xml:space="preserve">Understanding Social Conflict in Latin America. </w:t>
      </w:r>
      <w:r w:rsidRPr="00EE003F">
        <w:rPr>
          <w:rFonts w:ascii="Arial Narrow" w:hAnsi="Arial Narrow"/>
          <w:sz w:val="24"/>
          <w:szCs w:val="24"/>
        </w:rPr>
        <w:t>La Paz: Autores.</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Programa de las Naciones Unidas para el Medio Ambiente (2005). Millenium Ecosystem Assessment.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Proyecto de Opinión Pública de América Latina (2012). Barómetro de las Américas. Bogotá: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Randers, J. (2012, noviembre). 2052. A Global Forecast for the Next Forty Years (ppt).</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lang w:val="en-US"/>
        </w:rPr>
        <w:t xml:space="preserve">Reuttner, I. (edit.)(2012). Financial Development Report 2012. </w:t>
      </w:r>
      <w:r w:rsidRPr="00EE003F">
        <w:rPr>
          <w:rFonts w:ascii="Arial Narrow" w:hAnsi="Arial Narrow"/>
          <w:sz w:val="24"/>
          <w:szCs w:val="24"/>
        </w:rPr>
        <w:t>Ginebra: Foro Económico Mundial.</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lang w:val="en-US"/>
        </w:rPr>
        <w:t xml:space="preserve">Roland Berger Strategy Consultants (s. f.). </w:t>
      </w:r>
      <w:r w:rsidRPr="00EE003F">
        <w:rPr>
          <w:rFonts w:ascii="Arial Narrow" w:hAnsi="Arial Narrow"/>
          <w:sz w:val="24"/>
          <w:szCs w:val="24"/>
        </w:rPr>
        <w:t xml:space="preserve">Trend compendium 2030. Disponible en: </w:t>
      </w:r>
      <w:hyperlink r:id="rId181" w:history="1">
        <w:r w:rsidRPr="00EE003F">
          <w:rPr>
            <w:rStyle w:val="Hipervnculo"/>
            <w:rFonts w:ascii="Arial Narrow" w:hAnsi="Arial Narrow"/>
            <w:color w:val="auto"/>
            <w:sz w:val="24"/>
            <w:szCs w:val="24"/>
            <w:u w:val="none"/>
          </w:rPr>
          <w:t>http://www.rolandberger.com/gallery/trend-compendium/tc2030/content/assets/</w:t>
        </w:r>
      </w:hyperlink>
      <w:r w:rsidRPr="00EE003F">
        <w:rPr>
          <w:rFonts w:ascii="Arial Narrow" w:hAnsi="Arial Narrow"/>
          <w:sz w:val="24"/>
          <w:szCs w:val="24"/>
        </w:rPr>
        <w:t xml:space="preserve"> trendcompendium2030.pdf</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Rozas P. y Sánchez, R. (2004, octubre). Desarrollo de infraestructura y crecimiento económico: revisión conceptual. Serie de recursos naturales e infraestructura n.° 75. Santiago de Chile: Naciones Unidas.</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Sala-i-Martín, X. y Schwab, K. (2014). </w:t>
      </w:r>
      <w:r w:rsidRPr="00EE003F">
        <w:rPr>
          <w:rFonts w:ascii="Arial Narrow" w:hAnsi="Arial Narrow"/>
          <w:sz w:val="24"/>
          <w:szCs w:val="24"/>
          <w:lang w:val="en-US"/>
        </w:rPr>
        <w:t>The Global Competitiveness Report 2014-2015. Ginebra: World Economic Forum.</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lang w:val="en-US"/>
        </w:rPr>
        <w:t xml:space="preserve">Schwab, K. (edit.) (2013). The Global Competitiveness Report 2012-2013. </w:t>
      </w:r>
      <w:r w:rsidRPr="00EE003F">
        <w:rPr>
          <w:rFonts w:ascii="Arial Narrow" w:hAnsi="Arial Narrow"/>
          <w:sz w:val="24"/>
          <w:szCs w:val="24"/>
        </w:rPr>
        <w:t>Ginebra: Foro Económico Mundial.</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lang w:val="en-US"/>
        </w:rPr>
        <w:t xml:space="preserve">Schwab, K. (edit.) (2013). The Global Competitiveness Report. </w:t>
      </w:r>
      <w:r w:rsidRPr="00EE003F">
        <w:rPr>
          <w:rFonts w:ascii="Arial Narrow" w:hAnsi="Arial Narrow"/>
          <w:sz w:val="24"/>
          <w:szCs w:val="24"/>
        </w:rPr>
        <w:t>Edition. Ginebra: Foro Económico Mundial.</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Sistema de Naciones Unidas en el Perú (2013). ¿Qué futuro queremos para el Perú? Proceso nacional de consulta sobre la agenda de desarrollo post-2015. Lima: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Tanzi, V, y Zee, H. (2001). La política tributaria en los países en desarrollo. Temas de Economía n.° 27. Tripodi, C. (trad.). Washington D.C.: Fondo Monetario Internacional.</w:t>
      </w:r>
    </w:p>
    <w:p w:rsidR="0002693C" w:rsidRPr="00EE003F" w:rsidRDefault="0002693C" w:rsidP="000C7DC2">
      <w:pPr>
        <w:pStyle w:val="Prrafodelista"/>
        <w:numPr>
          <w:ilvl w:val="0"/>
          <w:numId w:val="10"/>
        </w:numPr>
        <w:tabs>
          <w:tab w:val="left" w:pos="426"/>
        </w:tabs>
        <w:jc w:val="both"/>
        <w:rPr>
          <w:rFonts w:ascii="Arial Narrow" w:hAnsi="Arial Narrow"/>
          <w:sz w:val="24"/>
          <w:szCs w:val="24"/>
        </w:rPr>
      </w:pPr>
      <w:r w:rsidRPr="00EE003F">
        <w:rPr>
          <w:rFonts w:ascii="Arial Narrow" w:hAnsi="Arial Narrow"/>
          <w:sz w:val="24"/>
          <w:szCs w:val="24"/>
        </w:rPr>
        <w:t xml:space="preserve">The Economist, Intelligence Unit (2013). Índice del entorno empresarial para emprendedoras. Disponible en: </w:t>
      </w:r>
      <w:hyperlink r:id="rId182" w:history="1">
        <w:r w:rsidRPr="00EE003F">
          <w:rPr>
            <w:rStyle w:val="Hipervnculo"/>
            <w:rFonts w:ascii="Arial Narrow" w:hAnsi="Arial Narrow"/>
            <w:color w:val="auto"/>
            <w:sz w:val="24"/>
            <w:szCs w:val="24"/>
            <w:u w:val="none"/>
          </w:rPr>
          <w:t>http://idbdocs.iadb.org/wsdocs/getDocument</w:t>
        </w:r>
      </w:hyperlink>
      <w:r w:rsidRPr="00EE003F">
        <w:rPr>
          <w:rFonts w:ascii="Arial Narrow" w:hAnsi="Arial Narrow"/>
          <w:sz w:val="24"/>
          <w:szCs w:val="24"/>
        </w:rPr>
        <w:t>. aspx?DOCNUM=37894551</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The Rockefeller Foundation y Global Business Network (2010). Scenarios for the future of technology and international development. Autores.</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rPr>
        <w:t xml:space="preserve">Unión Internacional de Telecomunicaciones (2013). Measuring information society. </w:t>
      </w:r>
      <w:r w:rsidRPr="00EE003F">
        <w:rPr>
          <w:rFonts w:ascii="Arial Narrow" w:hAnsi="Arial Narrow"/>
          <w:sz w:val="24"/>
          <w:szCs w:val="24"/>
          <w:lang w:val="en-US"/>
        </w:rPr>
        <w:t>Ginebra: Autor.</w:t>
      </w:r>
    </w:p>
    <w:p w:rsidR="0002693C" w:rsidRPr="00EE003F" w:rsidRDefault="0002693C" w:rsidP="000C7DC2">
      <w:pPr>
        <w:pStyle w:val="Prrafodelista"/>
        <w:numPr>
          <w:ilvl w:val="0"/>
          <w:numId w:val="10"/>
        </w:numPr>
        <w:tabs>
          <w:tab w:val="left" w:pos="426"/>
        </w:tabs>
        <w:jc w:val="both"/>
        <w:rPr>
          <w:rFonts w:ascii="Arial Narrow" w:hAnsi="Arial Narrow"/>
          <w:sz w:val="24"/>
          <w:szCs w:val="24"/>
          <w:lang w:val="en-US"/>
        </w:rPr>
      </w:pPr>
      <w:r w:rsidRPr="00EE003F">
        <w:rPr>
          <w:rFonts w:ascii="Arial Narrow" w:hAnsi="Arial Narrow"/>
          <w:sz w:val="24"/>
          <w:szCs w:val="24"/>
          <w:lang w:val="en-US"/>
        </w:rPr>
        <w:t>Ward, K. (2012, enero). The World in 2050 From the Top 30 to the Top 100. HSBC Global Research. Global.</w:t>
      </w:r>
    </w:p>
    <w:p w:rsidR="0002693C" w:rsidRPr="00EE003F" w:rsidRDefault="0002693C" w:rsidP="00A450DA">
      <w:pPr>
        <w:tabs>
          <w:tab w:val="left" w:pos="426"/>
        </w:tabs>
        <w:jc w:val="both"/>
        <w:rPr>
          <w:rFonts w:ascii="Arial Narrow" w:hAnsi="Arial Narrow"/>
          <w:sz w:val="24"/>
          <w:szCs w:val="24"/>
          <w:lang w:val="en-US"/>
        </w:rPr>
      </w:pPr>
      <w:r w:rsidRPr="00EE003F">
        <w:rPr>
          <w:rFonts w:ascii="Arial Narrow" w:hAnsi="Arial Narrow"/>
          <w:sz w:val="24"/>
          <w:szCs w:val="24"/>
          <w:lang w:val="en-US"/>
        </w:rPr>
        <w:t>LIBROS</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Alejos, R. (2011). Documentos de Trabajo. n.° 12. Proyecciones de la matriz energética a largo plazo. Lima: Centro Nacional de Planeamiento Estratégico.</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Arriagada, I., Miranda, F. y Pávez, T. (2004). Lineamientos de acción para el diseño de programas de superación de la pobreza desde el enfoque del capital social. Guía conceptual y metodológica. Santiago de Chile: Autor.</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Barro, R. (1996). Health and Economic Growth. Mimeograph.</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rPr>
        <w:t xml:space="preserve">Barro, R. y Sala-i-Martín, X. (1995). </w:t>
      </w:r>
      <w:r w:rsidRPr="00EE003F">
        <w:rPr>
          <w:rFonts w:ascii="Arial Narrow" w:hAnsi="Arial Narrow"/>
          <w:sz w:val="24"/>
          <w:szCs w:val="24"/>
          <w:lang w:val="en-US"/>
        </w:rPr>
        <w:t>Economic Growth. New York: McGraw Hill.</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Beato, P. y Laffont, J. (edit) (2002). Competition Policy in Regulated Industries. Approaches for Emerging Economies. Washington, DC: Inter-American Development Bank.</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Bhansali, L. (2012). La administración de Justicia en el Perú. Perú en el umbral de una nueva era: Lecciones y desafíos para consolidar el crecimiento económico y un desarrollo más incluyente. Lima: Banco Mundial.</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Buarque, S. (1999). Metodología de planejamiento do desenvolvimento local e municipal sutentável. Brasília: Instituto Nacional de Colonização e Reforma Agrária e Instituto Interamericano de Cooperação para a Agricultura.</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Castañeda, V. (2012). Elementos y consideraciones para la gestión descentralizada. Lima: Comisión de Gestión y Descentralización del Consejo Nacional de Educación.</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Chiabra, R. (s. f.). Claves para entender la seguridad nacional en el siglo XXI. 2012. Lima: Universidad Alas Peruanas.</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Cuenca, R. (2010). Discursos y nociones sobre el desempeño docente. Diálogos con maestros. Lima: Instituto de Estudios Peruanos.</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lang w:val="en-US"/>
        </w:rPr>
        <w:t xml:space="preserve">Florida, R. (2014). The Rise of the Creative Class - Revisited, Revised and Expanded. </w:t>
      </w:r>
      <w:r w:rsidRPr="00EE003F">
        <w:rPr>
          <w:rFonts w:ascii="Arial Narrow" w:hAnsi="Arial Narrow"/>
          <w:sz w:val="24"/>
          <w:szCs w:val="24"/>
        </w:rPr>
        <w:t>Nueva York: Basic Books.</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 xml:space="preserve">Galarza, L. (2011). Documentos de trabajo. n.° 14. Visión de futuro del desarrollo territorial. Lima: Centro Nacional de Planeamiento Estratégico. </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Galí, J. (2008). Monetary Policy, Inflation, and the Business Cycle: an Introduction to the New Keynesian Framework. United Kingdom: Princenton University Press.</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Goldmark, S., Jaramillo F. y Silva –Jáuregui, C. (edits.) (2012). Perú en el umbral de una nueva era: lecciones y desafíos para consolidar el crecimiento económico y un desarrollo más incluyente. Volumen II. Lima: Banco Mundial.</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Gonzales de Olarte, E. (2000). Neocentralismo y neoliberalismo en el Perú. Lima:</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Instituto de Estudios Peruanos.</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rPr>
        <w:t xml:space="preserve">Hausmann., R., Hidalgo, C., Bustos, S., Coscia, M., Chung, S., Jiménez, J., Simoes, A. y Yıldırım, M. (2013). </w:t>
      </w:r>
      <w:r w:rsidRPr="00EE003F">
        <w:rPr>
          <w:rFonts w:ascii="Arial Narrow" w:hAnsi="Arial Narrow"/>
          <w:sz w:val="24"/>
          <w:szCs w:val="24"/>
          <w:lang w:val="en-US"/>
        </w:rPr>
        <w:t>Atlas of Economic Complexity. Mapping paths to prosperity. Harvard: Center for International Development and Massachusetts Institute of Technology Media Lab.</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Heredia, R. (2003). Gobernabilidad en el Perú: 1980-1990. Santiago de Chile: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Universidad Central de Chile.</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Hopenhayn, M. y Bello, A. (2001). Discriminación étnico-racial y xenofobia en América</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Latina y el Caribe. Santiago de Chile: CEPAL.</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Isard, W. (1956). Location and Space Economy: a General Theory Relating to Industrial Location, Market Areas, Land Use, Trade, and Urban Structure. Cambridge: Technology Press of Massachusetts Institute.</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Jaramillo F. y Silva-Jáuregui, C. (edits.) (2011). Perú en el umbral de una nueva era: lecciones y desafíos para consolidar el crecimiento económico y un desarrollo más incluyente. Volumen I. Lima: Banco Mundial.</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Jones, Ch. (1998). Introduction to economic growth. W. W. Norton y Co.</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Kaufmann, D., Kraay, A., y Mastruzzi, M. (2009). Governance Matters VIII, Aggregate and Individual Governance Indicators 1996–2008. Policy Research Working Paper</w:t>
      </w:r>
      <w:r w:rsidR="00705542" w:rsidRPr="00EE003F">
        <w:rPr>
          <w:rFonts w:ascii="Arial Narrow" w:hAnsi="Arial Narrow"/>
          <w:sz w:val="24"/>
          <w:szCs w:val="24"/>
          <w:lang w:val="en-US"/>
        </w:rPr>
        <w:t xml:space="preserve"> </w:t>
      </w:r>
      <w:r w:rsidRPr="00EE003F">
        <w:rPr>
          <w:rFonts w:ascii="Arial Narrow" w:hAnsi="Arial Narrow"/>
          <w:sz w:val="24"/>
          <w:szCs w:val="24"/>
          <w:lang w:val="en-US"/>
        </w:rPr>
        <w:t>4978. Washington D.C: Development Research Group, The World Bank.</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Lösch, A. (1954). The Economics of Location. New Haven: Yale University Press.</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Mesquita, M. (coord.) (2013). Muy lejos para exportar: los costos internos de transporte y las disparidades en las exportaciones regionales en América Latina y el Caribe. Estudio especial sobre integración y comercio. Banco Interamericano de Desarrollo.</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Mujica, J. (s. f.). Representatividad, representabilidad, el problema de la representación política. Hacia una etnografía del parlamento peruano. Lima: Escuela de Gobierno y</w:t>
      </w:r>
      <w:r w:rsidR="00705542" w:rsidRPr="00EE003F">
        <w:rPr>
          <w:rFonts w:ascii="Arial Narrow" w:hAnsi="Arial Narrow"/>
          <w:sz w:val="24"/>
          <w:szCs w:val="24"/>
        </w:rPr>
        <w:t xml:space="preserve"> </w:t>
      </w:r>
      <w:r w:rsidRPr="00EE003F">
        <w:rPr>
          <w:rFonts w:ascii="Arial Narrow" w:hAnsi="Arial Narrow"/>
          <w:sz w:val="24"/>
          <w:szCs w:val="24"/>
        </w:rPr>
        <w:t>Políticas Públicas, PUCP.</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Nohlen, D. (2001). Cómo estudiar ciencia política, una introducción en tres selecciones.</w:t>
      </w:r>
      <w:r w:rsidR="00705542" w:rsidRPr="00EE003F">
        <w:rPr>
          <w:rFonts w:ascii="Arial Narrow" w:hAnsi="Arial Narrow"/>
          <w:sz w:val="24"/>
          <w:szCs w:val="24"/>
        </w:rPr>
        <w:t xml:space="preserve"> </w:t>
      </w:r>
      <w:r w:rsidRPr="00EE003F">
        <w:rPr>
          <w:rFonts w:ascii="Arial Narrow" w:hAnsi="Arial Narrow"/>
          <w:sz w:val="24"/>
          <w:szCs w:val="24"/>
        </w:rPr>
        <w:t>Lima: Pontificia Universidad Católica del Perú.</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Pagés, C. (edit.) (2010). The Age of Productivity Transforming Economies from the</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Bottom up. New York: Banco Interamericano de Desarrollo.</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Pásara, L. (2010). Tres claves de la Justicia. Lima: Pontificia Universidad Católica del Perú.</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Pease, H. (1989). Democracia local: reflexiones y experiencias. Lima: Centro de Estudios y Promoción del Desarrollo.</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Pease, H. (2008). Reforma política: para consolidar el régimen democrático. Lima:</w:t>
      </w:r>
      <w:r w:rsidR="00705542" w:rsidRPr="00EE003F">
        <w:rPr>
          <w:rFonts w:ascii="Arial Narrow" w:hAnsi="Arial Narrow"/>
          <w:sz w:val="24"/>
          <w:szCs w:val="24"/>
        </w:rPr>
        <w:t xml:space="preserve"> </w:t>
      </w:r>
      <w:r w:rsidRPr="00EE003F">
        <w:rPr>
          <w:rFonts w:ascii="Arial Narrow" w:hAnsi="Arial Narrow"/>
          <w:sz w:val="24"/>
          <w:szCs w:val="24"/>
        </w:rPr>
        <w:t>Pontificia Universidad Católica del Perú.</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Romer, D. (2006). Advanced Macroeconomics (3ra Ed.). The McGraw-Hill.</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Sánchez, A. (2012). Perfil migratorio del Perú 2012. Lima: Organización Internacional para las Migraciones.</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Sen, A. (1998). Desarrollo y libertad. GeoPlaneta.</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Serida, J., Morales, O., Nakamatsu, K. (2012). Global Entrepreneurship Monitor: Perú</w:t>
      </w:r>
      <w:r w:rsidR="00705542" w:rsidRPr="00EE003F">
        <w:rPr>
          <w:rFonts w:ascii="Arial Narrow" w:hAnsi="Arial Narrow"/>
          <w:sz w:val="24"/>
          <w:szCs w:val="24"/>
        </w:rPr>
        <w:t xml:space="preserve"> </w:t>
      </w:r>
      <w:r w:rsidRPr="00EE003F">
        <w:rPr>
          <w:rFonts w:ascii="Arial Narrow" w:hAnsi="Arial Narrow"/>
          <w:sz w:val="24"/>
          <w:szCs w:val="24"/>
        </w:rPr>
        <w:t>2011. Lima: Centro de Desarrollo Emprendedor, Universidad ESAN.</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Stiglitz, J. (1992). La economía del sector público. Barcelona: Antoni Boch Editorial.</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rPr>
        <w:t xml:space="preserve">Stiglitz, J. (2003). El malestar en la globalización. </w:t>
      </w:r>
      <w:r w:rsidRPr="00EE003F">
        <w:rPr>
          <w:rFonts w:ascii="Arial Narrow" w:hAnsi="Arial Narrow"/>
          <w:sz w:val="24"/>
          <w:szCs w:val="24"/>
          <w:lang w:val="en-US"/>
        </w:rPr>
        <w:t>Madrid: Taurus.</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Sukhdev, P. (2008). The Economics of Ecosystems and Biodiversity - An Interim Report European Communities. Wesseling: Welzel+Hard.</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lang w:val="en-US"/>
        </w:rPr>
        <w:t>Tellis, A., Bially, J., Layne, C. y McPherson, M. (2000). Measuring National Power In The</w:t>
      </w:r>
      <w:r w:rsidR="00705542" w:rsidRPr="00EE003F">
        <w:rPr>
          <w:rFonts w:ascii="Arial Narrow" w:hAnsi="Arial Narrow"/>
          <w:sz w:val="24"/>
          <w:szCs w:val="24"/>
          <w:lang w:val="en-US"/>
        </w:rPr>
        <w:t xml:space="preserve"> </w:t>
      </w:r>
      <w:r w:rsidRPr="00EE003F">
        <w:rPr>
          <w:rFonts w:ascii="Arial Narrow" w:hAnsi="Arial Narrow"/>
          <w:sz w:val="24"/>
          <w:szCs w:val="24"/>
          <w:lang w:val="en-US"/>
        </w:rPr>
        <w:t xml:space="preserve">Postindustrial Age: Analyst’s Handbook. </w:t>
      </w:r>
      <w:proofErr w:type="spellStart"/>
      <w:r w:rsidRPr="00EE003F">
        <w:rPr>
          <w:rFonts w:ascii="Arial Narrow" w:hAnsi="Arial Narrow"/>
          <w:sz w:val="24"/>
          <w:szCs w:val="24"/>
          <w:lang w:val="en-US"/>
        </w:rPr>
        <w:t>Disponible</w:t>
      </w:r>
      <w:proofErr w:type="spellEnd"/>
      <w:r w:rsidRPr="00EE003F">
        <w:rPr>
          <w:rFonts w:ascii="Arial Narrow" w:hAnsi="Arial Narrow"/>
          <w:sz w:val="24"/>
          <w:szCs w:val="24"/>
          <w:lang w:val="en-US"/>
        </w:rPr>
        <w:t xml:space="preserve"> en: </w:t>
      </w:r>
      <w:hyperlink r:id="rId183" w:history="1">
        <w:r w:rsidR="00705542" w:rsidRPr="00EE003F">
          <w:rPr>
            <w:rStyle w:val="Hipervnculo"/>
            <w:rFonts w:ascii="Arial Narrow" w:hAnsi="Arial Narrow"/>
            <w:color w:val="auto"/>
            <w:sz w:val="24"/>
            <w:szCs w:val="24"/>
            <w:u w:val="none"/>
            <w:lang w:val="en-US"/>
          </w:rPr>
          <w:t>http://www.rand.org/content/</w:t>
        </w:r>
      </w:hyperlink>
      <w:r w:rsidR="00705542" w:rsidRPr="00EE003F">
        <w:rPr>
          <w:rFonts w:ascii="Arial Narrow" w:hAnsi="Arial Narrow"/>
          <w:sz w:val="24"/>
          <w:szCs w:val="24"/>
          <w:lang w:val="en-US"/>
        </w:rPr>
        <w:t xml:space="preserve"> </w:t>
      </w:r>
      <w:r w:rsidRPr="00EE003F">
        <w:rPr>
          <w:rFonts w:ascii="Arial Narrow" w:hAnsi="Arial Narrow"/>
          <w:sz w:val="24"/>
          <w:szCs w:val="24"/>
          <w:lang w:val="en-US"/>
        </w:rPr>
        <w:t>dam/rand/pubs/</w:t>
      </w:r>
      <w:proofErr w:type="spellStart"/>
      <w:r w:rsidRPr="00EE003F">
        <w:rPr>
          <w:rFonts w:ascii="Arial Narrow" w:hAnsi="Arial Narrow"/>
          <w:sz w:val="24"/>
          <w:szCs w:val="24"/>
          <w:lang w:val="en-US"/>
        </w:rPr>
        <w:t>monograph_reports</w:t>
      </w:r>
      <w:proofErr w:type="spellEnd"/>
      <w:r w:rsidRPr="00EE003F">
        <w:rPr>
          <w:rFonts w:ascii="Arial Narrow" w:hAnsi="Arial Narrow"/>
          <w:sz w:val="24"/>
          <w:szCs w:val="24"/>
          <w:lang w:val="en-US"/>
        </w:rPr>
        <w:t>/2005/MR1110.1.pdf</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Urrunaga, R. y Bonifaz, J. (2012). Nuevas rutas para una mejor regulación. Lima:</w:t>
      </w:r>
      <w:r w:rsidR="00705542" w:rsidRPr="00EE003F">
        <w:rPr>
          <w:rFonts w:ascii="Arial Narrow" w:hAnsi="Arial Narrow"/>
          <w:sz w:val="24"/>
          <w:szCs w:val="24"/>
        </w:rPr>
        <w:t xml:space="preserve"> </w:t>
      </w:r>
      <w:r w:rsidRPr="00EE003F">
        <w:rPr>
          <w:rFonts w:ascii="Arial Narrow" w:hAnsi="Arial Narrow"/>
          <w:sz w:val="24"/>
          <w:szCs w:val="24"/>
        </w:rPr>
        <w:t>Universidad del Pacífico.</w:t>
      </w:r>
    </w:p>
    <w:p w:rsidR="0002693C" w:rsidRPr="00EE003F" w:rsidRDefault="0002693C" w:rsidP="000C7DC2">
      <w:pPr>
        <w:pStyle w:val="Prrafodelista"/>
        <w:numPr>
          <w:ilvl w:val="0"/>
          <w:numId w:val="11"/>
        </w:numPr>
        <w:tabs>
          <w:tab w:val="left" w:pos="426"/>
        </w:tabs>
        <w:jc w:val="both"/>
        <w:rPr>
          <w:rFonts w:ascii="Arial Narrow" w:hAnsi="Arial Narrow"/>
          <w:sz w:val="24"/>
          <w:szCs w:val="24"/>
          <w:lang w:val="en-US"/>
        </w:rPr>
      </w:pPr>
      <w:r w:rsidRPr="00EE003F">
        <w:rPr>
          <w:rFonts w:ascii="Arial Narrow" w:hAnsi="Arial Narrow"/>
          <w:sz w:val="24"/>
          <w:szCs w:val="24"/>
        </w:rPr>
        <w:t>Vara, A. (2013). Los costos empresariales de la violencia contra las mujeres en el Perú.</w:t>
      </w:r>
      <w:r w:rsidR="00705542" w:rsidRPr="00EE003F">
        <w:rPr>
          <w:rFonts w:ascii="Arial Narrow" w:hAnsi="Arial Narrow"/>
          <w:sz w:val="24"/>
          <w:szCs w:val="24"/>
        </w:rPr>
        <w:t xml:space="preserve"> </w:t>
      </w:r>
      <w:r w:rsidRPr="00EE003F">
        <w:rPr>
          <w:rFonts w:ascii="Arial Narrow" w:hAnsi="Arial Narrow"/>
          <w:sz w:val="24"/>
          <w:szCs w:val="24"/>
          <w:lang w:val="en-US"/>
        </w:rPr>
        <w:t>Lima: Deutsche Gesellschaft für Internationale Zusammenarbeit.</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Vásquez, A. y Bendezú, L. (2008). Ensayos sobre el rol de la infraestructura vial en el crecimiento económico del Perú. Lima: Consorcio de Investigación Económica y Social y Banco Central de Reserva del Perú.</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Vásquez, A., García, R., Quintanilla, E., Salvador, J. y D. Orosco (2012). Acceso a la Energía en el Perú: algunas opciones de política. Documento de trabajo n.° 29,</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Oficina de Estudios Económicos-Osinergmin-Perú. Lima: Osinergmin.</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Villanueva, R. (2009). Homicidio y feminicidio en el Perú, setiembre 2008 - junio 2009.</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Lima: Observatorio de Criminalidad del Ministerio Público.</w:t>
      </w:r>
    </w:p>
    <w:p w:rsidR="0002693C" w:rsidRPr="00EE003F" w:rsidRDefault="0002693C" w:rsidP="000C7DC2">
      <w:pPr>
        <w:pStyle w:val="Prrafodelista"/>
        <w:numPr>
          <w:ilvl w:val="0"/>
          <w:numId w:val="11"/>
        </w:numPr>
        <w:tabs>
          <w:tab w:val="left" w:pos="426"/>
        </w:tabs>
        <w:jc w:val="both"/>
        <w:rPr>
          <w:rFonts w:ascii="Arial Narrow" w:hAnsi="Arial Narrow"/>
          <w:sz w:val="24"/>
          <w:szCs w:val="24"/>
        </w:rPr>
      </w:pPr>
      <w:r w:rsidRPr="00EE003F">
        <w:rPr>
          <w:rFonts w:ascii="Arial Narrow" w:hAnsi="Arial Narrow"/>
          <w:sz w:val="24"/>
          <w:szCs w:val="24"/>
        </w:rPr>
        <w:t>Zambrano, O. y Beltrán I. (2012). Retos de desarrollo del Perú 2012-2016. Lima: Banco</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Interamericano de Desarrollo.</w:t>
      </w:r>
    </w:p>
    <w:p w:rsidR="0002693C" w:rsidRPr="00EE003F" w:rsidRDefault="0002693C" w:rsidP="00A450DA">
      <w:pPr>
        <w:tabs>
          <w:tab w:val="left" w:pos="426"/>
        </w:tabs>
        <w:jc w:val="both"/>
        <w:rPr>
          <w:rFonts w:ascii="Arial Narrow" w:hAnsi="Arial Narrow"/>
          <w:sz w:val="24"/>
          <w:szCs w:val="24"/>
        </w:rPr>
      </w:pPr>
      <w:r w:rsidRPr="00EE003F">
        <w:rPr>
          <w:rFonts w:ascii="Arial Narrow" w:hAnsi="Arial Narrow"/>
          <w:sz w:val="24"/>
          <w:szCs w:val="24"/>
        </w:rPr>
        <w:t>CAPÍTULOS DE LIBROS</w:t>
      </w:r>
    </w:p>
    <w:p w:rsidR="0002693C" w:rsidRPr="00EE003F" w:rsidRDefault="0002693C" w:rsidP="000C7DC2">
      <w:pPr>
        <w:pStyle w:val="Prrafodelista"/>
        <w:numPr>
          <w:ilvl w:val="0"/>
          <w:numId w:val="12"/>
        </w:numPr>
        <w:tabs>
          <w:tab w:val="left" w:pos="426"/>
        </w:tabs>
        <w:jc w:val="both"/>
        <w:rPr>
          <w:rFonts w:ascii="Arial Narrow" w:hAnsi="Arial Narrow"/>
          <w:sz w:val="24"/>
          <w:szCs w:val="24"/>
        </w:rPr>
      </w:pPr>
      <w:r w:rsidRPr="00EE003F">
        <w:rPr>
          <w:rFonts w:ascii="Arial Narrow" w:hAnsi="Arial Narrow"/>
          <w:sz w:val="24"/>
          <w:szCs w:val="24"/>
        </w:rPr>
        <w:t>Anderson, C. (2011). Competitividad y la productividad total de los factores. En Alarco,G.  (coord.), Competitividad y desarrollo: evolución y perspectivas recientes (pp. 56-76).</w:t>
      </w:r>
    </w:p>
    <w:p w:rsidR="0002693C" w:rsidRPr="00EE003F" w:rsidRDefault="0002693C" w:rsidP="000C7DC2">
      <w:pPr>
        <w:pStyle w:val="Prrafodelista"/>
        <w:numPr>
          <w:ilvl w:val="0"/>
          <w:numId w:val="12"/>
        </w:numPr>
        <w:tabs>
          <w:tab w:val="left" w:pos="426"/>
        </w:tabs>
        <w:jc w:val="both"/>
        <w:rPr>
          <w:rFonts w:ascii="Arial Narrow" w:hAnsi="Arial Narrow"/>
          <w:sz w:val="24"/>
          <w:szCs w:val="24"/>
        </w:rPr>
      </w:pPr>
      <w:r w:rsidRPr="00EE003F">
        <w:rPr>
          <w:rFonts w:ascii="Arial Narrow" w:hAnsi="Arial Narrow"/>
          <w:sz w:val="24"/>
          <w:szCs w:val="24"/>
        </w:rPr>
        <w:t>Dammert, A. y García, R. (2012). El rol del Estado en el acceso igualitario a los servicios públicos: evaluación y agenda pendiente. En Iguíñiz, J. y León, J. (Comp.), Desigualdad distributiva en el Perú: Dimensiones (pp. 197-234).</w:t>
      </w:r>
    </w:p>
    <w:p w:rsidR="0002693C" w:rsidRPr="00EE003F" w:rsidRDefault="0002693C" w:rsidP="000C7DC2">
      <w:pPr>
        <w:pStyle w:val="Prrafodelista"/>
        <w:numPr>
          <w:ilvl w:val="0"/>
          <w:numId w:val="12"/>
        </w:numPr>
        <w:tabs>
          <w:tab w:val="left" w:pos="426"/>
        </w:tabs>
        <w:jc w:val="both"/>
        <w:rPr>
          <w:rFonts w:ascii="Arial Narrow" w:hAnsi="Arial Narrow"/>
          <w:sz w:val="24"/>
          <w:szCs w:val="24"/>
        </w:rPr>
      </w:pPr>
      <w:r w:rsidRPr="00EE003F">
        <w:rPr>
          <w:rFonts w:ascii="Arial Narrow" w:hAnsi="Arial Narrow"/>
          <w:sz w:val="24"/>
          <w:szCs w:val="24"/>
        </w:rPr>
        <w:t>Glave, M. (2012). Ordenamiento territorial y desarrollo en el Perú: notas conceptuales y balance sobre logros y limitaciones. En GRADE (edit.), Desarrollo rural y recursos naturales (pp. 123-125). Lima: Autor.</w:t>
      </w:r>
    </w:p>
    <w:p w:rsidR="0002693C" w:rsidRPr="00EE003F" w:rsidRDefault="0002693C" w:rsidP="000C7DC2">
      <w:pPr>
        <w:pStyle w:val="Prrafodelista"/>
        <w:numPr>
          <w:ilvl w:val="0"/>
          <w:numId w:val="12"/>
        </w:numPr>
        <w:tabs>
          <w:tab w:val="left" w:pos="426"/>
        </w:tabs>
        <w:jc w:val="both"/>
        <w:rPr>
          <w:rFonts w:ascii="Arial Narrow" w:hAnsi="Arial Narrow"/>
          <w:sz w:val="24"/>
          <w:szCs w:val="24"/>
          <w:lang w:val="en-US"/>
        </w:rPr>
      </w:pPr>
      <w:r w:rsidRPr="00EE003F">
        <w:rPr>
          <w:rFonts w:ascii="Arial Narrow" w:hAnsi="Arial Narrow"/>
          <w:sz w:val="24"/>
          <w:szCs w:val="24"/>
          <w:lang w:val="en-US"/>
        </w:rPr>
        <w:t>Krugman, P. (1999). The Role of Geography in Development. En Pleskovic, B., Stiglitz, J. (edits.), World Bank Conference on Development Economics 1998, 1 (pp. 89-107). Washington, D.C.: World Bank.</w:t>
      </w:r>
    </w:p>
    <w:p w:rsidR="0002693C" w:rsidRPr="00EE003F" w:rsidRDefault="0002693C" w:rsidP="000C7DC2">
      <w:pPr>
        <w:pStyle w:val="Prrafodelista"/>
        <w:numPr>
          <w:ilvl w:val="0"/>
          <w:numId w:val="12"/>
        </w:numPr>
        <w:tabs>
          <w:tab w:val="left" w:pos="426"/>
        </w:tabs>
        <w:jc w:val="both"/>
        <w:rPr>
          <w:rFonts w:ascii="Arial Narrow" w:hAnsi="Arial Narrow"/>
          <w:sz w:val="24"/>
          <w:szCs w:val="24"/>
        </w:rPr>
      </w:pPr>
      <w:r w:rsidRPr="00EE003F">
        <w:rPr>
          <w:rFonts w:ascii="Arial Narrow" w:hAnsi="Arial Narrow"/>
          <w:sz w:val="24"/>
          <w:szCs w:val="24"/>
        </w:rPr>
        <w:t>Tello, M. (2011). Seis ‘golden rules’ en el diseño de una estrategia de desarrollo para el Perú. En Tello, M. y Rodríguez, J. (edits.), Opciones de política económica en el Perú: 2011-2015 (pp. 371-408). Lima: Pontificia Universidad Católica del Perú.</w:t>
      </w:r>
    </w:p>
    <w:p w:rsidR="0002693C" w:rsidRPr="00EE003F" w:rsidRDefault="0002693C" w:rsidP="000C7DC2">
      <w:pPr>
        <w:pStyle w:val="Prrafodelista"/>
        <w:numPr>
          <w:ilvl w:val="0"/>
          <w:numId w:val="12"/>
        </w:numPr>
        <w:tabs>
          <w:tab w:val="left" w:pos="426"/>
        </w:tabs>
        <w:jc w:val="both"/>
        <w:rPr>
          <w:rFonts w:ascii="Arial Narrow" w:hAnsi="Arial Narrow"/>
          <w:sz w:val="24"/>
          <w:szCs w:val="24"/>
          <w:lang w:val="en-US"/>
        </w:rPr>
      </w:pPr>
      <w:r w:rsidRPr="00EE003F">
        <w:rPr>
          <w:rFonts w:ascii="Arial Narrow" w:hAnsi="Arial Narrow"/>
          <w:sz w:val="24"/>
          <w:szCs w:val="24"/>
          <w:lang w:val="en-US"/>
        </w:rPr>
        <w:t>Sen, A. (1993). Capability and Well Being. En Nussbaum, M. y Sen, A. (edits.), The Quality of Life. Oxford: Clarendon.</w:t>
      </w:r>
    </w:p>
    <w:p w:rsidR="0002693C" w:rsidRPr="00EE003F" w:rsidRDefault="0002693C" w:rsidP="00A450DA">
      <w:pPr>
        <w:tabs>
          <w:tab w:val="left" w:pos="426"/>
        </w:tabs>
        <w:jc w:val="both"/>
        <w:rPr>
          <w:rFonts w:ascii="Arial Narrow" w:hAnsi="Arial Narrow"/>
          <w:sz w:val="24"/>
          <w:szCs w:val="24"/>
          <w:lang w:val="en-US"/>
        </w:rPr>
      </w:pPr>
      <w:r w:rsidRPr="00EE003F">
        <w:rPr>
          <w:rFonts w:ascii="Arial Narrow" w:hAnsi="Arial Narrow"/>
          <w:sz w:val="24"/>
          <w:szCs w:val="24"/>
          <w:lang w:val="en-US"/>
        </w:rPr>
        <w:t>ARTÍCULOS Y/O PAPERS</w:t>
      </w:r>
    </w:p>
    <w:p w:rsidR="0002693C" w:rsidRPr="00EE003F" w:rsidRDefault="0002693C" w:rsidP="000C7DC2">
      <w:pPr>
        <w:pStyle w:val="Prrafodelista"/>
        <w:numPr>
          <w:ilvl w:val="0"/>
          <w:numId w:val="13"/>
        </w:numPr>
        <w:tabs>
          <w:tab w:val="left" w:pos="426"/>
        </w:tabs>
        <w:jc w:val="both"/>
        <w:rPr>
          <w:rFonts w:ascii="Arial Narrow" w:hAnsi="Arial Narrow"/>
          <w:sz w:val="24"/>
          <w:szCs w:val="24"/>
        </w:rPr>
      </w:pPr>
      <w:r w:rsidRPr="00EE003F">
        <w:rPr>
          <w:rFonts w:ascii="Arial Narrow" w:hAnsi="Arial Narrow"/>
          <w:sz w:val="24"/>
          <w:szCs w:val="24"/>
        </w:rPr>
        <w:t xml:space="preserve">APOYO Consultoría (2013, setiembre). Cuatro medidas para mejorar la infraestructura de forma eficiente y sostenible. Propuesta de política n.° 2. Disponible en: </w:t>
      </w:r>
      <w:hyperlink r:id="rId184" w:history="1">
        <w:r w:rsidRPr="00EE003F">
          <w:rPr>
            <w:rStyle w:val="Hipervnculo"/>
            <w:rFonts w:ascii="Arial Narrow" w:hAnsi="Arial Narrow"/>
            <w:color w:val="auto"/>
            <w:sz w:val="24"/>
            <w:szCs w:val="24"/>
            <w:u w:val="none"/>
          </w:rPr>
          <w:t>http://www.apoyoconsultoria.com/PAR_Documento/Propuestas%20de%20</w:t>
        </w:r>
      </w:hyperlink>
      <w:r w:rsidRPr="00EE003F">
        <w:rPr>
          <w:rFonts w:ascii="Arial Narrow" w:hAnsi="Arial Narrow"/>
          <w:sz w:val="24"/>
          <w:szCs w:val="24"/>
        </w:rPr>
        <w:t xml:space="preserve"> Pol%C3%ADtica%20N2_AC.pdf</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Alkire, S. (2002). Dimensions of Human Development. World Development, 30, n.° 2 (pp. 181-205).</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Aschauer, D. (1989). Is Public Expenditure Productive? Journal of Monetary Economics, March (pp. 177-200).</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Barro, R. (1989). Economic Growth in a Cross Section of Countries. NBER Working Papers 3120, National Bureau of Economic Research, Inc.</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Barro, R. (1990). A Government Spending in a Simple Model of Endogenous Growth Journal of Political Economy, 98 (pp. 103-125).</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rPr>
        <w:t xml:space="preserve">Barro, R. y Lee, J. (1994). </w:t>
      </w:r>
      <w:r w:rsidRPr="00EE003F">
        <w:rPr>
          <w:rFonts w:ascii="Arial Narrow" w:hAnsi="Arial Narrow"/>
          <w:sz w:val="24"/>
          <w:szCs w:val="24"/>
          <w:lang w:val="en-US"/>
        </w:rPr>
        <w:t>Sources of Economic Growth. Carnegie-Rochester Conference. Series on Public Policy, 40 (pp. 1-46).</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rPr>
        <w:t xml:space="preserve">Barro, R. y Jong-Wha L. (2011). </w:t>
      </w:r>
      <w:r w:rsidRPr="00EE003F">
        <w:rPr>
          <w:rFonts w:ascii="Arial Narrow" w:hAnsi="Arial Narrow"/>
          <w:sz w:val="24"/>
          <w:szCs w:val="24"/>
          <w:lang w:val="en-US"/>
        </w:rPr>
        <w:t>A New Data Set of Educational Attainment in the World, 1950-2010.Journal of Development Economics.</w:t>
      </w:r>
    </w:p>
    <w:p w:rsidR="0002693C" w:rsidRPr="00EE003F" w:rsidRDefault="0002693C" w:rsidP="000C7DC2">
      <w:pPr>
        <w:pStyle w:val="Prrafodelista"/>
        <w:numPr>
          <w:ilvl w:val="0"/>
          <w:numId w:val="13"/>
        </w:numPr>
        <w:tabs>
          <w:tab w:val="left" w:pos="426"/>
        </w:tabs>
        <w:jc w:val="both"/>
        <w:rPr>
          <w:rFonts w:ascii="Arial Narrow" w:hAnsi="Arial Narrow"/>
          <w:sz w:val="24"/>
          <w:szCs w:val="24"/>
        </w:rPr>
      </w:pPr>
      <w:r w:rsidRPr="00EE003F">
        <w:rPr>
          <w:rFonts w:ascii="Arial Narrow" w:hAnsi="Arial Narrow"/>
          <w:sz w:val="24"/>
          <w:szCs w:val="24"/>
        </w:rPr>
        <w:t>Bonifaz y Aparicio (2013). La gestión del sistema de transporte público peruano al 2050. Documento elaborado para el Centro Nacional de Planeamiento Estratégico. Lima.</w:t>
      </w:r>
    </w:p>
    <w:p w:rsidR="0002693C" w:rsidRPr="00EE003F" w:rsidRDefault="0002693C" w:rsidP="000C7DC2">
      <w:pPr>
        <w:pStyle w:val="Prrafodelista"/>
        <w:numPr>
          <w:ilvl w:val="0"/>
          <w:numId w:val="13"/>
        </w:numPr>
        <w:tabs>
          <w:tab w:val="left" w:pos="426"/>
        </w:tabs>
        <w:jc w:val="both"/>
        <w:rPr>
          <w:rFonts w:ascii="Arial Narrow" w:hAnsi="Arial Narrow"/>
          <w:sz w:val="24"/>
          <w:szCs w:val="24"/>
        </w:rPr>
      </w:pPr>
      <w:r w:rsidRPr="00EE003F">
        <w:rPr>
          <w:rFonts w:ascii="Arial Narrow" w:hAnsi="Arial Narrow"/>
          <w:sz w:val="24"/>
          <w:szCs w:val="24"/>
          <w:lang w:val="en-US"/>
        </w:rPr>
        <w:t xml:space="preserve">Canning, D. y Pedroni, P. (2009). Infrastructure and Long Run Economic Growth. JEL Classifications: O1, H4. Cambridge: Harvard Institute for International Development. </w:t>
      </w:r>
      <w:r w:rsidRPr="00EE003F">
        <w:rPr>
          <w:rFonts w:ascii="Arial Narrow" w:hAnsi="Arial Narrow"/>
          <w:sz w:val="24"/>
          <w:szCs w:val="24"/>
        </w:rPr>
        <w:t>Disponible en: http://www.economics.cornell.edu/cae/infrastructure-7-99.pdf</w:t>
      </w:r>
    </w:p>
    <w:p w:rsidR="0002693C" w:rsidRPr="00EE003F" w:rsidRDefault="0002693C" w:rsidP="000C7DC2">
      <w:pPr>
        <w:pStyle w:val="Prrafodelista"/>
        <w:numPr>
          <w:ilvl w:val="0"/>
          <w:numId w:val="13"/>
        </w:numPr>
        <w:tabs>
          <w:tab w:val="left" w:pos="426"/>
        </w:tabs>
        <w:jc w:val="both"/>
        <w:rPr>
          <w:rFonts w:ascii="Arial Narrow" w:hAnsi="Arial Narrow"/>
          <w:sz w:val="24"/>
          <w:szCs w:val="24"/>
        </w:rPr>
      </w:pPr>
      <w:r w:rsidRPr="00EE003F">
        <w:rPr>
          <w:rFonts w:ascii="Arial Narrow" w:hAnsi="Arial Narrow"/>
          <w:sz w:val="24"/>
          <w:szCs w:val="24"/>
        </w:rPr>
        <w:t xml:space="preserve">Castillo, P., Quispe, Z., Contreras, A. y Rojas, Y. (2011). Política macroprudencial en los países de la región. Revista Moneda (pp. 4-7). Disponible en: </w:t>
      </w:r>
      <w:hyperlink r:id="rId185" w:history="1">
        <w:r w:rsidRPr="00EE003F">
          <w:rPr>
            <w:rStyle w:val="Hipervnculo"/>
            <w:rFonts w:ascii="Arial Narrow" w:hAnsi="Arial Narrow"/>
            <w:color w:val="auto"/>
            <w:sz w:val="24"/>
            <w:szCs w:val="24"/>
            <w:u w:val="none"/>
          </w:rPr>
          <w:t>http://www.bcrp.gob.pe/</w:t>
        </w:r>
      </w:hyperlink>
      <w:r w:rsidRPr="00EE003F">
        <w:rPr>
          <w:rFonts w:ascii="Arial Narrow" w:hAnsi="Arial Narrow"/>
          <w:sz w:val="24"/>
          <w:szCs w:val="24"/>
        </w:rPr>
        <w:t xml:space="preserve"> docs/Publicaciones/Revista-Moneda/moneda-149/moneda-149-01.pdf&gt;</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 xml:space="preserve">Ihák, M., Demirgü-Kunt, A., Feyen, E., y Levine, R. (2013). Financial Development in 205 Economies, 1960 to 2010. National Bureau of Economic Research, Working Paper </w:t>
      </w:r>
      <w:r w:rsidRPr="00EE003F">
        <w:rPr>
          <w:rFonts w:ascii="Arial Narrow" w:hAnsi="Arial Narrow"/>
          <w:sz w:val="24"/>
          <w:szCs w:val="24"/>
        </w:rPr>
        <w:t>n.° 18946.</w:t>
      </w:r>
    </w:p>
    <w:p w:rsidR="0002693C" w:rsidRPr="00EE003F" w:rsidRDefault="0002693C" w:rsidP="000C7DC2">
      <w:pPr>
        <w:pStyle w:val="Prrafodelista"/>
        <w:numPr>
          <w:ilvl w:val="0"/>
          <w:numId w:val="13"/>
        </w:numPr>
        <w:tabs>
          <w:tab w:val="left" w:pos="426"/>
        </w:tabs>
        <w:jc w:val="both"/>
        <w:rPr>
          <w:rFonts w:ascii="Arial Narrow" w:hAnsi="Arial Narrow"/>
          <w:sz w:val="24"/>
          <w:szCs w:val="24"/>
        </w:rPr>
      </w:pPr>
      <w:r w:rsidRPr="00EE003F">
        <w:rPr>
          <w:rFonts w:ascii="Arial Narrow" w:hAnsi="Arial Narrow"/>
          <w:sz w:val="24"/>
          <w:szCs w:val="24"/>
        </w:rPr>
        <w:t>Díaz, E. (2011). Desarrollo territorial enfoque para la superación de la pobreza, la inequidad y la exclusión. Lima: Ministerio de la Mujer y Desarrollo Social. Dirección General de Descentralización.</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Duflo, E. (2000). Schooling and Labor Market Consequences of School Construction in Indonesia: Evidence from an Unusual Policy Experiment. The American Economic Review, 91 (4) (pp. 795-813).</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rPr>
        <w:t xml:space="preserve">Florida, R., Mellander, C. y Stolarick, K. (2008). </w:t>
      </w:r>
      <w:r w:rsidRPr="00EE003F">
        <w:rPr>
          <w:rFonts w:ascii="Arial Narrow" w:hAnsi="Arial Narrow"/>
          <w:sz w:val="24"/>
          <w:szCs w:val="24"/>
          <w:lang w:val="en-US"/>
        </w:rPr>
        <w:t>Inside the Black Box of Regional</w:t>
      </w:r>
      <w:r w:rsidR="00705542" w:rsidRPr="00EE003F">
        <w:rPr>
          <w:rFonts w:ascii="Arial Narrow" w:hAnsi="Arial Narrow"/>
          <w:sz w:val="24"/>
          <w:szCs w:val="24"/>
          <w:lang w:val="en-US"/>
        </w:rPr>
        <w:t xml:space="preserve"> </w:t>
      </w:r>
      <w:r w:rsidRPr="00EE003F">
        <w:rPr>
          <w:rFonts w:ascii="Arial Narrow" w:hAnsi="Arial Narrow"/>
          <w:sz w:val="24"/>
          <w:szCs w:val="24"/>
          <w:lang w:val="en-US"/>
        </w:rPr>
        <w:t>Development: Human Capital, the Creative Class and Tolerance. Journal of Economic Geography. Oxford University Press, 8(5) (pp. 615-649).</w:t>
      </w:r>
    </w:p>
    <w:p w:rsidR="0002693C" w:rsidRPr="00EE003F" w:rsidRDefault="0002693C" w:rsidP="000C7DC2">
      <w:pPr>
        <w:pStyle w:val="Prrafodelista"/>
        <w:numPr>
          <w:ilvl w:val="0"/>
          <w:numId w:val="13"/>
        </w:numPr>
        <w:tabs>
          <w:tab w:val="left" w:pos="426"/>
        </w:tabs>
        <w:jc w:val="both"/>
        <w:rPr>
          <w:rFonts w:ascii="Arial Narrow" w:hAnsi="Arial Narrow"/>
          <w:sz w:val="24"/>
          <w:szCs w:val="24"/>
        </w:rPr>
      </w:pPr>
      <w:r w:rsidRPr="00EE003F">
        <w:rPr>
          <w:rFonts w:ascii="Arial Narrow" w:hAnsi="Arial Narrow"/>
          <w:sz w:val="24"/>
          <w:szCs w:val="24"/>
        </w:rPr>
        <w:t>Gallardo, J., López, K. y Gonzales, C† (2007). Perú: evolución del acceso, la cobertura y la penetración en los servicios de telefonía (Reporte n.° 1. SGI-GPR 2007). Lima:</w:t>
      </w:r>
      <w:r w:rsidR="00705542" w:rsidRPr="00EE003F">
        <w:rPr>
          <w:rFonts w:ascii="Arial Narrow" w:hAnsi="Arial Narrow"/>
          <w:sz w:val="24"/>
          <w:szCs w:val="24"/>
        </w:rPr>
        <w:t xml:space="preserve"> </w:t>
      </w:r>
      <w:r w:rsidRPr="00EE003F">
        <w:rPr>
          <w:rFonts w:ascii="Arial Narrow" w:hAnsi="Arial Narrow"/>
          <w:sz w:val="24"/>
          <w:szCs w:val="24"/>
        </w:rPr>
        <w:t>Organismo Supervisor de la Inversión Privada en Telecomunicaciones.</w:t>
      </w:r>
    </w:p>
    <w:p w:rsidR="0002693C" w:rsidRPr="00EE003F" w:rsidRDefault="0002693C" w:rsidP="000C7DC2">
      <w:pPr>
        <w:pStyle w:val="Prrafodelista"/>
        <w:numPr>
          <w:ilvl w:val="0"/>
          <w:numId w:val="13"/>
        </w:numPr>
        <w:tabs>
          <w:tab w:val="left" w:pos="426"/>
        </w:tabs>
        <w:jc w:val="both"/>
        <w:rPr>
          <w:rFonts w:ascii="Arial Narrow" w:hAnsi="Arial Narrow"/>
          <w:sz w:val="24"/>
          <w:szCs w:val="24"/>
        </w:rPr>
      </w:pPr>
      <w:r w:rsidRPr="00EE003F">
        <w:rPr>
          <w:rFonts w:ascii="Arial Narrow" w:hAnsi="Arial Narrow"/>
          <w:sz w:val="24"/>
          <w:szCs w:val="24"/>
        </w:rPr>
        <w:t>Greiff, P. (2011). Justicia y reparaciones. En: Reátegui, F. (edit.), Justicia transicional:</w:t>
      </w:r>
      <w:r w:rsidR="00705542" w:rsidRPr="00EE003F">
        <w:rPr>
          <w:rFonts w:ascii="Arial Narrow" w:hAnsi="Arial Narrow"/>
          <w:sz w:val="24"/>
          <w:szCs w:val="24"/>
        </w:rPr>
        <w:t xml:space="preserve"> </w:t>
      </w:r>
      <w:r w:rsidRPr="00EE003F">
        <w:rPr>
          <w:rFonts w:ascii="Arial Narrow" w:hAnsi="Arial Narrow"/>
          <w:sz w:val="24"/>
          <w:szCs w:val="24"/>
        </w:rPr>
        <w:t>Manual para América Latina (pp. 407-440). Brasilia: Comisión de Amnistía, Ministerio de Justicia; Nueva York: Centro Internacional para la Justicia Transicional.</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Grossman, G. M. y Helpman, E. (1994). Endogenous innovation in the theory of growth. The Journal of Economic Perspectives, 8(1) (pp. 23-44).</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Hausmann, R. y Hidalgo, C. (2009). The Building Blocks of Economic Complexity.</w:t>
      </w:r>
      <w:r w:rsidR="00705542" w:rsidRPr="00EE003F">
        <w:rPr>
          <w:rFonts w:ascii="Arial Narrow" w:hAnsi="Arial Narrow"/>
          <w:sz w:val="24"/>
          <w:szCs w:val="24"/>
          <w:lang w:val="en-US"/>
        </w:rPr>
        <w:t xml:space="preserve"> </w:t>
      </w:r>
      <w:r w:rsidRPr="00EE003F">
        <w:rPr>
          <w:rFonts w:ascii="Arial Narrow" w:hAnsi="Arial Narrow"/>
          <w:sz w:val="24"/>
          <w:szCs w:val="24"/>
          <w:lang w:val="en-US"/>
        </w:rPr>
        <w:t>Proceedings of the National Academy of Sciences, 106 (26), (pp. 10570-10575).</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rPr>
        <w:t xml:space="preserve">Hausmann, R. e Hidalgo, C. (2011). </w:t>
      </w:r>
      <w:r w:rsidRPr="00EE003F">
        <w:rPr>
          <w:rFonts w:ascii="Arial Narrow" w:hAnsi="Arial Narrow"/>
          <w:sz w:val="24"/>
          <w:szCs w:val="24"/>
          <w:lang w:val="en-US"/>
        </w:rPr>
        <w:t>The Network Structure of Economic Output.</w:t>
      </w:r>
      <w:r w:rsidR="00705542" w:rsidRPr="00EE003F">
        <w:rPr>
          <w:rFonts w:ascii="Arial Narrow" w:hAnsi="Arial Narrow"/>
          <w:sz w:val="24"/>
          <w:szCs w:val="24"/>
          <w:lang w:val="en-US"/>
        </w:rPr>
        <w:t xml:space="preserve"> </w:t>
      </w:r>
      <w:r w:rsidRPr="00EE003F">
        <w:rPr>
          <w:rFonts w:ascii="Arial Narrow" w:hAnsi="Arial Narrow"/>
          <w:sz w:val="24"/>
          <w:szCs w:val="24"/>
          <w:lang w:val="en-US"/>
        </w:rPr>
        <w:t>Journal of Economic Growth, 16:309–342.</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Heckman, J. (2000). Policies to Foster Human Capital. Research in Economics, 54(1)</w:t>
      </w:r>
      <w:r w:rsidR="00705542" w:rsidRPr="00EE003F">
        <w:rPr>
          <w:rFonts w:ascii="Arial Narrow" w:hAnsi="Arial Narrow"/>
          <w:sz w:val="24"/>
          <w:szCs w:val="24"/>
          <w:lang w:val="en-US"/>
        </w:rPr>
        <w:t xml:space="preserve"> </w:t>
      </w:r>
      <w:r w:rsidRPr="00EE003F">
        <w:rPr>
          <w:rFonts w:ascii="Arial Narrow" w:hAnsi="Arial Narrow"/>
          <w:sz w:val="24"/>
          <w:szCs w:val="24"/>
          <w:lang w:val="en-US"/>
        </w:rPr>
        <w:t>(pp. 3-56).</w:t>
      </w:r>
    </w:p>
    <w:p w:rsidR="0002693C" w:rsidRPr="00EE003F" w:rsidRDefault="0002693C" w:rsidP="000C7DC2">
      <w:pPr>
        <w:pStyle w:val="Prrafodelista"/>
        <w:numPr>
          <w:ilvl w:val="0"/>
          <w:numId w:val="13"/>
        </w:numPr>
        <w:tabs>
          <w:tab w:val="left" w:pos="426"/>
        </w:tabs>
        <w:jc w:val="both"/>
        <w:rPr>
          <w:rFonts w:ascii="Arial Narrow" w:hAnsi="Arial Narrow"/>
          <w:sz w:val="24"/>
          <w:szCs w:val="24"/>
        </w:rPr>
      </w:pPr>
      <w:r w:rsidRPr="00EE003F">
        <w:rPr>
          <w:rFonts w:ascii="Arial Narrow" w:hAnsi="Arial Narrow"/>
          <w:sz w:val="24"/>
          <w:szCs w:val="24"/>
        </w:rPr>
        <w:t xml:space="preserve">Heckman, J. y Carbeurim O. (2003). </w:t>
      </w:r>
      <w:r w:rsidRPr="00EE003F">
        <w:rPr>
          <w:rFonts w:ascii="Arial Narrow" w:hAnsi="Arial Narrow"/>
          <w:sz w:val="24"/>
          <w:szCs w:val="24"/>
          <w:lang w:val="en-US"/>
        </w:rPr>
        <w:t>Human Capital Policy. Working Paper 9495. NBER.</w:t>
      </w:r>
      <w:r w:rsidR="00705542" w:rsidRPr="00EE003F">
        <w:rPr>
          <w:rFonts w:ascii="Arial Narrow" w:hAnsi="Arial Narrow"/>
          <w:sz w:val="24"/>
          <w:szCs w:val="24"/>
          <w:lang w:val="en-US"/>
        </w:rPr>
        <w:t xml:space="preserve"> </w:t>
      </w:r>
      <w:r w:rsidRPr="00EE003F">
        <w:rPr>
          <w:rFonts w:ascii="Arial Narrow" w:hAnsi="Arial Narrow"/>
          <w:sz w:val="24"/>
          <w:szCs w:val="24"/>
        </w:rPr>
        <w:t xml:space="preserve">Feb. 2003. Disponible en: </w:t>
      </w:r>
      <w:hyperlink r:id="rId186" w:history="1">
        <w:r w:rsidRPr="00EE003F">
          <w:rPr>
            <w:rStyle w:val="Hipervnculo"/>
            <w:rFonts w:ascii="Arial Narrow" w:hAnsi="Arial Narrow"/>
            <w:color w:val="auto"/>
            <w:sz w:val="24"/>
            <w:szCs w:val="24"/>
          </w:rPr>
          <w:t>http://nber.org/papers/w9495</w:t>
        </w:r>
      </w:hyperlink>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rPr>
        <w:t xml:space="preserve">Heckman, J. y Yi, J. (2012, mayo). </w:t>
      </w:r>
      <w:r w:rsidRPr="00EE003F">
        <w:rPr>
          <w:rFonts w:ascii="Arial Narrow" w:hAnsi="Arial Narrow"/>
          <w:sz w:val="24"/>
          <w:szCs w:val="24"/>
          <w:lang w:val="en-US"/>
        </w:rPr>
        <w:t>Human Capital, Economic Growth, and Inequality in China. National Bureau of Economic Research, Working Paper n.° 18100.</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Lucas, R. (1989). On the Mechanics of Economic Development. NBER Reprint No.</w:t>
      </w:r>
      <w:r w:rsidR="00705542" w:rsidRPr="00EE003F">
        <w:rPr>
          <w:rFonts w:ascii="Arial Narrow" w:hAnsi="Arial Narrow"/>
          <w:sz w:val="24"/>
          <w:szCs w:val="24"/>
          <w:lang w:val="en-US"/>
        </w:rPr>
        <w:t xml:space="preserve"> </w:t>
      </w:r>
      <w:r w:rsidRPr="00EE003F">
        <w:rPr>
          <w:rFonts w:ascii="Arial Narrow" w:hAnsi="Arial Narrow"/>
          <w:sz w:val="24"/>
          <w:szCs w:val="24"/>
          <w:lang w:val="en-US"/>
        </w:rPr>
        <w:t>1176, May 1989.</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Romer, P. (1986). Increasing Returns and Lon Run Growth. Journal of Political Economy,</w:t>
      </w:r>
      <w:r w:rsidR="00705542" w:rsidRPr="00EE003F">
        <w:rPr>
          <w:rFonts w:ascii="Arial Narrow" w:hAnsi="Arial Narrow"/>
          <w:sz w:val="24"/>
          <w:szCs w:val="24"/>
          <w:lang w:val="en-US"/>
        </w:rPr>
        <w:t xml:space="preserve"> </w:t>
      </w:r>
      <w:r w:rsidRPr="00EE003F">
        <w:rPr>
          <w:rFonts w:ascii="Arial Narrow" w:hAnsi="Arial Narrow"/>
          <w:sz w:val="24"/>
          <w:szCs w:val="24"/>
          <w:lang w:val="en-US"/>
        </w:rPr>
        <w:t>October 1986.</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Rodrik, D. (2006). Industrial Development for the 21st Century. Stylized facts and policies. Harvard University.</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Sen, A. (2004). Elements of a Theory of Human Rights. Philosophy and Public Affairs,</w:t>
      </w:r>
      <w:r w:rsidR="00705542" w:rsidRPr="00EE003F">
        <w:rPr>
          <w:rFonts w:ascii="Arial Narrow" w:hAnsi="Arial Narrow"/>
          <w:sz w:val="24"/>
          <w:szCs w:val="24"/>
          <w:lang w:val="en-US"/>
        </w:rPr>
        <w:t xml:space="preserve"> </w:t>
      </w:r>
      <w:r w:rsidRPr="00EE003F">
        <w:rPr>
          <w:rFonts w:ascii="Arial Narrow" w:hAnsi="Arial Narrow"/>
          <w:sz w:val="24"/>
          <w:szCs w:val="24"/>
          <w:lang w:val="en-US"/>
        </w:rPr>
        <w:t>32 (4) (pp. 315-356).</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rPr>
        <w:t xml:space="preserve">Stampini, M. y Tornarolli, L. (2012). </w:t>
      </w:r>
      <w:r w:rsidRPr="00EE003F">
        <w:rPr>
          <w:rFonts w:ascii="Arial Narrow" w:hAnsi="Arial Narrow"/>
          <w:sz w:val="24"/>
          <w:szCs w:val="24"/>
          <w:lang w:val="en-US"/>
        </w:rPr>
        <w:t>The Growth of Conditional Cash Transfers in Latin</w:t>
      </w:r>
      <w:r w:rsidR="00705542" w:rsidRPr="00EE003F">
        <w:rPr>
          <w:rFonts w:ascii="Arial Narrow" w:hAnsi="Arial Narrow"/>
          <w:sz w:val="24"/>
          <w:szCs w:val="24"/>
          <w:lang w:val="en-US"/>
        </w:rPr>
        <w:t xml:space="preserve"> </w:t>
      </w:r>
      <w:r w:rsidRPr="00EE003F">
        <w:rPr>
          <w:rFonts w:ascii="Arial Narrow" w:hAnsi="Arial Narrow"/>
          <w:sz w:val="24"/>
          <w:szCs w:val="24"/>
          <w:lang w:val="en-US"/>
        </w:rPr>
        <w:t>America and the Caribbean: Did They Go too far?, Policy Brief No. IDB-PB-185-BID.</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Tanzi, V. (1999, febrero). Distribution of Human Capital is Key Element in Tackling</w:t>
      </w:r>
      <w:r w:rsidR="00705542" w:rsidRPr="00EE003F">
        <w:rPr>
          <w:rFonts w:ascii="Arial Narrow" w:hAnsi="Arial Narrow"/>
          <w:sz w:val="24"/>
          <w:szCs w:val="24"/>
          <w:lang w:val="en-US"/>
        </w:rPr>
        <w:t xml:space="preserve"> </w:t>
      </w:r>
      <w:r w:rsidRPr="00EE003F">
        <w:rPr>
          <w:rFonts w:ascii="Arial Narrow" w:hAnsi="Arial Narrow"/>
          <w:sz w:val="24"/>
          <w:szCs w:val="24"/>
          <w:lang w:val="en-US"/>
        </w:rPr>
        <w:t>Problems of Income Inequality, IMF Survey, 28 (3) (pp. 47-48).</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rPr>
        <w:t xml:space="preserve">Tanzi, V. y Pellecio, A. (1995, febrero). </w:t>
      </w:r>
      <w:r w:rsidRPr="00EE003F">
        <w:rPr>
          <w:rFonts w:ascii="Arial Narrow" w:hAnsi="Arial Narrow"/>
          <w:sz w:val="24"/>
          <w:szCs w:val="24"/>
          <w:lang w:val="en-US"/>
        </w:rPr>
        <w:t>The Reform of Tax Administration WP/95/22.</w:t>
      </w:r>
      <w:r w:rsidR="00705542" w:rsidRPr="00EE003F">
        <w:rPr>
          <w:rFonts w:ascii="Arial Narrow" w:hAnsi="Arial Narrow"/>
          <w:sz w:val="24"/>
          <w:szCs w:val="24"/>
          <w:lang w:val="en-US"/>
        </w:rPr>
        <w:t xml:space="preserve"> </w:t>
      </w:r>
      <w:r w:rsidRPr="00EE003F">
        <w:rPr>
          <w:rFonts w:ascii="Arial Narrow" w:hAnsi="Arial Narrow"/>
          <w:sz w:val="24"/>
          <w:szCs w:val="24"/>
          <w:lang w:val="en-US"/>
        </w:rPr>
        <w:t>Fondo Monetario Internacional.</w:t>
      </w:r>
    </w:p>
    <w:p w:rsidR="0002693C" w:rsidRPr="00EE003F" w:rsidRDefault="0002693C" w:rsidP="000C7DC2">
      <w:pPr>
        <w:pStyle w:val="Prrafodelista"/>
        <w:numPr>
          <w:ilvl w:val="0"/>
          <w:numId w:val="13"/>
        </w:numPr>
        <w:tabs>
          <w:tab w:val="left" w:pos="426"/>
        </w:tabs>
        <w:jc w:val="both"/>
        <w:rPr>
          <w:rFonts w:ascii="Arial Narrow" w:hAnsi="Arial Narrow"/>
          <w:sz w:val="24"/>
          <w:szCs w:val="24"/>
          <w:lang w:val="en-US"/>
        </w:rPr>
      </w:pPr>
      <w:r w:rsidRPr="00EE003F">
        <w:rPr>
          <w:rFonts w:ascii="Arial Narrow" w:hAnsi="Arial Narrow"/>
          <w:sz w:val="24"/>
          <w:szCs w:val="24"/>
          <w:lang w:val="en-US"/>
        </w:rPr>
        <w:t>The Economist (2013). All Creatures Great and Small. The Economist, 51.</w:t>
      </w:r>
    </w:p>
    <w:p w:rsidR="0002693C" w:rsidRPr="00EE003F" w:rsidRDefault="0002693C" w:rsidP="00A450DA">
      <w:pPr>
        <w:tabs>
          <w:tab w:val="left" w:pos="426"/>
        </w:tabs>
        <w:jc w:val="both"/>
        <w:rPr>
          <w:rFonts w:ascii="Arial Narrow" w:hAnsi="Arial Narrow"/>
          <w:sz w:val="24"/>
          <w:szCs w:val="24"/>
          <w:lang w:val="en-US"/>
        </w:rPr>
      </w:pPr>
    </w:p>
    <w:p w:rsidR="0002693C" w:rsidRPr="00EE003F" w:rsidRDefault="0002693C" w:rsidP="00A450DA">
      <w:pPr>
        <w:tabs>
          <w:tab w:val="left" w:pos="426"/>
        </w:tabs>
        <w:jc w:val="both"/>
        <w:rPr>
          <w:rFonts w:ascii="Arial Narrow" w:hAnsi="Arial Narrow"/>
          <w:sz w:val="24"/>
          <w:szCs w:val="24"/>
          <w:lang w:val="en-US"/>
        </w:rPr>
      </w:pPr>
      <w:r w:rsidRPr="00EE003F">
        <w:rPr>
          <w:rFonts w:ascii="Arial Narrow" w:hAnsi="Arial Narrow"/>
          <w:sz w:val="24"/>
          <w:szCs w:val="24"/>
          <w:lang w:val="en-US"/>
        </w:rPr>
        <w:t>BASES DE DATOS</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Central de Reserva del Perú: indicadores económicos, información regional Disponible en: http://www.bcrp.gob.pe/estadisticas.html</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Banco Central de Reserva del Perú: estadísticas económicas, cuadros anuales, PBI por sectores productivos. Disponible en: </w:t>
      </w:r>
      <w:hyperlink r:id="rId187" w:history="1">
        <w:r w:rsidRPr="00EE003F">
          <w:rPr>
            <w:rStyle w:val="Hipervnculo"/>
            <w:rFonts w:ascii="Arial Narrow" w:hAnsi="Arial Narrow"/>
            <w:color w:val="auto"/>
            <w:sz w:val="24"/>
            <w:szCs w:val="24"/>
            <w:u w:val="none"/>
          </w:rPr>
          <w:t>http://www.bcrp.gob.pe/estadisticas/cuadrosanuales-</w:t>
        </w:r>
      </w:hyperlink>
      <w:r w:rsidRPr="00EE003F">
        <w:rPr>
          <w:rFonts w:ascii="Arial Narrow" w:hAnsi="Arial Narrow"/>
          <w:sz w:val="24"/>
          <w:szCs w:val="24"/>
        </w:rPr>
        <w:t>historicos.html</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Banco Central de Reserva del Perú: estadísticas económicas, cuadros anuales, PBI (índice 1994=100), Índice de Precios-Exportaciones, Manufactura (mill. S/. de 1994), PBI (mill. S/. de 1994). Disponible en: </w:t>
      </w:r>
      <w:hyperlink r:id="rId188" w:history="1">
        <w:r w:rsidRPr="00EE003F">
          <w:rPr>
            <w:rStyle w:val="Hipervnculo"/>
            <w:rFonts w:ascii="Arial Narrow" w:hAnsi="Arial Narrow"/>
            <w:color w:val="auto"/>
            <w:sz w:val="24"/>
            <w:szCs w:val="24"/>
            <w:u w:val="none"/>
          </w:rPr>
          <w:t>http://www.bcrp.gob.pe/estadisticas/cuadrosanuales- historicos.html</w:t>
        </w:r>
      </w:hyperlink>
      <w:r w:rsidRPr="00EE003F">
        <w:rPr>
          <w:rFonts w:ascii="Arial Narrow" w:hAnsi="Arial Narrow"/>
          <w:sz w:val="24"/>
          <w:szCs w:val="24"/>
        </w:rPr>
        <w:t xml:space="preserve"> , http://estadisticas.bcrp.gob.pe/index.asp?sFrecuencia=A</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Central de Reserva del Perú: estadísticas económicas, cuadros de la nota semanal, mercado de capitales, indicadores de riesgo para países emergentes: EMBI, diferencial de rendimientos contra bonos del Tesoro de los Estados Unidos de América. Disponible en: http://www.bcrp.gob.pe/estadisticas/cuadros-de-la-nota-semanal.html</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Banco Central de Reserva del Perú: estadísticas económicas, series estadísticas anuales, exportaciones. Disponible en: </w:t>
      </w:r>
      <w:hyperlink r:id="rId189" w:history="1">
        <w:r w:rsidRPr="00EE003F">
          <w:rPr>
            <w:rStyle w:val="Hipervnculo"/>
            <w:rFonts w:ascii="Arial Narrow" w:hAnsi="Arial Narrow"/>
            <w:color w:val="auto"/>
            <w:sz w:val="24"/>
            <w:szCs w:val="24"/>
            <w:u w:val="none"/>
          </w:rPr>
          <w:t>http://estadisticas.bcrp.gob.pe/index.asp?sFrecuencia=A</w:t>
        </w:r>
      </w:hyperlink>
      <w:r w:rsidRPr="00EE003F">
        <w:rPr>
          <w:rFonts w:ascii="Arial Narrow" w:hAnsi="Arial Narrow"/>
          <w:sz w:val="24"/>
          <w:szCs w:val="24"/>
        </w:rPr>
        <w:t xml:space="preserve"> </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Central de Reserva del Perú: estadísticas económicas, series estadísticas anuales,</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exportaciones no tradicionales. Disponible en: http://estadisticas.bcrp.gob.pe/index.</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asp?sIdioma=1&amp;sTitulo=EXPORTACIONES&amp;sFrecuencia=A</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Central de Reserva del Perú: estadísticas económicas, series estadísticas mensuales, coeficiente de dolarización de la liquidez del sistema financiero (%) y coeficiente de dolarización de la liquidez del SB (%). Disponible en: http://estadisticas.</w:t>
      </w:r>
    </w:p>
    <w:p w:rsidR="0002693C" w:rsidRPr="00EE003F" w:rsidRDefault="0002693C" w:rsidP="00A450DA">
      <w:pPr>
        <w:pStyle w:val="Prrafodelista"/>
        <w:tabs>
          <w:tab w:val="left" w:pos="426"/>
        </w:tabs>
        <w:jc w:val="both"/>
        <w:rPr>
          <w:rFonts w:ascii="Arial Narrow" w:hAnsi="Arial Narrow"/>
          <w:sz w:val="24"/>
          <w:szCs w:val="24"/>
        </w:rPr>
      </w:pPr>
      <w:r w:rsidRPr="00EE003F">
        <w:rPr>
          <w:rFonts w:ascii="Arial Narrow" w:hAnsi="Arial Narrow"/>
          <w:sz w:val="24"/>
          <w:szCs w:val="24"/>
        </w:rPr>
        <w:t>bcrp.gob.pe/index.asp?sIdioma=1&amp;sTitulo=todo&amp;sFrecuencia=M</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Central de Reserva del Perú: reporte de Inflación. Disponible en: http://www.bcrp.gob.pe/publicaciones/reporte-de-inflacion.html.</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Central de Reserva del Perú: Reporte de inflación. Panorama actual y proyecciones macroeconómicas 2012-2014. Diciembre 2012. Disponible en: http://</w:t>
      </w:r>
      <w:hyperlink r:id="rId190" w:history="1">
        <w:r w:rsidRPr="00EE003F">
          <w:rPr>
            <w:rStyle w:val="Hipervnculo"/>
            <w:rFonts w:ascii="Arial Narrow" w:hAnsi="Arial Narrow"/>
            <w:color w:val="auto"/>
            <w:sz w:val="24"/>
            <w:szCs w:val="24"/>
            <w:u w:val="none"/>
          </w:rPr>
          <w:t>www.bcrp.gob.pe/docs/Publicaciones/Reporte-Inflacion/2012/setiembre/reporte-deinflacion-</w:t>
        </w:r>
      </w:hyperlink>
      <w:r w:rsidRPr="00EE003F">
        <w:rPr>
          <w:rFonts w:ascii="Arial Narrow" w:hAnsi="Arial Narrow"/>
          <w:sz w:val="24"/>
          <w:szCs w:val="24"/>
        </w:rPr>
        <w:t xml:space="preserve"> setiembre-2012.pdf</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Mundial: Brecha de pobreza a $2 por día (PPA) (%). Disponible en: http://datos.bancomundial.org/indicador/SI.POV.GAP2</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Mundial: ciencia y tecnología. Disponible en: http://datos.bancomundial.org/indicador/TX.VAL.TECH.MF.ZS</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Mundial: base de datos, country poverty data, pobreza medida en $ por día,Septiembre 2013. Disponible en: http://datos.bancomundial.org/</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Banco Mundial: desarrollo urbano. Disponible en: </w:t>
      </w:r>
      <w:hyperlink r:id="rId191" w:history="1">
        <w:r w:rsidRPr="00EE003F">
          <w:rPr>
            <w:rFonts w:ascii="Arial Narrow" w:hAnsi="Arial Narrow"/>
            <w:sz w:val="24"/>
            <w:szCs w:val="24"/>
          </w:rPr>
          <w:t>http://datos.bancomundial.org/</w:t>
        </w:r>
      </w:hyperlink>
      <w:r w:rsidRPr="00EE003F">
        <w:rPr>
          <w:rFonts w:ascii="Arial Narrow" w:hAnsi="Arial Narrow"/>
          <w:sz w:val="24"/>
          <w:szCs w:val="24"/>
        </w:rPr>
        <w:t xml:space="preserve"> tema/desarrollo-urbano</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Mundial: energía: PIB por unidad de uso de energía, (PPA a $ constantes de2005 por kg de equivalente de petróleo). Disponible en: http://datos.bancomundial.org/indicador/EG.GDP.PUSE.KO.PP.KD</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Mundial: energy, infraestructura, private sector, public sector y urban</w:t>
      </w:r>
      <w:r w:rsidR="00705542" w:rsidRPr="00EE003F">
        <w:rPr>
          <w:rFonts w:ascii="Arial Narrow" w:hAnsi="Arial Narrow"/>
          <w:sz w:val="24"/>
          <w:szCs w:val="24"/>
        </w:rPr>
        <w:t xml:space="preserve"> </w:t>
      </w:r>
      <w:r w:rsidRPr="00EE003F">
        <w:rPr>
          <w:rFonts w:ascii="Arial Narrow" w:hAnsi="Arial Narrow"/>
          <w:sz w:val="24"/>
          <w:szCs w:val="24"/>
        </w:rPr>
        <w:t>development.</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Mundial: indicadores. Disponible en: http://datos.bancomundial.org/indicador/AG.LND.FRST.ZS</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Mundial: Índice de GINI 1998-2010. Disponible en: http://datos.bancomundial.org/indicador/SI.POV.GINI</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Banco Mundial: infraestructura. Disponible en: </w:t>
      </w:r>
      <w:hyperlink r:id="rId192" w:history="1">
        <w:r w:rsidRPr="00EE003F">
          <w:rPr>
            <w:rFonts w:ascii="Arial Narrow" w:hAnsi="Arial Narrow"/>
            <w:sz w:val="24"/>
            <w:szCs w:val="24"/>
          </w:rPr>
          <w:t>http://datos.bancomundial.org/tema/</w:t>
        </w:r>
      </w:hyperlink>
      <w:r w:rsidRPr="00EE003F">
        <w:rPr>
          <w:rFonts w:ascii="Arial Narrow" w:hAnsi="Arial Narrow"/>
          <w:sz w:val="24"/>
          <w:szCs w:val="24"/>
        </w:rPr>
        <w:t>infraestructura</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Banco Mundial: PIB per cápita, PPA ($ a precios internacionales constantes de 2005).</w:t>
      </w:r>
      <w:r w:rsidR="00705542" w:rsidRPr="00EE003F">
        <w:rPr>
          <w:rFonts w:ascii="Arial Narrow" w:hAnsi="Arial Narrow"/>
          <w:sz w:val="24"/>
          <w:szCs w:val="24"/>
        </w:rPr>
        <w:t xml:space="preserve"> </w:t>
      </w:r>
      <w:r w:rsidRPr="00EE003F">
        <w:rPr>
          <w:rFonts w:ascii="Arial Narrow" w:hAnsi="Arial Narrow"/>
          <w:sz w:val="24"/>
          <w:szCs w:val="24"/>
        </w:rPr>
        <w:t>Disponible en: &lt;http://datos.bancomundial.org/indicador/NY.GDP.PCAP.PP.KD&gt;</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Banco Mundial: sector privado. Disponible en: </w:t>
      </w:r>
      <w:hyperlink r:id="rId193" w:history="1">
        <w:r w:rsidR="00705542" w:rsidRPr="00EE003F">
          <w:rPr>
            <w:rStyle w:val="Hipervnculo"/>
            <w:rFonts w:ascii="Arial Narrow" w:hAnsi="Arial Narrow"/>
            <w:color w:val="auto"/>
            <w:sz w:val="24"/>
            <w:szCs w:val="24"/>
            <w:u w:val="none"/>
          </w:rPr>
          <w:t>http://datos.bancomundial.org/tema/</w:t>
        </w:r>
      </w:hyperlink>
      <w:r w:rsidRPr="00EE003F">
        <w:rPr>
          <w:rFonts w:ascii="Arial Narrow" w:hAnsi="Arial Narrow"/>
          <w:sz w:val="24"/>
          <w:szCs w:val="24"/>
        </w:rPr>
        <w:t>sector-privado</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Banco Mundial: sector público. Disponible en: </w:t>
      </w:r>
      <w:hyperlink r:id="rId194" w:history="1">
        <w:r w:rsidRPr="00EE003F">
          <w:rPr>
            <w:rStyle w:val="Hipervnculo"/>
            <w:rFonts w:ascii="Arial Narrow" w:hAnsi="Arial Narrow"/>
            <w:color w:val="auto"/>
            <w:sz w:val="24"/>
            <w:szCs w:val="24"/>
            <w:u w:val="none"/>
          </w:rPr>
          <w:t>http://datos.bancomundial.org/tema/</w:t>
        </w:r>
      </w:hyperlink>
      <w:r w:rsidRPr="00EE003F">
        <w:rPr>
          <w:rFonts w:ascii="Arial Narrow" w:hAnsi="Arial Narrow"/>
          <w:sz w:val="24"/>
          <w:szCs w:val="24"/>
        </w:rPr>
        <w:t xml:space="preserve"> sector-publico</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lang w:val="en-US"/>
        </w:rPr>
        <w:t xml:space="preserve">Banco Mundial: world development indicators, vulnerable employment. </w:t>
      </w:r>
      <w:r w:rsidRPr="00EE003F">
        <w:rPr>
          <w:rFonts w:ascii="Arial Narrow" w:hAnsi="Arial Narrow"/>
          <w:sz w:val="24"/>
          <w:szCs w:val="24"/>
        </w:rPr>
        <w:t>Disponible en: http://data.worldbank.org/indicator/SL.EMP.VULN.ZS/countries?display=default</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Base de Datos Socioeconómicos para América Latina y El Caribe: estadísticas/empleo.</w:t>
      </w:r>
      <w:r w:rsidR="00933B5C" w:rsidRPr="00EE003F">
        <w:rPr>
          <w:rFonts w:ascii="Arial Narrow" w:hAnsi="Arial Narrow"/>
          <w:sz w:val="24"/>
          <w:szCs w:val="24"/>
        </w:rPr>
        <w:t xml:space="preserve"> </w:t>
      </w:r>
      <w:r w:rsidRPr="00EE003F">
        <w:rPr>
          <w:rFonts w:ascii="Arial Narrow" w:hAnsi="Arial Narrow"/>
          <w:sz w:val="24"/>
          <w:szCs w:val="24"/>
        </w:rPr>
        <w:t>Disponible en: http://sedlac.econo.unlp.edu.ar/esp/por-genero.php</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Comisión Económica para América Latina y el Caribe (2012). Anuario estadístico de</w:t>
      </w:r>
      <w:r w:rsidR="00933B5C" w:rsidRPr="00EE003F">
        <w:rPr>
          <w:rFonts w:ascii="Arial Narrow" w:hAnsi="Arial Narrow"/>
          <w:sz w:val="24"/>
          <w:szCs w:val="24"/>
        </w:rPr>
        <w:t xml:space="preserve"> </w:t>
      </w:r>
      <w:r w:rsidRPr="00EE003F">
        <w:rPr>
          <w:rFonts w:ascii="Arial Narrow" w:hAnsi="Arial Narrow"/>
          <w:sz w:val="24"/>
          <w:szCs w:val="24"/>
        </w:rPr>
        <w:t>América Latina y el Caribe. Santiago de Chile: Autor.</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Comisión Económica para América Latina y el Caribe (2012). Bases de datos y</w:t>
      </w:r>
      <w:r w:rsidR="00933B5C" w:rsidRPr="00EE003F">
        <w:rPr>
          <w:rFonts w:ascii="Arial Narrow" w:hAnsi="Arial Narrow"/>
          <w:sz w:val="24"/>
          <w:szCs w:val="24"/>
        </w:rPr>
        <w:t xml:space="preserve"> </w:t>
      </w:r>
      <w:r w:rsidRPr="00EE003F">
        <w:rPr>
          <w:rFonts w:ascii="Arial Narrow" w:hAnsi="Arial Narrow"/>
          <w:sz w:val="24"/>
          <w:szCs w:val="24"/>
        </w:rPr>
        <w:t>publicaciones estadísticas. Disponible en: http://estadisticas.cepal.org/cepalstat/WEB_CEPALSTAT/estadisticasIndicadores.asp?idioma=e</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Comisión Económica para América Latina y el Caribe: Demográficos y sociales:</w:t>
      </w:r>
      <w:r w:rsidR="00933B5C" w:rsidRPr="00EE003F">
        <w:rPr>
          <w:rFonts w:ascii="Arial Narrow" w:hAnsi="Arial Narrow"/>
          <w:sz w:val="24"/>
          <w:szCs w:val="24"/>
        </w:rPr>
        <w:t xml:space="preserve"> </w:t>
      </w:r>
      <w:r w:rsidRPr="00EE003F">
        <w:rPr>
          <w:rFonts w:ascii="Arial Narrow" w:hAnsi="Arial Narrow"/>
          <w:sz w:val="24"/>
          <w:szCs w:val="24"/>
        </w:rPr>
        <w:t>Distribución espacial de la población y urbanización. Disponible en: http://www.eclac.cl/celade/depualc/</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Comisión Económica para América Latina y el Caribe: Demográficos y sociales:Estimaciones y proyecciones de población. Disponible en: </w:t>
      </w:r>
      <w:hyperlink r:id="rId195" w:history="1">
        <w:r w:rsidRPr="00EE003F">
          <w:rPr>
            <w:rStyle w:val="Hipervnculo"/>
            <w:rFonts w:ascii="Arial Narrow" w:hAnsi="Arial Narrow"/>
            <w:color w:val="auto"/>
            <w:sz w:val="24"/>
            <w:szCs w:val="24"/>
            <w:u w:val="none"/>
          </w:rPr>
          <w:t>http://www.eclac.cl/celade/</w:t>
        </w:r>
      </w:hyperlink>
      <w:r w:rsidRPr="00EE003F">
        <w:rPr>
          <w:rFonts w:ascii="Arial Narrow" w:hAnsi="Arial Narrow"/>
          <w:sz w:val="24"/>
          <w:szCs w:val="24"/>
        </w:rPr>
        <w:t xml:space="preserve"> proyecciones/basedatos_BD.htm</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Comisión Económica para América Latina y el Caribe: Desarrollo sostenible, demográfico y económico. Disponible en: http://estadisticas.cepal.org/cepalstat/WEB_CEPALSTAT/estadisticasIndicadores.asp?idioma=e</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Comisión Interamericana de Derechos Humanos: estadísticas. Disponible en: http://www.oas.org/es/cidh/</w:t>
      </w:r>
    </w:p>
    <w:p w:rsidR="0002693C" w:rsidRPr="00EE003F" w:rsidRDefault="0002693C" w:rsidP="000C7DC2">
      <w:pPr>
        <w:pStyle w:val="Prrafodelista"/>
        <w:numPr>
          <w:ilvl w:val="0"/>
          <w:numId w:val="14"/>
        </w:numPr>
        <w:tabs>
          <w:tab w:val="left" w:pos="426"/>
        </w:tabs>
        <w:jc w:val="both"/>
        <w:rPr>
          <w:rFonts w:ascii="Arial Narrow" w:hAnsi="Arial Narrow"/>
          <w:sz w:val="24"/>
          <w:szCs w:val="24"/>
          <w:lang w:val="en-US"/>
        </w:rPr>
      </w:pPr>
      <w:r w:rsidRPr="00EE003F">
        <w:rPr>
          <w:rFonts w:ascii="Arial Narrow" w:hAnsi="Arial Narrow"/>
          <w:sz w:val="24"/>
          <w:szCs w:val="24"/>
          <w:lang w:val="en-US"/>
        </w:rPr>
        <w:t xml:space="preserve">Doing Business: economy rankings, starting a business. </w:t>
      </w:r>
      <w:proofErr w:type="spellStart"/>
      <w:r w:rsidRPr="00EE003F">
        <w:rPr>
          <w:rFonts w:ascii="Arial Narrow" w:hAnsi="Arial Narrow"/>
          <w:sz w:val="24"/>
          <w:szCs w:val="24"/>
          <w:lang w:val="en-US"/>
        </w:rPr>
        <w:t>Disponible</w:t>
      </w:r>
      <w:proofErr w:type="spellEnd"/>
      <w:r w:rsidRPr="00EE003F">
        <w:rPr>
          <w:rFonts w:ascii="Arial Narrow" w:hAnsi="Arial Narrow"/>
          <w:sz w:val="24"/>
          <w:szCs w:val="24"/>
          <w:lang w:val="en-US"/>
        </w:rPr>
        <w:t xml:space="preserve"> en: </w:t>
      </w:r>
      <w:hyperlink r:id="rId196" w:history="1">
        <w:r w:rsidRPr="00EE003F">
          <w:rPr>
            <w:rStyle w:val="Hipervnculo"/>
            <w:rFonts w:ascii="Arial Narrow" w:hAnsi="Arial Narrow"/>
            <w:color w:val="auto"/>
            <w:sz w:val="24"/>
            <w:szCs w:val="24"/>
            <w:u w:val="none"/>
            <w:lang w:val="en-US"/>
          </w:rPr>
          <w:t>http://www</w:t>
        </w:r>
      </w:hyperlink>
      <w:r w:rsidRPr="00EE003F">
        <w:rPr>
          <w:rFonts w:ascii="Arial Narrow" w:hAnsi="Arial Narrow"/>
          <w:sz w:val="24"/>
          <w:szCs w:val="24"/>
          <w:lang w:val="en-US"/>
        </w:rPr>
        <w:t>. doingbusiness.org/rankings</w:t>
      </w:r>
    </w:p>
    <w:p w:rsidR="0002693C" w:rsidRPr="00EE003F" w:rsidRDefault="0002693C" w:rsidP="000C7DC2">
      <w:pPr>
        <w:pStyle w:val="Prrafodelista"/>
        <w:numPr>
          <w:ilvl w:val="0"/>
          <w:numId w:val="14"/>
        </w:numPr>
        <w:tabs>
          <w:tab w:val="left" w:pos="426"/>
        </w:tabs>
        <w:jc w:val="both"/>
        <w:rPr>
          <w:rFonts w:ascii="Arial Narrow" w:hAnsi="Arial Narrow"/>
          <w:sz w:val="24"/>
          <w:szCs w:val="24"/>
          <w:lang w:val="en-US"/>
        </w:rPr>
      </w:pPr>
      <w:r w:rsidRPr="00EE003F">
        <w:rPr>
          <w:rFonts w:ascii="Arial Narrow" w:hAnsi="Arial Narrow"/>
          <w:sz w:val="24"/>
          <w:szCs w:val="24"/>
          <w:lang w:val="en-US"/>
        </w:rPr>
        <w:t>Doing Business: rankings. Disponible en: http://www.doingbusiness.org/rankings</w:t>
      </w:r>
    </w:p>
    <w:p w:rsidR="0002693C" w:rsidRPr="00EE003F" w:rsidRDefault="0002693C" w:rsidP="000C7DC2">
      <w:pPr>
        <w:pStyle w:val="Prrafodelista"/>
        <w:numPr>
          <w:ilvl w:val="0"/>
          <w:numId w:val="14"/>
        </w:numPr>
        <w:tabs>
          <w:tab w:val="left" w:pos="426"/>
        </w:tabs>
        <w:jc w:val="both"/>
        <w:rPr>
          <w:rFonts w:ascii="Arial Narrow" w:hAnsi="Arial Narrow"/>
          <w:sz w:val="24"/>
          <w:szCs w:val="24"/>
          <w:lang w:val="en-US"/>
        </w:rPr>
      </w:pPr>
      <w:r w:rsidRPr="00EE003F">
        <w:rPr>
          <w:rFonts w:ascii="Arial Narrow" w:hAnsi="Arial Narrow"/>
          <w:sz w:val="24"/>
          <w:szCs w:val="24"/>
          <w:lang w:val="en-US"/>
        </w:rPr>
        <w:t xml:space="preserve">Doing Business: topics: starting a business. </w:t>
      </w:r>
      <w:proofErr w:type="spellStart"/>
      <w:r w:rsidRPr="00EE003F">
        <w:rPr>
          <w:rFonts w:ascii="Arial Narrow" w:hAnsi="Arial Narrow"/>
          <w:sz w:val="24"/>
          <w:szCs w:val="24"/>
          <w:lang w:val="en-US"/>
        </w:rPr>
        <w:t>Disponible</w:t>
      </w:r>
      <w:proofErr w:type="spellEnd"/>
      <w:r w:rsidRPr="00EE003F">
        <w:rPr>
          <w:rFonts w:ascii="Arial Narrow" w:hAnsi="Arial Narrow"/>
          <w:sz w:val="24"/>
          <w:szCs w:val="24"/>
          <w:lang w:val="en-US"/>
        </w:rPr>
        <w:t xml:space="preserve"> en: </w:t>
      </w:r>
      <w:hyperlink r:id="rId197" w:history="1">
        <w:r w:rsidRPr="00EE003F">
          <w:rPr>
            <w:rStyle w:val="Hipervnculo"/>
            <w:rFonts w:ascii="Arial Narrow" w:hAnsi="Arial Narrow"/>
            <w:color w:val="auto"/>
            <w:sz w:val="24"/>
            <w:szCs w:val="24"/>
            <w:u w:val="none"/>
            <w:lang w:val="en-US"/>
          </w:rPr>
          <w:t>http://www</w:t>
        </w:r>
      </w:hyperlink>
      <w:r w:rsidRPr="00EE003F">
        <w:rPr>
          <w:rFonts w:ascii="Arial Narrow" w:hAnsi="Arial Narrow"/>
          <w:sz w:val="24"/>
          <w:szCs w:val="24"/>
          <w:lang w:val="en-US"/>
        </w:rPr>
        <w:t>. doingbusiness.org/data</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lang w:val="en-US"/>
        </w:rPr>
        <w:t xml:space="preserve">Foro Económico Mundial: data platform, data download, select series, Universityindustry collaboration in R&amp;D, 1-7 (best). </w:t>
      </w:r>
      <w:r w:rsidRPr="00EE003F">
        <w:rPr>
          <w:rFonts w:ascii="Arial Narrow" w:hAnsi="Arial Narrow"/>
          <w:sz w:val="24"/>
          <w:szCs w:val="24"/>
        </w:rPr>
        <w:t>Disponible en: http://www.weforum.org/issues/competitiveness-0/gci2012-data-platform/</w:t>
      </w:r>
    </w:p>
    <w:p w:rsidR="0002693C" w:rsidRPr="00EE003F" w:rsidRDefault="0002693C" w:rsidP="000C7DC2">
      <w:pPr>
        <w:pStyle w:val="Prrafodelista"/>
        <w:numPr>
          <w:ilvl w:val="0"/>
          <w:numId w:val="14"/>
        </w:numPr>
        <w:tabs>
          <w:tab w:val="left" w:pos="426"/>
        </w:tabs>
        <w:jc w:val="both"/>
        <w:rPr>
          <w:rFonts w:ascii="Arial Narrow" w:hAnsi="Arial Narrow"/>
          <w:sz w:val="24"/>
          <w:szCs w:val="24"/>
          <w:lang w:val="en-US"/>
        </w:rPr>
      </w:pPr>
      <w:r w:rsidRPr="00EE003F">
        <w:rPr>
          <w:rFonts w:ascii="Arial Narrow" w:hAnsi="Arial Narrow"/>
          <w:sz w:val="24"/>
          <w:szCs w:val="24"/>
          <w:lang w:val="en-US"/>
        </w:rPr>
        <w:t xml:space="preserve">Foro Económico Mundial: global competitiveness index: 2nd pillar: infrastructure, 2.A: Transport infrastructure: quality of overall infrastructure, quality of roads, quality of railroad infrastructure, quality of port infrastructure, quality of air transport infrastructure, quality of railroads infrastructure; 2. B: Electricity and telephony infrastructure: quality of electricity supply. </w:t>
      </w:r>
      <w:proofErr w:type="spellStart"/>
      <w:r w:rsidRPr="00EE003F">
        <w:rPr>
          <w:rFonts w:ascii="Arial Narrow" w:hAnsi="Arial Narrow"/>
          <w:sz w:val="24"/>
          <w:szCs w:val="24"/>
          <w:lang w:val="en-US"/>
        </w:rPr>
        <w:t>Disponible</w:t>
      </w:r>
      <w:proofErr w:type="spellEnd"/>
      <w:r w:rsidRPr="00EE003F">
        <w:rPr>
          <w:rFonts w:ascii="Arial Narrow" w:hAnsi="Arial Narrow"/>
          <w:sz w:val="24"/>
          <w:szCs w:val="24"/>
          <w:lang w:val="en-US"/>
        </w:rPr>
        <w:t xml:space="preserve"> en: http://www.weforum.org/issues/competitiveness-0/gci2012-data-platform/</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Foro Económico Mundial: Informe global de tecnología de la información 2013 data platform, query and download, select series, firm-level technology absorption. Disponible en: &lt;http://www.weforum.org/issues/global-information-technology/gitr-platform</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Foro Económico Mundial: Informe global de tecnología de la información 2013 data platform, ranking, networked readiness index. Disponible en: http://www.weforum.org/issues/global-information-technology/gitr-platform</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Foro Económico Mundial (2011). The Global Information Technology Report 2010-2011. 261. Disponible en: http://www3.weforum.org/docs/WEF_GITR_Report_2011.pdf</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Foro Económico Mundial (2013). Pillar 1-12. The Global Competitiveness Report 2013-2014.</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Organización para la Cooperación y el Desarrollo Económico. Estadísticas de la A a la Z. Disponible en: </w:t>
      </w:r>
      <w:hyperlink r:id="rId198" w:history="1">
        <w:r w:rsidRPr="00EE003F">
          <w:rPr>
            <w:rStyle w:val="Hipervnculo"/>
            <w:rFonts w:ascii="Arial Narrow" w:hAnsi="Arial Narrow"/>
            <w:color w:val="auto"/>
            <w:sz w:val="24"/>
            <w:szCs w:val="24"/>
            <w:u w:val="none"/>
          </w:rPr>
          <w:t>http://www.oecd.org/centrodemexico/estadisticas/</w:t>
        </w:r>
      </w:hyperlink>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Organización para la Cooperación y el Desarrollo Económico. </w:t>
      </w:r>
      <w:r w:rsidRPr="00EE003F">
        <w:rPr>
          <w:rFonts w:ascii="Arial Narrow" w:hAnsi="Arial Narrow"/>
          <w:sz w:val="24"/>
          <w:szCs w:val="24"/>
          <w:lang w:val="en-US"/>
        </w:rPr>
        <w:t>Stat extracts. Complete</w:t>
      </w:r>
      <w:r w:rsidR="00933B5C" w:rsidRPr="00EE003F">
        <w:rPr>
          <w:rFonts w:ascii="Arial Narrow" w:hAnsi="Arial Narrow"/>
          <w:sz w:val="24"/>
          <w:szCs w:val="24"/>
          <w:lang w:val="en-US"/>
        </w:rPr>
        <w:t xml:space="preserve"> </w:t>
      </w:r>
      <w:r w:rsidRPr="00EE003F">
        <w:rPr>
          <w:rFonts w:ascii="Arial Narrow" w:hAnsi="Arial Narrow"/>
          <w:sz w:val="24"/>
          <w:szCs w:val="24"/>
          <w:lang w:val="en-US"/>
        </w:rPr>
        <w:t xml:space="preserve">databases: government expenditure by function. </w:t>
      </w:r>
      <w:r w:rsidRPr="00EE003F">
        <w:rPr>
          <w:rFonts w:ascii="Arial Narrow" w:hAnsi="Arial Narrow"/>
          <w:sz w:val="24"/>
          <w:szCs w:val="24"/>
        </w:rPr>
        <w:t>Disponible en: http://stats.oecd.org/Index.aspx?DataSetCode=SNA_TABLE11#</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Perú, Consejo Nacional de la Competitividad: pilar de institucionalidad. Disponible en:</w:t>
      </w:r>
      <w:r w:rsidR="00933B5C" w:rsidRPr="00EE003F">
        <w:rPr>
          <w:rFonts w:ascii="Arial Narrow" w:hAnsi="Arial Narrow"/>
          <w:sz w:val="24"/>
          <w:szCs w:val="24"/>
        </w:rPr>
        <w:t xml:space="preserve"> </w:t>
      </w:r>
      <w:r w:rsidRPr="00EE003F">
        <w:rPr>
          <w:rFonts w:ascii="Arial Narrow" w:hAnsi="Arial Narrow"/>
          <w:sz w:val="24"/>
          <w:szCs w:val="24"/>
        </w:rPr>
        <w:t>http://www.cnc.gob.pe/indice-regional/resultados-por-pilares/pilar-de-institucionalidad</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Perú, Instituto Nacional de Estadística e Informática y Banco Mundial. Incidencia de</w:t>
      </w:r>
      <w:r w:rsidR="00933B5C" w:rsidRPr="00EE003F">
        <w:rPr>
          <w:rFonts w:ascii="Arial Narrow" w:hAnsi="Arial Narrow"/>
          <w:sz w:val="24"/>
          <w:szCs w:val="24"/>
        </w:rPr>
        <w:t xml:space="preserve"> </w:t>
      </w:r>
      <w:r w:rsidRPr="00EE003F">
        <w:rPr>
          <w:rFonts w:ascii="Arial Narrow" w:hAnsi="Arial Narrow"/>
          <w:sz w:val="24"/>
          <w:szCs w:val="24"/>
        </w:rPr>
        <w:t>la pobreza monetaria en el Perú 2001-2012. Disponible en: http://www.inei.gob.pe/biblioineipub/bancopub/Est/Lib0952/index.htm</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Perú, Instituto Nacional de Estadística e Informática: PBI, Ramas de Actividad</w:t>
      </w:r>
      <w:r w:rsidR="00933B5C" w:rsidRPr="00EE003F">
        <w:rPr>
          <w:rFonts w:ascii="Arial Narrow" w:hAnsi="Arial Narrow"/>
          <w:sz w:val="24"/>
          <w:szCs w:val="24"/>
        </w:rPr>
        <w:t xml:space="preserve"> </w:t>
      </w:r>
      <w:r w:rsidRPr="00EE003F">
        <w:rPr>
          <w:rFonts w:ascii="Arial Narrow" w:hAnsi="Arial Narrow"/>
          <w:sz w:val="24"/>
          <w:szCs w:val="24"/>
        </w:rPr>
        <w:t>Económica a precios corrientes, estructura porcentual a precios constantes.</w:t>
      </w:r>
      <w:r w:rsidR="00933B5C" w:rsidRPr="00EE003F">
        <w:rPr>
          <w:rFonts w:ascii="Arial Narrow" w:hAnsi="Arial Narrow"/>
          <w:sz w:val="24"/>
          <w:szCs w:val="24"/>
        </w:rPr>
        <w:t xml:space="preserve"> </w:t>
      </w:r>
      <w:r w:rsidRPr="00EE003F">
        <w:rPr>
          <w:rFonts w:ascii="Arial Narrow" w:hAnsi="Arial Narrow"/>
          <w:sz w:val="24"/>
          <w:szCs w:val="24"/>
        </w:rPr>
        <w:t>Disponible en: http://webinei.inei.gob.pe:8080/SIRTOD/inicio.html#app=8d5cyd4a2-selectedIndex=0&amp;d9ef-selectedIndex=0</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Perú, Instituto Nacional de Estadística e Informática: sistema de información regional</w:t>
      </w:r>
      <w:r w:rsidR="00933B5C" w:rsidRPr="00EE003F">
        <w:rPr>
          <w:rFonts w:ascii="Arial Narrow" w:hAnsi="Arial Narrow"/>
          <w:sz w:val="24"/>
          <w:szCs w:val="24"/>
        </w:rPr>
        <w:t xml:space="preserve"> </w:t>
      </w:r>
      <w:r w:rsidRPr="00EE003F">
        <w:rPr>
          <w:rFonts w:ascii="Arial Narrow" w:hAnsi="Arial Narrow"/>
          <w:sz w:val="24"/>
          <w:szCs w:val="24"/>
        </w:rPr>
        <w:t>para la toma de decisiones, económico, PBI, ramas por actividad económica a precios</w:t>
      </w:r>
      <w:r w:rsidR="00933B5C" w:rsidRPr="00EE003F">
        <w:rPr>
          <w:rFonts w:ascii="Arial Narrow" w:hAnsi="Arial Narrow"/>
          <w:sz w:val="24"/>
          <w:szCs w:val="24"/>
        </w:rPr>
        <w:t xml:space="preserve"> </w:t>
      </w:r>
      <w:r w:rsidRPr="00EE003F">
        <w:rPr>
          <w:rFonts w:ascii="Arial Narrow" w:hAnsi="Arial Narrow"/>
          <w:sz w:val="24"/>
          <w:szCs w:val="24"/>
        </w:rPr>
        <w:t>corrientes, valor agregado bruto total a precios constantes. Disponible en: http://webinei.inei.gob.pe:8080/SIRTOD/inicio.html#app=8d5c&amp;d4a2-selectedIndex=1&amp;d9efselectedIndex=1</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Perú, Instituto Nacional de Estadística e Informática (2009). Mapa de pobreza provincial y distrital - Glosario de términos. Lima: INEI.</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Perú, Instituto Nacional de Estadística e Informática (2013). Perú: Métodos de Medición de la Pobreza. Disponible en: http://www.inei.gob.pe/biblioineipub/bancopub/Est/Lib0329/CAP0101.HTM</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Perú, Ministerio de Comercio Exterior y Turismo: turismo, estadísticas e indicadores, turismo, llegada de turistas internacionales. Disponible en: http://www.mincetur.gob.pe/newweb/Default.aspx?tabid=3459</w:t>
      </w:r>
    </w:p>
    <w:p w:rsidR="0002693C" w:rsidRPr="00EE003F" w:rsidRDefault="0002693C" w:rsidP="000C7DC2">
      <w:pPr>
        <w:pStyle w:val="Prrafodelista"/>
        <w:numPr>
          <w:ilvl w:val="0"/>
          <w:numId w:val="14"/>
        </w:numPr>
        <w:tabs>
          <w:tab w:val="left" w:pos="426"/>
        </w:tabs>
        <w:jc w:val="both"/>
        <w:rPr>
          <w:rFonts w:ascii="Arial Narrow" w:hAnsi="Arial Narrow"/>
          <w:sz w:val="24"/>
          <w:szCs w:val="24"/>
        </w:rPr>
      </w:pPr>
      <w:r w:rsidRPr="00EE003F">
        <w:rPr>
          <w:rFonts w:ascii="Arial Narrow" w:hAnsi="Arial Narrow"/>
          <w:sz w:val="24"/>
          <w:szCs w:val="24"/>
        </w:rPr>
        <w:t xml:space="preserve">Perú, Ministerio de Economía. Estadísticas. Política económica y social y economía internacional. Disponible en: </w:t>
      </w:r>
      <w:hyperlink r:id="rId199" w:history="1">
        <w:r w:rsidRPr="00EE003F">
          <w:rPr>
            <w:rStyle w:val="Hipervnculo"/>
            <w:rFonts w:ascii="Arial Narrow" w:hAnsi="Arial Narrow"/>
            <w:color w:val="auto"/>
            <w:sz w:val="24"/>
            <w:szCs w:val="24"/>
            <w:u w:val="none"/>
          </w:rPr>
          <w:t>http://www.mef.gob.pe/index.php?option=com_</w:t>
        </w:r>
      </w:hyperlink>
    </w:p>
    <w:p w:rsidR="0002693C" w:rsidRPr="00EE003F" w:rsidRDefault="0002693C" w:rsidP="00A450DA">
      <w:pPr>
        <w:tabs>
          <w:tab w:val="left" w:pos="426"/>
        </w:tabs>
        <w:ind w:left="360"/>
        <w:jc w:val="both"/>
        <w:rPr>
          <w:rFonts w:ascii="Arial Narrow" w:hAnsi="Arial Narrow"/>
          <w:sz w:val="24"/>
          <w:szCs w:val="24"/>
        </w:rPr>
      </w:pPr>
      <w:r w:rsidRPr="00EE003F">
        <w:rPr>
          <w:rFonts w:ascii="Arial Narrow" w:hAnsi="Arial Narrow"/>
          <w:sz w:val="24"/>
          <w:szCs w:val="24"/>
        </w:rPr>
        <w:t>PRENSA</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 xml:space="preserve">El Comercio. (2013, julio 1). ¿Qué tipo de incentivos requiere la industria peruana para despegar? Disponible en: </w:t>
      </w:r>
      <w:hyperlink r:id="rId200" w:history="1">
        <w:r w:rsidRPr="00EE003F">
          <w:rPr>
            <w:rStyle w:val="Hipervnculo"/>
            <w:rFonts w:ascii="Arial Narrow" w:hAnsi="Arial Narrow"/>
            <w:color w:val="auto"/>
            <w:sz w:val="24"/>
            <w:szCs w:val="24"/>
            <w:u w:val="none"/>
          </w:rPr>
          <w:t>http://elcomercio.pe/economia/1598131/noticia-quetipo-</w:t>
        </w:r>
      </w:hyperlink>
      <w:r w:rsidRPr="00EE003F">
        <w:rPr>
          <w:rFonts w:ascii="Arial Narrow" w:hAnsi="Arial Narrow"/>
          <w:sz w:val="24"/>
          <w:szCs w:val="24"/>
        </w:rPr>
        <w:t xml:space="preserve"> incentivos-requiere-industria-peruana-despegar</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Gestión. (2013, setiembre 03). Mincetur: Se implementarán unas 34 oficinas comerciales en el exterior al 2014. Disponible en: http://gestion.pe/economia/ mincetur-peru-implementara-34-oficinas-comerciales-exterior-al-2014-2075161&gt;</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Hausmann, R. Entrevista online. Canal N. Disponible en: https://www.youtube.com/watch?v=GBE9LY8Dgw0.</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Hausmann, R. (2013, abril 19). Entrevista en Rumbo Económico. Canal N. Disponible</w:t>
      </w:r>
      <w:r w:rsidR="00933B5C" w:rsidRPr="00EE003F">
        <w:rPr>
          <w:rFonts w:ascii="Arial Narrow" w:hAnsi="Arial Narrow"/>
          <w:sz w:val="24"/>
          <w:szCs w:val="24"/>
        </w:rPr>
        <w:t xml:space="preserve"> </w:t>
      </w:r>
      <w:r w:rsidRPr="00EE003F">
        <w:rPr>
          <w:rFonts w:ascii="Arial Narrow" w:hAnsi="Arial Narrow"/>
          <w:sz w:val="24"/>
          <w:szCs w:val="24"/>
        </w:rPr>
        <w:t>en: Parte1/2 http://www.youtube.com/watch?v=mcTr3v6qQI0 Parte2/2 http://www.youtube.com/watch?v=kR0FPzeydvQ</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Perú, Instituto Nacional de Estadística e Informática. (2013, setiembre 2). Micro, pequeñas y medianas empresas concentran más del 20% de las ventas. Nota de Prensa n.° 133.</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Perú, Ministerio del Ambiente. (2012, julio 24). Notas de prensa. Disponible en: http://www.minag.gob.pe/portal/notas-de-prensa/notas-de-prensa-2013/9310-con-miriego-se-superaran-las-50-mil-hectareas-irrigadas</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Perú, Ministerio del Ambiente. (2013, julio 7). Notas de prensa. Disponible en: http://www.minam.gob.pe/index.php?option=com_content&amp;view=article&amp;catid=1:noticias&amp;id=2438:ministerio-del-ambiente-invita-a-participar-de-la-quinta-edicion-delpremio-ecoeficiencia-empresarial-2013&amp;Itemid=21</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Perú, Ministerio de Trabajo y Promoción del Empleo. (2013, noviembre 12). Ministra</w:t>
      </w:r>
      <w:r w:rsidR="00A95F7E" w:rsidRPr="00EE003F">
        <w:rPr>
          <w:rFonts w:ascii="Arial Narrow" w:hAnsi="Arial Narrow"/>
          <w:sz w:val="24"/>
          <w:szCs w:val="24"/>
        </w:rPr>
        <w:t xml:space="preserve"> </w:t>
      </w:r>
      <w:r w:rsidRPr="00EE003F">
        <w:rPr>
          <w:rFonts w:ascii="Arial Narrow" w:hAnsi="Arial Narrow"/>
          <w:sz w:val="24"/>
          <w:szCs w:val="24"/>
        </w:rPr>
        <w:t>de trabajo participó en la XVIII Conferencia Interamericana de Ministros de Trabajo.</w:t>
      </w:r>
      <w:r w:rsidR="00A95F7E" w:rsidRPr="00EE003F">
        <w:rPr>
          <w:rFonts w:ascii="Arial Narrow" w:hAnsi="Arial Narrow"/>
          <w:sz w:val="24"/>
          <w:szCs w:val="24"/>
        </w:rPr>
        <w:t xml:space="preserve"> </w:t>
      </w:r>
      <w:r w:rsidRPr="00EE003F">
        <w:rPr>
          <w:rFonts w:ascii="Arial Narrow" w:hAnsi="Arial Narrow"/>
          <w:sz w:val="24"/>
          <w:szCs w:val="24"/>
        </w:rPr>
        <w:t>Disponible en: http://www.trabajo.gob.pe/mostrarNoticias.php?codNoticia=4008</w:t>
      </w:r>
    </w:p>
    <w:p w:rsidR="00844FE3" w:rsidRPr="00EE003F" w:rsidRDefault="00844FE3" w:rsidP="000C7DC2">
      <w:pPr>
        <w:pStyle w:val="Prrafodelista"/>
        <w:numPr>
          <w:ilvl w:val="0"/>
          <w:numId w:val="15"/>
        </w:numPr>
        <w:rPr>
          <w:rFonts w:ascii="Arial Narrow" w:hAnsi="Arial Narrow"/>
          <w:sz w:val="24"/>
          <w:szCs w:val="24"/>
        </w:rPr>
      </w:pPr>
      <w:r w:rsidRPr="00EE003F">
        <w:rPr>
          <w:rFonts w:ascii="Arial Narrow" w:hAnsi="Arial Narrow"/>
          <w:sz w:val="24"/>
          <w:szCs w:val="24"/>
          <w:lang w:val="en-US"/>
        </w:rPr>
        <w:t xml:space="preserve">The Economist (2006). Foresight 2020. Economic industry and corporate trends. </w:t>
      </w:r>
      <w:r w:rsidRPr="00EE003F">
        <w:rPr>
          <w:rFonts w:ascii="Arial Narrow" w:hAnsi="Arial Narrow"/>
          <w:sz w:val="24"/>
          <w:szCs w:val="24"/>
        </w:rPr>
        <w:t>EUI. UK.; Franklin</w:t>
      </w:r>
    </w:p>
    <w:p w:rsidR="00844FE3" w:rsidRPr="00EE003F" w:rsidRDefault="00844FE3" w:rsidP="000C7DC2">
      <w:pPr>
        <w:pStyle w:val="Prrafodelista"/>
        <w:numPr>
          <w:ilvl w:val="0"/>
          <w:numId w:val="15"/>
        </w:numPr>
        <w:rPr>
          <w:rFonts w:ascii="Arial Narrow" w:hAnsi="Arial Narrow"/>
          <w:sz w:val="24"/>
          <w:szCs w:val="24"/>
        </w:rPr>
      </w:pPr>
      <w:r w:rsidRPr="00EE003F">
        <w:rPr>
          <w:rFonts w:ascii="Arial Narrow" w:hAnsi="Arial Narrow"/>
          <w:sz w:val="24"/>
          <w:szCs w:val="24"/>
        </w:rPr>
        <w:t>Daniel (2012). Megachange 2050. The Economist. UK</w:t>
      </w:r>
    </w:p>
    <w:p w:rsidR="00844FE3" w:rsidRPr="00EE003F" w:rsidRDefault="00844FE3" w:rsidP="000C7DC2">
      <w:pPr>
        <w:pStyle w:val="Prrafodelista"/>
        <w:numPr>
          <w:ilvl w:val="0"/>
          <w:numId w:val="15"/>
        </w:numPr>
        <w:rPr>
          <w:rFonts w:ascii="Arial Narrow" w:hAnsi="Arial Narrow"/>
          <w:sz w:val="24"/>
          <w:szCs w:val="24"/>
        </w:rPr>
      </w:pPr>
      <w:r w:rsidRPr="00EE003F">
        <w:rPr>
          <w:rFonts w:ascii="Arial Narrow" w:hAnsi="Arial Narrow"/>
          <w:sz w:val="24"/>
          <w:szCs w:val="24"/>
          <w:lang w:val="en-US"/>
        </w:rPr>
        <w:t xml:space="preserve">Gore, Al (2013). The Future. Random House. </w:t>
      </w:r>
      <w:r w:rsidRPr="00EE003F">
        <w:rPr>
          <w:rFonts w:ascii="Arial Narrow" w:hAnsi="Arial Narrow"/>
          <w:sz w:val="24"/>
          <w:szCs w:val="24"/>
        </w:rPr>
        <w:t>NY, USA</w:t>
      </w:r>
    </w:p>
    <w:p w:rsidR="00844FE3" w:rsidRPr="00EE003F" w:rsidRDefault="00844FE3" w:rsidP="000C7DC2">
      <w:pPr>
        <w:pStyle w:val="Prrafodelista"/>
        <w:numPr>
          <w:ilvl w:val="0"/>
          <w:numId w:val="15"/>
        </w:numPr>
        <w:rPr>
          <w:rFonts w:ascii="Arial Narrow" w:hAnsi="Arial Narrow"/>
          <w:sz w:val="24"/>
          <w:szCs w:val="24"/>
        </w:rPr>
      </w:pPr>
      <w:r w:rsidRPr="00EE003F">
        <w:rPr>
          <w:rFonts w:ascii="Arial Narrow" w:hAnsi="Arial Narrow"/>
          <w:sz w:val="24"/>
          <w:szCs w:val="24"/>
          <w:lang w:val="en-US"/>
        </w:rPr>
        <w:t xml:space="preserve">APEC (2013) APEC at a Glance. </w:t>
      </w:r>
      <w:r w:rsidRPr="00EE003F">
        <w:rPr>
          <w:rFonts w:ascii="Arial Narrow" w:hAnsi="Arial Narrow"/>
          <w:sz w:val="24"/>
          <w:szCs w:val="24"/>
        </w:rPr>
        <w:t>Singapore</w:t>
      </w:r>
    </w:p>
    <w:p w:rsidR="00844FE3" w:rsidRPr="00EE003F" w:rsidRDefault="00844FE3" w:rsidP="000C7DC2">
      <w:pPr>
        <w:pStyle w:val="Prrafodelista"/>
        <w:numPr>
          <w:ilvl w:val="0"/>
          <w:numId w:val="15"/>
        </w:numPr>
        <w:rPr>
          <w:rFonts w:ascii="Arial Narrow" w:hAnsi="Arial Narrow"/>
          <w:sz w:val="24"/>
          <w:szCs w:val="24"/>
        </w:rPr>
      </w:pPr>
      <w:r w:rsidRPr="00EE003F">
        <w:rPr>
          <w:rFonts w:ascii="Arial Narrow" w:hAnsi="Arial Narrow"/>
          <w:sz w:val="24"/>
          <w:szCs w:val="24"/>
        </w:rPr>
        <w:t>CEPLAN (2016) Megatendencias: Un Análisis del Estado Global</w:t>
      </w:r>
    </w:p>
    <w:p w:rsidR="00844FE3" w:rsidRPr="00EE003F" w:rsidRDefault="00844FE3" w:rsidP="000C7DC2">
      <w:pPr>
        <w:pStyle w:val="Prrafodelista"/>
        <w:numPr>
          <w:ilvl w:val="0"/>
          <w:numId w:val="15"/>
        </w:numPr>
        <w:rPr>
          <w:rFonts w:ascii="Arial Narrow" w:hAnsi="Arial Narrow"/>
          <w:sz w:val="24"/>
          <w:szCs w:val="24"/>
        </w:rPr>
      </w:pPr>
      <w:r w:rsidRPr="00EE003F">
        <w:rPr>
          <w:rFonts w:ascii="Arial Narrow" w:hAnsi="Arial Narrow"/>
          <w:sz w:val="24"/>
          <w:szCs w:val="24"/>
        </w:rPr>
        <w:t>EIU (2015) Commodities Analysis</w:t>
      </w:r>
    </w:p>
    <w:p w:rsidR="00844FE3" w:rsidRPr="00EE003F" w:rsidRDefault="00844FE3" w:rsidP="000C7DC2">
      <w:pPr>
        <w:pStyle w:val="Prrafodelista"/>
        <w:numPr>
          <w:ilvl w:val="0"/>
          <w:numId w:val="15"/>
        </w:numPr>
        <w:rPr>
          <w:rFonts w:ascii="Arial Narrow" w:hAnsi="Arial Narrow"/>
          <w:sz w:val="24"/>
          <w:szCs w:val="24"/>
        </w:rPr>
      </w:pPr>
      <w:r w:rsidRPr="00EE003F">
        <w:rPr>
          <w:rFonts w:ascii="Arial Narrow" w:hAnsi="Arial Narrow"/>
          <w:sz w:val="24"/>
          <w:szCs w:val="24"/>
        </w:rPr>
        <w:t>CEPAL (2015) Estimaciones y proyecciones de población a largo plazo: 1950-2100</w:t>
      </w:r>
    </w:p>
    <w:p w:rsidR="00844FE3" w:rsidRPr="00EE003F" w:rsidRDefault="00844FE3"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http://www.proinversion.gob.pe/RepositorioAPS/0/0/JER/ESTADISTICAS_IED/1_5_%20Flujos%20de%20IED%20BCRP_a%20dic%202014.xls</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Naciones Unidas. (2013). ¿Qué futuro queremos para el Perú? Proceso nacional de</w:t>
      </w:r>
      <w:r w:rsidR="00A95F7E" w:rsidRPr="00EE003F">
        <w:rPr>
          <w:rFonts w:ascii="Arial Narrow" w:hAnsi="Arial Narrow"/>
          <w:sz w:val="24"/>
          <w:szCs w:val="24"/>
        </w:rPr>
        <w:t xml:space="preserve"> </w:t>
      </w:r>
      <w:r w:rsidRPr="00EE003F">
        <w:rPr>
          <w:rFonts w:ascii="Arial Narrow" w:hAnsi="Arial Narrow"/>
          <w:sz w:val="24"/>
          <w:szCs w:val="24"/>
        </w:rPr>
        <w:t>consulta sobre la agenda de desarrollo post-2015. Disponible en: http://www.undp.org/content/peru/es/home/mdgoverview/Agenda-Desarrollo-Post-2015-ODM/</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Tello, M. (2013, agosto 15). Entrevista Centrum: Gobierno no tiene claro qué significa</w:t>
      </w:r>
      <w:r w:rsidR="00A95F7E" w:rsidRPr="00EE003F">
        <w:rPr>
          <w:rFonts w:ascii="Arial Narrow" w:hAnsi="Arial Narrow"/>
          <w:sz w:val="24"/>
          <w:szCs w:val="24"/>
        </w:rPr>
        <w:t xml:space="preserve"> </w:t>
      </w:r>
      <w:r w:rsidRPr="00EE003F">
        <w:rPr>
          <w:rFonts w:ascii="Arial Narrow" w:hAnsi="Arial Narrow"/>
          <w:sz w:val="24"/>
          <w:szCs w:val="24"/>
        </w:rPr>
        <w:t>una política industrial que dé desarrollo. En Gestión. Disponible en: http://gestion.pe/economia/centrum-gobierno-no-tiene-claro-que-significa-politica-industrial-queproduzca-desarrollo-2073714?href=nota_rel</w:t>
      </w:r>
    </w:p>
    <w:p w:rsidR="0002693C" w:rsidRPr="00EE003F" w:rsidRDefault="0002693C" w:rsidP="000C7DC2">
      <w:pPr>
        <w:pStyle w:val="Prrafodelista"/>
        <w:numPr>
          <w:ilvl w:val="0"/>
          <w:numId w:val="15"/>
        </w:numPr>
        <w:tabs>
          <w:tab w:val="left" w:pos="426"/>
        </w:tabs>
        <w:jc w:val="both"/>
        <w:rPr>
          <w:rFonts w:ascii="Arial Narrow" w:hAnsi="Arial Narrow"/>
          <w:sz w:val="24"/>
          <w:szCs w:val="24"/>
        </w:rPr>
      </w:pPr>
      <w:r w:rsidRPr="00EE003F">
        <w:rPr>
          <w:rFonts w:ascii="Arial Narrow" w:hAnsi="Arial Narrow"/>
          <w:sz w:val="24"/>
          <w:szCs w:val="24"/>
        </w:rPr>
        <w:t>Tupayachi, O. (17, setiembre 2013). Telecomunicaciones y competitividad rural. En Gestión.</w:t>
      </w:r>
    </w:p>
    <w:p w:rsidR="00FF7A11" w:rsidRPr="006E3336" w:rsidRDefault="00FF7A11" w:rsidP="00F6198C">
      <w:pPr>
        <w:tabs>
          <w:tab w:val="left" w:pos="426"/>
        </w:tabs>
        <w:jc w:val="both"/>
        <w:rPr>
          <w:rFonts w:ascii="Arial Narrow" w:hAnsi="Arial Narrow"/>
          <w:sz w:val="24"/>
          <w:szCs w:val="24"/>
        </w:rPr>
      </w:pPr>
    </w:p>
    <w:p w:rsidR="0002693C" w:rsidRPr="00844FE3" w:rsidRDefault="0002693C" w:rsidP="001A4E17">
      <w:pPr>
        <w:rPr>
          <w:rFonts w:ascii="Arial Narrow" w:hAnsi="Arial Narrow"/>
        </w:rPr>
      </w:pPr>
    </w:p>
    <w:sectPr w:rsidR="0002693C" w:rsidRPr="00844FE3" w:rsidSect="00474E6A">
      <w:pgSz w:w="11907" w:h="16839" w:code="9"/>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BFA6E4" w15:done="0"/>
  <w15:commentEx w15:paraId="50724148" w15:done="0"/>
  <w15:commentEx w15:paraId="4A3F59CC" w15:done="0"/>
  <w15:commentEx w15:paraId="7B64BD80" w15:done="0"/>
  <w15:commentEx w15:paraId="62C6C1E5" w15:done="0"/>
  <w15:commentEx w15:paraId="7E096BB1" w15:done="0"/>
  <w15:commentEx w15:paraId="4A756F05" w15:done="0"/>
  <w15:commentEx w15:paraId="1630E743" w15:done="0"/>
  <w15:commentEx w15:paraId="6D24C403" w15:done="0"/>
  <w15:commentEx w15:paraId="36809CA7" w15:done="0"/>
  <w15:commentEx w15:paraId="7F068C5B" w15:done="0"/>
  <w15:commentEx w15:paraId="6B33A417" w15:done="0"/>
  <w15:commentEx w15:paraId="372AFB8B" w15:done="0"/>
  <w15:commentEx w15:paraId="0700E0A3" w15:done="0"/>
  <w15:commentEx w15:paraId="2D1C8734" w15:done="0"/>
  <w15:commentEx w15:paraId="3A7BA025" w15:done="0"/>
  <w15:commentEx w15:paraId="33BB8582" w15:done="0"/>
  <w15:commentEx w15:paraId="3BFD8C71" w15:done="0"/>
  <w15:commentEx w15:paraId="1D34069E" w15:done="0"/>
  <w15:commentEx w15:paraId="6FEE9C95" w15:done="0"/>
  <w15:commentEx w15:paraId="2FFA0162" w15:done="0"/>
  <w15:commentEx w15:paraId="2513CCD1" w15:done="0"/>
  <w15:commentEx w15:paraId="03A53AF5" w15:done="0"/>
  <w15:commentEx w15:paraId="2B0B2FE8" w15:done="0"/>
  <w15:commentEx w15:paraId="6739A56E" w15:done="0"/>
  <w15:commentEx w15:paraId="298C581C" w15:done="0"/>
  <w15:commentEx w15:paraId="2E0E2472" w15:done="0"/>
  <w15:commentEx w15:paraId="6846E604" w15:done="0"/>
  <w15:commentEx w15:paraId="02F32855" w15:done="0"/>
  <w15:commentEx w15:paraId="455F088A" w15:done="0"/>
  <w15:commentEx w15:paraId="69D770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633" w:rsidRDefault="00A04633" w:rsidP="00010811">
      <w:pPr>
        <w:spacing w:after="0" w:line="240" w:lineRule="auto"/>
      </w:pPr>
      <w:r>
        <w:separator/>
      </w:r>
    </w:p>
  </w:endnote>
  <w:endnote w:type="continuationSeparator" w:id="0">
    <w:p w:rsidR="00A04633" w:rsidRDefault="00A04633" w:rsidP="00010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Swis721 LtCn BT">
    <w:altName w:val="Arial Narrow"/>
    <w:charset w:val="00"/>
    <w:family w:val="swiss"/>
    <w:pitch w:val="variable"/>
    <w:sig w:usb0="00000001" w:usb1="00000000" w:usb2="00000000" w:usb3="00000000" w:csb0="0000001B" w:csb1="00000000"/>
  </w:font>
  <w:font w:name="Swiss721BT-Bold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Cn BT">
    <w:altName w:val="Arial Narrow"/>
    <w:charset w:val="00"/>
    <w:family w:val="swiss"/>
    <w:pitch w:val="variable"/>
    <w:sig w:usb0="00000001" w:usb1="00000000" w:usb2="00000000" w:usb3="00000000" w:csb0="0000001B" w:csb1="00000000"/>
  </w:font>
  <w:font w:name="RotisSemiSans">
    <w:charset w:val="00"/>
    <w:family w:val="auto"/>
    <w:pitch w:val="variable"/>
    <w:sig w:usb0="00000003" w:usb1="00000000" w:usb2="00000000" w:usb3="00000000" w:csb0="00000001" w:csb1="00000000"/>
  </w:font>
  <w:font w:name="Myriad Pro Light">
    <w:altName w:val="Arial"/>
    <w:panose1 w:val="00000000000000000000"/>
    <w:charset w:val="00"/>
    <w:family w:val="swiss"/>
    <w:notTrueType/>
    <w:pitch w:val="variable"/>
    <w:sig w:usb0="00000001" w:usb1="5000204B" w:usb2="00000000" w:usb3="00000000" w:csb0="0000009F" w:csb1="00000000"/>
  </w:font>
  <w:font w:name="Frutiger LT Std 45 Light">
    <w:panose1 w:val="00000000000000000000"/>
    <w:charset w:val="00"/>
    <w:family w:val="swiss"/>
    <w:notTrueType/>
    <w:pitch w:val="variable"/>
    <w:sig w:usb0="800000AF" w:usb1="4000204A" w:usb2="00000000" w:usb3="00000000" w:csb0="00000001" w:csb1="00000000"/>
  </w:font>
  <w:font w:name="Frutiger LT Std 57 Cn">
    <w:panose1 w:val="00000000000000000000"/>
    <w:charset w:val="00"/>
    <w:family w:val="swiss"/>
    <w:notTrueType/>
    <w:pitch w:val="variable"/>
    <w:sig w:usb0="800000AF" w:usb1="4000204A" w:usb2="00000000" w:usb3="00000000" w:csb0="00000001" w:csb1="00000000"/>
  </w:font>
  <w:font w:name="Frutiger LT Std 47 Light Cn">
    <w:panose1 w:val="00000000000000000000"/>
    <w:charset w:val="00"/>
    <w:family w:val="swiss"/>
    <w:notTrueType/>
    <w:pitch w:val="variable"/>
    <w:sig w:usb0="800000AF" w:usb1="4000204A"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FrutigerLTStd-BoldCn">
    <w:panose1 w:val="00000000000000000000"/>
    <w:charset w:val="00"/>
    <w:family w:val="swiss"/>
    <w:notTrueType/>
    <w:pitch w:val="default"/>
    <w:sig w:usb0="00000003" w:usb1="00000000" w:usb2="00000000" w:usb3="00000000" w:csb0="00000001" w:csb1="00000000"/>
  </w:font>
  <w:font w:name="FrutigerLTStd-Light">
    <w:altName w:val="Arial Unicode MS"/>
    <w:panose1 w:val="00000000000000000000"/>
    <w:charset w:val="81"/>
    <w:family w:val="swiss"/>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RotisSemiSans-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FrutigerLTStd-BlackC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utigerLTStd-Bold">
    <w:panose1 w:val="00000000000000000000"/>
    <w:charset w:val="00"/>
    <w:family w:val="swiss"/>
    <w:notTrueType/>
    <w:pitch w:val="default"/>
    <w:sig w:usb0="00000003" w:usb1="00000000" w:usb2="00000000" w:usb3="00000000" w:csb0="00000001" w:csb1="00000000"/>
  </w:font>
  <w:font w:name="FrutigerLTStd-LightCn">
    <w:panose1 w:val="00000000000000000000"/>
    <w:charset w:val="00"/>
    <w:family w:val="swiss"/>
    <w:notTrueType/>
    <w:pitch w:val="default"/>
    <w:sig w:usb0="00000003" w:usb1="00000000" w:usb2="00000000" w:usb3="00000000" w:csb0="00000001" w:csb1="00000000"/>
  </w:font>
  <w:font w:name="FrutigerLTSt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582634"/>
      <w:docPartObj>
        <w:docPartGallery w:val="Page Numbers (Bottom of Page)"/>
        <w:docPartUnique/>
      </w:docPartObj>
    </w:sdtPr>
    <w:sdtContent>
      <w:p w:rsidR="0038146C" w:rsidRDefault="0038146C">
        <w:pPr>
          <w:pStyle w:val="Piedepgina"/>
          <w:jc w:val="center"/>
        </w:pPr>
        <w:r>
          <w:fldChar w:fldCharType="begin"/>
        </w:r>
        <w:r>
          <w:instrText>PAGE   \* MERGEFORMAT</w:instrText>
        </w:r>
        <w:r>
          <w:fldChar w:fldCharType="separate"/>
        </w:r>
        <w:r w:rsidR="00D91F85" w:rsidRPr="00D91F85">
          <w:rPr>
            <w:noProof/>
            <w:lang w:val="es-ES"/>
          </w:rPr>
          <w:t>1</w:t>
        </w:r>
        <w:r>
          <w:fldChar w:fldCharType="end"/>
        </w:r>
      </w:p>
    </w:sdtContent>
  </w:sdt>
  <w:p w:rsidR="00E32B67" w:rsidRDefault="00E32B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633" w:rsidRDefault="00A04633" w:rsidP="00010811">
      <w:pPr>
        <w:spacing w:after="0" w:line="240" w:lineRule="auto"/>
      </w:pPr>
      <w:r>
        <w:separator/>
      </w:r>
    </w:p>
  </w:footnote>
  <w:footnote w:type="continuationSeparator" w:id="0">
    <w:p w:rsidR="00A04633" w:rsidRDefault="00A04633" w:rsidP="00010811">
      <w:pPr>
        <w:spacing w:after="0" w:line="240" w:lineRule="auto"/>
      </w:pPr>
      <w:r>
        <w:continuationSeparator/>
      </w:r>
    </w:p>
  </w:footnote>
  <w:footnote w:id="1">
    <w:p w:rsidR="00274AEA" w:rsidRDefault="00274AEA">
      <w:pPr>
        <w:pStyle w:val="Textonotapie"/>
      </w:pPr>
      <w:r>
        <w:rPr>
          <w:rStyle w:val="Refdenotaalpie"/>
        </w:rPr>
        <w:footnoteRef/>
      </w:r>
      <w:r>
        <w:t xml:space="preserve"> </w:t>
      </w:r>
      <w:r w:rsidRPr="005C4051">
        <w:rPr>
          <w:rFonts w:cs="Arial"/>
          <w:szCs w:val="24"/>
          <w:lang w:val="es-ES_tradnl"/>
        </w:rPr>
        <w:t xml:space="preserve">Plan Nacional de </w:t>
      </w:r>
      <w:r w:rsidRPr="005C4051">
        <w:rPr>
          <w:rFonts w:cs="Browallia New"/>
          <w:szCs w:val="24"/>
          <w:lang w:val="es-ES_tradnl"/>
        </w:rPr>
        <w:t>Seguridad Ciudadana 2013-2018</w:t>
      </w:r>
    </w:p>
  </w:footnote>
  <w:footnote w:id="2">
    <w:p w:rsidR="00274AEA" w:rsidRDefault="00274AEA">
      <w:pPr>
        <w:pStyle w:val="Textonotapie"/>
      </w:pPr>
      <w:r>
        <w:rPr>
          <w:rStyle w:val="Refdenotaalpie"/>
        </w:rPr>
        <w:footnoteRef/>
      </w:r>
      <w:r>
        <w:t xml:space="preserve"> </w:t>
      </w:r>
      <w:r w:rsidRPr="005C4051">
        <w:t>Talleres con Viceministros realizados en julio del 2013.</w:t>
      </w:r>
    </w:p>
  </w:footnote>
  <w:footnote w:id="3">
    <w:p w:rsidR="00274AEA" w:rsidRPr="005C4051" w:rsidRDefault="00274AEA">
      <w:pPr>
        <w:pStyle w:val="Textonotapie"/>
      </w:pPr>
      <w:r w:rsidRPr="00FB5453">
        <w:rPr>
          <w:rStyle w:val="Refdenotaalpie"/>
        </w:rPr>
        <w:footnoteRef/>
      </w:r>
      <w:r w:rsidRPr="00FB5453">
        <w:t xml:space="preserve"> MMM 2017-2019 - MEF.</w:t>
      </w:r>
    </w:p>
  </w:footnote>
  <w:footnote w:id="4">
    <w:p w:rsidR="00274AEA" w:rsidRDefault="00274AEA" w:rsidP="007C78E7">
      <w:pPr>
        <w:pStyle w:val="Textonotapie"/>
      </w:pPr>
      <w:r>
        <w:rPr>
          <w:rStyle w:val="Refdenotaalpie"/>
        </w:rPr>
        <w:footnoteRef/>
      </w:r>
      <w:r w:rsidRPr="007C78E7">
        <w:t xml:space="preserve"> </w:t>
      </w:r>
      <w:r>
        <w:t xml:space="preserve">Ver INEI (2014) Índices Temáticos </w:t>
      </w:r>
      <w:r w:rsidRPr="00504B1C">
        <w:rPr>
          <w:i/>
        </w:rPr>
        <w:t>https://www.inei.gob.pe/media/MenuRecursivo/indices_tematicos/orden-2_63.xls</w:t>
      </w:r>
    </w:p>
    <w:p w:rsidR="00274AEA" w:rsidRPr="007C78E7" w:rsidRDefault="00274AEA">
      <w:pPr>
        <w:pStyle w:val="Textonotapie"/>
      </w:pPr>
    </w:p>
  </w:footnote>
  <w:footnote w:id="5">
    <w:p w:rsidR="00274AEA" w:rsidRPr="00332594" w:rsidRDefault="00274AEA" w:rsidP="00DA2AE6">
      <w:pPr>
        <w:pStyle w:val="Textonotapie"/>
      </w:pPr>
      <w:r>
        <w:rPr>
          <w:rStyle w:val="Refdenotaalpie"/>
        </w:rPr>
        <w:footnoteRef/>
      </w:r>
      <w:r w:rsidRPr="00DA2AE6">
        <w:rPr>
          <w:lang w:val="en-US"/>
        </w:rPr>
        <w:t xml:space="preserve"> </w:t>
      </w:r>
      <w:proofErr w:type="spellStart"/>
      <w:r w:rsidRPr="00DA2AE6">
        <w:rPr>
          <w:lang w:val="en-US"/>
        </w:rPr>
        <w:t>Erten</w:t>
      </w:r>
      <w:proofErr w:type="spellEnd"/>
      <w:r w:rsidRPr="00DA2AE6">
        <w:rPr>
          <w:lang w:val="en-US"/>
        </w:rPr>
        <w:t xml:space="preserve"> y </w:t>
      </w:r>
      <w:proofErr w:type="gramStart"/>
      <w:r w:rsidRPr="00DA2AE6">
        <w:rPr>
          <w:lang w:val="en-US"/>
        </w:rPr>
        <w:t>Ocampo(</w:t>
      </w:r>
      <w:proofErr w:type="gramEnd"/>
      <w:r w:rsidRPr="00DA2AE6">
        <w:rPr>
          <w:lang w:val="en-US"/>
        </w:rPr>
        <w:t>2012) “Super-c</w:t>
      </w:r>
      <w:r>
        <w:rPr>
          <w:lang w:val="en-US"/>
        </w:rPr>
        <w:t xml:space="preserve">ycles of commodity prices since </w:t>
      </w:r>
      <w:r w:rsidRPr="00DA2AE6">
        <w:rPr>
          <w:lang w:val="en-US"/>
        </w:rPr>
        <w:t>the mid-nineteenth century</w:t>
      </w:r>
      <w:r>
        <w:rPr>
          <w:lang w:val="en-US"/>
        </w:rPr>
        <w:t xml:space="preserve">”. </w:t>
      </w:r>
      <w:r w:rsidRPr="00332594">
        <w:t xml:space="preserve">DESA </w:t>
      </w:r>
      <w:proofErr w:type="spellStart"/>
      <w:r w:rsidRPr="00332594">
        <w:t>Working</w:t>
      </w:r>
      <w:proofErr w:type="spellEnd"/>
      <w:r w:rsidRPr="00332594">
        <w:t xml:space="preserve"> </w:t>
      </w:r>
      <w:proofErr w:type="spellStart"/>
      <w:r w:rsidRPr="00332594">
        <w:t>Paper</w:t>
      </w:r>
      <w:proofErr w:type="spellEnd"/>
      <w:r w:rsidRPr="00332594">
        <w:t xml:space="preserve"> No. 110. ST/ESA/2012/DWP/110 ver en </w:t>
      </w:r>
      <w:r w:rsidRPr="00332594">
        <w:rPr>
          <w:rFonts w:ascii="Arial Narrow" w:hAnsi="Arial Narrow"/>
        </w:rPr>
        <w:t>http://www.un.org/esa/desa/papers/2012/wp110_2012.pdf</w:t>
      </w:r>
    </w:p>
  </w:footnote>
  <w:footnote w:id="6">
    <w:p w:rsidR="00274AEA" w:rsidRPr="005C4051" w:rsidRDefault="00274AEA" w:rsidP="005C4051">
      <w:pPr>
        <w:pStyle w:val="Textonotapie"/>
        <w:jc w:val="both"/>
      </w:pPr>
      <w:r w:rsidRPr="005C4051">
        <w:rPr>
          <w:rStyle w:val="Refdenotaalpie"/>
        </w:rPr>
        <w:footnoteRef/>
      </w:r>
      <w:r w:rsidRPr="005C4051">
        <w:t xml:space="preserve"> Los cálculos de las tasas de crecimiento anuales se basaron en los datos del Banco Mundial (2011-2014) y las proyecciones del Modelo </w:t>
      </w:r>
      <w:proofErr w:type="spellStart"/>
      <w:r w:rsidRPr="005C4051">
        <w:t>IFs</w:t>
      </w:r>
      <w:proofErr w:type="spellEnd"/>
      <w:r w:rsidRPr="005C4051">
        <w:t xml:space="preserve"> (2015-2021).</w:t>
      </w:r>
    </w:p>
  </w:footnote>
  <w:footnote w:id="7">
    <w:p w:rsidR="00274AEA" w:rsidRPr="005C4051" w:rsidRDefault="00274AEA" w:rsidP="005C4051">
      <w:pPr>
        <w:pStyle w:val="Textonotapie"/>
        <w:jc w:val="both"/>
      </w:pPr>
      <w:r w:rsidRPr="005C4051">
        <w:rPr>
          <w:rStyle w:val="Refdenotaalpie"/>
        </w:rPr>
        <w:footnoteRef/>
      </w:r>
      <w:r w:rsidRPr="005C4051">
        <w:t xml:space="preserve"> PPP, Dólares del 2011</w:t>
      </w:r>
    </w:p>
  </w:footnote>
  <w:footnote w:id="8">
    <w:p w:rsidR="00274AEA" w:rsidRPr="005C4051" w:rsidRDefault="00274AEA" w:rsidP="005C4051">
      <w:pPr>
        <w:pStyle w:val="Textonotapie"/>
        <w:jc w:val="both"/>
      </w:pPr>
      <w:r w:rsidRPr="005C4051">
        <w:rPr>
          <w:rStyle w:val="Refdenotaalpie"/>
        </w:rPr>
        <w:footnoteRef/>
      </w:r>
      <w:r w:rsidRPr="005C4051">
        <w:t xml:space="preserve"> Calculado con el último dato del Banco Mundial y las tasas de crecimiento del MMM 2017-2019. Expresado en PPP, Dólares del 2011.</w:t>
      </w:r>
    </w:p>
  </w:footnote>
  <w:footnote w:id="9">
    <w:p w:rsidR="00274AEA" w:rsidRDefault="00274AEA" w:rsidP="005C4051">
      <w:pPr>
        <w:pStyle w:val="Textonotapie"/>
        <w:jc w:val="both"/>
      </w:pPr>
      <w:r w:rsidRPr="005C4051">
        <w:rPr>
          <w:rStyle w:val="Refdenotaalpie"/>
        </w:rPr>
        <w:footnoteRef/>
      </w:r>
      <w:r w:rsidRPr="005C4051">
        <w:t xml:space="preserve"> CEPLAN (2016) </w:t>
      </w:r>
      <w:proofErr w:type="spellStart"/>
      <w:r w:rsidRPr="005C4051">
        <w:t>Megatendencias</w:t>
      </w:r>
      <w:proofErr w:type="spellEnd"/>
      <w:r w:rsidRPr="005C4051">
        <w:t>: Un Análisis del Estado Global</w:t>
      </w:r>
    </w:p>
  </w:footnote>
  <w:footnote w:id="10">
    <w:p w:rsidR="00274AEA" w:rsidRPr="0002693C" w:rsidRDefault="00274AEA" w:rsidP="00970D1C">
      <w:pPr>
        <w:pStyle w:val="Textonotapie"/>
      </w:pPr>
      <w:r>
        <w:rPr>
          <w:rStyle w:val="Refdenotaalpie"/>
        </w:rPr>
        <w:footnoteRef/>
      </w:r>
      <w:r w:rsidRPr="00464CC4">
        <w:rPr>
          <w:lang w:val="en-US"/>
        </w:rPr>
        <w:t xml:space="preserve"> </w:t>
      </w:r>
      <w:proofErr w:type="gramStart"/>
      <w:r w:rsidRPr="00F738C5">
        <w:rPr>
          <w:lang w:val="en-US"/>
        </w:rPr>
        <w:t>APEC (2013) APEC at a Glance.</w:t>
      </w:r>
      <w:proofErr w:type="gramEnd"/>
      <w:r w:rsidRPr="00F738C5">
        <w:rPr>
          <w:lang w:val="en-US"/>
        </w:rPr>
        <w:t xml:space="preserve"> </w:t>
      </w:r>
      <w:proofErr w:type="spellStart"/>
      <w:r w:rsidRPr="00F738C5">
        <w:t>Singapore</w:t>
      </w:r>
      <w:proofErr w:type="spellEnd"/>
      <w:r w:rsidRPr="00F738C5">
        <w:t>.</w:t>
      </w:r>
    </w:p>
  </w:footnote>
  <w:footnote w:id="11">
    <w:p w:rsidR="00274AEA" w:rsidRPr="00F738C5" w:rsidRDefault="00274AEA" w:rsidP="00970D1C">
      <w:pPr>
        <w:pStyle w:val="Textonotapie"/>
        <w:jc w:val="both"/>
      </w:pPr>
      <w:r>
        <w:rPr>
          <w:rStyle w:val="Refdenotaalpie"/>
        </w:rPr>
        <w:footnoteRef/>
      </w:r>
      <w:r>
        <w:t xml:space="preserve"> </w:t>
      </w:r>
      <w:r w:rsidRPr="00F738C5">
        <w:t>CEPLAN (2016). “En ese sentido, según la FAO, 2015; tanto la alimentación como la agricultura deben adquirir un carácter sostenible, de alcance general y basado en el conocimiento teniendo en cuenta los principios siguientes: 1) uso más eficiente de los recursos, 2) conservación, protección y mejoramiento de los ecosistemas naturales; 3) protección y mejoramiento de los medios de subsistencia y del bienestar social en el medio rural; 4) mayor resiliencia de las personas, las comunidades y los ecosistemas, y 5) fomento de una buena gestión de los sistemas naturales y humanos; de esta forma, será posible poner fin al hambre y la</w:t>
      </w:r>
      <w:r>
        <w:t xml:space="preserve"> </w:t>
      </w:r>
      <w:r w:rsidRPr="00F738C5">
        <w:t>pobreza aspectos que limitan el desarrollo humano.”</w:t>
      </w:r>
    </w:p>
  </w:footnote>
  <w:footnote w:id="12">
    <w:p w:rsidR="00274AEA" w:rsidRPr="00F738C5" w:rsidRDefault="00274AEA" w:rsidP="008B5618">
      <w:pPr>
        <w:autoSpaceDE w:val="0"/>
        <w:autoSpaceDN w:val="0"/>
        <w:adjustRightInd w:val="0"/>
        <w:spacing w:after="0" w:line="240" w:lineRule="auto"/>
        <w:jc w:val="both"/>
        <w:rPr>
          <w:sz w:val="20"/>
          <w:szCs w:val="20"/>
        </w:rPr>
      </w:pPr>
      <w:r w:rsidRPr="00F738C5">
        <w:rPr>
          <w:rStyle w:val="Refdenotaalpie"/>
          <w:sz w:val="20"/>
          <w:szCs w:val="20"/>
        </w:rPr>
        <w:footnoteRef/>
      </w:r>
      <w:r w:rsidRPr="00F738C5">
        <w:rPr>
          <w:sz w:val="20"/>
          <w:szCs w:val="20"/>
        </w:rPr>
        <w:t xml:space="preserve"> El Plan</w:t>
      </w:r>
      <w:r>
        <w:rPr>
          <w:sz w:val="20"/>
          <w:szCs w:val="20"/>
        </w:rPr>
        <w:t xml:space="preserve"> </w:t>
      </w:r>
      <w:r w:rsidRPr="00F738C5">
        <w:rPr>
          <w:sz w:val="20"/>
          <w:szCs w:val="20"/>
        </w:rPr>
        <w:t>CC considera que los 2,4 millones de bosques primarios podrían tener un elevado valor que, de acuerdo al Programa delas Naciones Unidas para el Medio Ambiente (TEEB), estiman en US$6120 la hectárea de bosque en pie. Por este motivo, se calcula que el costo de oportunidad de la deforestación de las 2,4 millones de hectáreas al 2050 podría alcanzar los US$14,688 millones, equivalente al 11% del PBI al 2010.</w:t>
      </w:r>
    </w:p>
  </w:footnote>
  <w:footnote w:id="13">
    <w:p w:rsidR="00274AEA" w:rsidRPr="00A23967" w:rsidRDefault="00274AEA" w:rsidP="00167CB3">
      <w:pPr>
        <w:pStyle w:val="Textonotapie"/>
        <w:jc w:val="both"/>
        <w:rPr>
          <w:lang w:val="en-US"/>
        </w:rPr>
      </w:pPr>
      <w:r w:rsidRPr="00F738C5">
        <w:rPr>
          <w:rStyle w:val="Refdenotaalpie"/>
        </w:rPr>
        <w:footnoteRef/>
      </w:r>
      <w:r w:rsidRPr="00F738C5">
        <w:rPr>
          <w:lang w:val="en-US"/>
        </w:rPr>
        <w:t xml:space="preserve"> </w:t>
      </w:r>
      <w:proofErr w:type="gramStart"/>
      <w:r w:rsidRPr="008A0593">
        <w:rPr>
          <w:i/>
          <w:lang w:val="en-US"/>
        </w:rPr>
        <w:t>Economist Intelligence Unit</w:t>
      </w:r>
      <w:r w:rsidRPr="00F738C5">
        <w:rPr>
          <w:lang w:val="en-US"/>
        </w:rPr>
        <w:t>.</w:t>
      </w:r>
      <w:proofErr w:type="gramEnd"/>
      <w:r w:rsidRPr="00F738C5">
        <w:rPr>
          <w:lang w:val="en-US"/>
        </w:rPr>
        <w:t xml:space="preserve"> </w:t>
      </w:r>
      <w:proofErr w:type="gramStart"/>
      <w:r w:rsidRPr="00F738C5">
        <w:rPr>
          <w:lang w:val="en-US"/>
        </w:rPr>
        <w:t xml:space="preserve">EIU (2015) </w:t>
      </w:r>
      <w:r w:rsidRPr="008A0593">
        <w:rPr>
          <w:i/>
          <w:lang w:val="en-US"/>
        </w:rPr>
        <w:t>Commodities Analysis</w:t>
      </w:r>
      <w:r>
        <w:rPr>
          <w:lang w:val="en-US"/>
        </w:rPr>
        <w:t>.</w:t>
      </w:r>
      <w:proofErr w:type="gramEnd"/>
    </w:p>
  </w:footnote>
  <w:footnote w:id="14">
    <w:p w:rsidR="00274AEA" w:rsidRDefault="00274AEA" w:rsidP="00F738C5">
      <w:pPr>
        <w:pStyle w:val="Textonotapie"/>
        <w:jc w:val="both"/>
      </w:pPr>
      <w:r>
        <w:rPr>
          <w:rStyle w:val="Refdenotaalpie"/>
        </w:rPr>
        <w:footnoteRef/>
      </w:r>
      <w:r>
        <w:t xml:space="preserve"> </w:t>
      </w:r>
      <w:r w:rsidRPr="00F738C5">
        <w:t>Esta definición de clase consumidora se basa en el planteamiento de clase media según el enfoque de seguridad económica del Banco Mundial.</w:t>
      </w:r>
    </w:p>
  </w:footnote>
  <w:footnote w:id="15">
    <w:p w:rsidR="00274AEA" w:rsidRPr="00F738C5" w:rsidRDefault="00274AEA" w:rsidP="00F738C5">
      <w:pPr>
        <w:pStyle w:val="Textonotapie"/>
        <w:jc w:val="both"/>
        <w:rPr>
          <w:lang w:val="en-US"/>
        </w:rPr>
      </w:pPr>
      <w:r>
        <w:rPr>
          <w:rStyle w:val="Refdenotaalpie"/>
        </w:rPr>
        <w:footnoteRef/>
      </w:r>
      <w:r w:rsidRPr="0002693C">
        <w:rPr>
          <w:lang w:val="en-US"/>
        </w:rPr>
        <w:t xml:space="preserve"> </w:t>
      </w:r>
      <w:proofErr w:type="gramStart"/>
      <w:r w:rsidRPr="00F738C5">
        <w:rPr>
          <w:lang w:val="en-US"/>
        </w:rPr>
        <w:t>Banco Mundial (2005).</w:t>
      </w:r>
      <w:proofErr w:type="gramEnd"/>
      <w:r w:rsidRPr="00F738C5">
        <w:rPr>
          <w:lang w:val="en-US"/>
        </w:rPr>
        <w:t xml:space="preserve"> </w:t>
      </w:r>
      <w:proofErr w:type="gramStart"/>
      <w:r w:rsidRPr="00F738C5">
        <w:rPr>
          <w:lang w:val="en-US"/>
        </w:rPr>
        <w:t>Governance Matters.</w:t>
      </w:r>
      <w:proofErr w:type="gramEnd"/>
      <w:r w:rsidRPr="00F738C5">
        <w:rPr>
          <w:lang w:val="en-US"/>
        </w:rPr>
        <w:t xml:space="preserve"> Washington DC.</w:t>
      </w:r>
    </w:p>
  </w:footnote>
  <w:footnote w:id="16">
    <w:p w:rsidR="00274AEA" w:rsidRPr="00007C13" w:rsidRDefault="00274AEA" w:rsidP="00F738C5">
      <w:pPr>
        <w:pStyle w:val="Textonotapie"/>
        <w:jc w:val="both"/>
        <w:rPr>
          <w:lang w:val="en-US"/>
        </w:rPr>
      </w:pPr>
      <w:r w:rsidRPr="00F738C5">
        <w:rPr>
          <w:rStyle w:val="Refdenotaalpie"/>
        </w:rPr>
        <w:footnoteRef/>
      </w:r>
      <w:r w:rsidRPr="00F738C5">
        <w:t xml:space="preserve"> Fundación Este País (2007). Indicadores de Gobernabilidad. </w:t>
      </w:r>
      <w:r w:rsidRPr="00F738C5">
        <w:rPr>
          <w:lang w:val="en-US"/>
        </w:rPr>
        <w:t>México DF.</w:t>
      </w:r>
    </w:p>
  </w:footnote>
  <w:footnote w:id="17">
    <w:p w:rsidR="00274AEA" w:rsidRPr="005C08C5" w:rsidRDefault="00274AEA">
      <w:pPr>
        <w:pStyle w:val="Textonotapie"/>
        <w:rPr>
          <w:lang w:val="en-US"/>
        </w:rPr>
      </w:pPr>
      <w:r>
        <w:rPr>
          <w:rStyle w:val="Refdenotaalpie"/>
        </w:rPr>
        <w:footnoteRef/>
      </w:r>
      <w:r w:rsidRPr="005C08C5">
        <w:rPr>
          <w:lang w:val="en-US"/>
        </w:rPr>
        <w:t xml:space="preserve"> </w:t>
      </w:r>
      <w:r w:rsidRPr="00F738C5">
        <w:rPr>
          <w:lang w:val="en-US"/>
        </w:rPr>
        <w:t xml:space="preserve">Centre for Economics and Business Research. </w:t>
      </w:r>
      <w:proofErr w:type="gramStart"/>
      <w:r w:rsidRPr="00F738C5">
        <w:rPr>
          <w:lang w:val="en-US"/>
        </w:rPr>
        <w:t>Impact on Infrastructure.</w:t>
      </w:r>
      <w:proofErr w:type="gramEnd"/>
      <w:r w:rsidRPr="00F738C5">
        <w:rPr>
          <w:lang w:val="en-US"/>
        </w:rPr>
        <w:t xml:space="preserve"> </w:t>
      </w:r>
      <w:proofErr w:type="spellStart"/>
      <w:proofErr w:type="gramStart"/>
      <w:r w:rsidRPr="00F738C5">
        <w:rPr>
          <w:lang w:val="en-US"/>
        </w:rPr>
        <w:t>Londres</w:t>
      </w:r>
      <w:proofErr w:type="spellEnd"/>
      <w:r w:rsidRPr="00F738C5">
        <w:rPr>
          <w:lang w:val="en-US"/>
        </w:rPr>
        <w:t>.</w:t>
      </w:r>
      <w:proofErr w:type="gramEnd"/>
      <w:r w:rsidRPr="00F738C5">
        <w:rPr>
          <w:lang w:val="en-US"/>
        </w:rPr>
        <w:t xml:space="preserve"> 2013</w:t>
      </w:r>
    </w:p>
  </w:footnote>
  <w:footnote w:id="18">
    <w:p w:rsidR="00274AEA" w:rsidRPr="00F738C5" w:rsidRDefault="00274AEA" w:rsidP="00970D1C">
      <w:pPr>
        <w:pStyle w:val="Textonotapie"/>
      </w:pPr>
      <w:r w:rsidRPr="00F738C5">
        <w:rPr>
          <w:rStyle w:val="Refdenotaalpie"/>
        </w:rPr>
        <w:footnoteRef/>
      </w:r>
      <w:r w:rsidRPr="00F738C5">
        <w:rPr>
          <w:lang w:val="en-US"/>
        </w:rPr>
        <w:t xml:space="preserve"> </w:t>
      </w:r>
      <w:proofErr w:type="spellStart"/>
      <w:r w:rsidRPr="00F738C5">
        <w:rPr>
          <w:lang w:val="en-US"/>
        </w:rPr>
        <w:t>Landes</w:t>
      </w:r>
      <w:proofErr w:type="spellEnd"/>
      <w:r w:rsidRPr="00F738C5">
        <w:rPr>
          <w:lang w:val="en-US"/>
        </w:rPr>
        <w:t xml:space="preserve">, D. (1998) </w:t>
      </w:r>
      <w:proofErr w:type="gramStart"/>
      <w:r w:rsidRPr="00F738C5">
        <w:rPr>
          <w:lang w:val="en-US"/>
        </w:rPr>
        <w:t>The</w:t>
      </w:r>
      <w:proofErr w:type="gramEnd"/>
      <w:r w:rsidRPr="00F738C5">
        <w:rPr>
          <w:lang w:val="en-US"/>
        </w:rPr>
        <w:t xml:space="preserve"> Wealth and Poverty of the Nations. </w:t>
      </w:r>
      <w:r w:rsidRPr="00F738C5">
        <w:t>WW Norton &amp;Co. Nueva York. 1998.</w:t>
      </w:r>
    </w:p>
  </w:footnote>
  <w:footnote w:id="19">
    <w:p w:rsidR="00274AEA" w:rsidRDefault="00274AEA" w:rsidP="00970D1C">
      <w:pPr>
        <w:pStyle w:val="Textonotapie"/>
      </w:pPr>
      <w:r w:rsidRPr="00F738C5">
        <w:rPr>
          <w:rStyle w:val="Refdenotaalpie"/>
        </w:rPr>
        <w:footnoteRef/>
      </w:r>
      <w:r w:rsidRPr="00F738C5">
        <w:t xml:space="preserve"> </w:t>
      </w:r>
      <w:proofErr w:type="spellStart"/>
      <w:r w:rsidRPr="00F738C5">
        <w:t>Feinson</w:t>
      </w:r>
      <w:proofErr w:type="spellEnd"/>
      <w:r w:rsidRPr="00F738C5">
        <w:t>. S. (1999) Sistemas de Innovación Nacionales. SCPO. 1999.</w:t>
      </w:r>
    </w:p>
  </w:footnote>
  <w:footnote w:id="20">
    <w:p w:rsidR="00274AEA" w:rsidRDefault="00274AEA" w:rsidP="004C55CE">
      <w:pPr>
        <w:pStyle w:val="Textonotapie"/>
      </w:pPr>
      <w:r>
        <w:rPr>
          <w:rStyle w:val="Refdenotaalpie"/>
        </w:rPr>
        <w:footnoteRef/>
      </w:r>
      <w:r>
        <w:t xml:space="preserve"> </w:t>
      </w:r>
      <w:r w:rsidRPr="00F738C5">
        <w:t>Programa mediante el cual el Perú busca ser parte de la OCDE.</w:t>
      </w:r>
    </w:p>
  </w:footnote>
  <w:footnote w:id="21">
    <w:p w:rsidR="00274AEA" w:rsidRPr="00F543D0" w:rsidRDefault="00274AEA" w:rsidP="0040737B">
      <w:pPr>
        <w:jc w:val="both"/>
        <w:rPr>
          <w:rFonts w:ascii="Arial Narrow" w:hAnsi="Arial Narrow"/>
          <w:sz w:val="20"/>
          <w:szCs w:val="20"/>
        </w:rPr>
      </w:pPr>
      <w:r>
        <w:rPr>
          <w:rStyle w:val="Refdenotaalpie"/>
        </w:rPr>
        <w:footnoteRef/>
      </w:r>
      <w:r>
        <w:t xml:space="preserve"> </w:t>
      </w:r>
      <w:r w:rsidRPr="00F738C5">
        <w:rPr>
          <w:sz w:val="20"/>
          <w:szCs w:val="20"/>
        </w:rPr>
        <w:t>CEPLAN (2011).Documento de trabajo N° 14.</w:t>
      </w:r>
    </w:p>
    <w:p w:rsidR="00274AEA" w:rsidRDefault="00274AEA">
      <w:pPr>
        <w:pStyle w:val="Textonotapie"/>
      </w:pPr>
    </w:p>
  </w:footnote>
  <w:footnote w:id="22">
    <w:p w:rsidR="00274AEA" w:rsidRPr="00E86505" w:rsidRDefault="00274AEA" w:rsidP="00E86505">
      <w:pPr>
        <w:pStyle w:val="Textonotapie"/>
        <w:jc w:val="both"/>
      </w:pPr>
      <w:r w:rsidRPr="00E86505">
        <w:rPr>
          <w:rStyle w:val="Refdenotaalpie"/>
        </w:rPr>
        <w:footnoteRef/>
      </w:r>
      <w:r w:rsidRPr="00E86505">
        <w:t xml:space="preserve"> </w:t>
      </w:r>
      <w:proofErr w:type="spellStart"/>
      <w:r w:rsidRPr="00E86505">
        <w:t>Ceplan</w:t>
      </w:r>
      <w:proofErr w:type="spellEnd"/>
      <w:r w:rsidRPr="00E86505">
        <w:t>, Galarza, Luisa. (2011). Documento de trabajo N° 14. Visión de Futuro del Desarrollo Territorial. Nota del autor: No significa el desplazamiento de poblaciones hacia estas ciudades, sino el desarrollo de actividades propias de la ciudad en relación al ámbito rural. El crecimiento estará de acuerdo con el crecimiento de sus propias actividades que generen empleo.</w:t>
      </w:r>
    </w:p>
  </w:footnote>
  <w:footnote w:id="23">
    <w:p w:rsidR="00274AEA" w:rsidRDefault="00274AEA" w:rsidP="00E86505">
      <w:pPr>
        <w:pStyle w:val="Textonotapie"/>
        <w:jc w:val="both"/>
      </w:pPr>
      <w:r w:rsidRPr="00E86505">
        <w:rPr>
          <w:rStyle w:val="Refdenotaalpie"/>
        </w:rPr>
        <w:footnoteRef/>
      </w:r>
      <w:r w:rsidRPr="00E86505">
        <w:t xml:space="preserve"> Plan de Desarrollo Regional Concertado de Lima Metropolitana 2012-2025.</w:t>
      </w:r>
    </w:p>
  </w:footnote>
  <w:footnote w:id="24">
    <w:p w:rsidR="00274AEA" w:rsidRPr="00DC095F" w:rsidRDefault="00274AEA" w:rsidP="00DC095F">
      <w:pPr>
        <w:pStyle w:val="Textonotapie"/>
        <w:jc w:val="both"/>
      </w:pPr>
      <w:r w:rsidRPr="00DC095F">
        <w:rPr>
          <w:rStyle w:val="Refdenotaalpie"/>
        </w:rPr>
        <w:footnoteRef/>
      </w:r>
      <w:r w:rsidRPr="00DC095F">
        <w:t xml:space="preserve"> Plan nacional de seguridad alimentaria y nutricional 2015-2021.</w:t>
      </w:r>
    </w:p>
  </w:footnote>
  <w:footnote w:id="25">
    <w:p w:rsidR="00274AEA" w:rsidRDefault="00274AEA">
      <w:pPr>
        <w:pStyle w:val="Textonotapie"/>
      </w:pPr>
      <w:r>
        <w:rPr>
          <w:rStyle w:val="Refdenotaalpie"/>
        </w:rPr>
        <w:footnoteRef/>
      </w:r>
      <w:r>
        <w:t xml:space="preserve"> MMM 2017-2019, página 5 (Separata Especial).</w:t>
      </w:r>
    </w:p>
  </w:footnote>
  <w:footnote w:id="26">
    <w:p w:rsidR="00274AEA" w:rsidRDefault="00274AEA">
      <w:pPr>
        <w:pStyle w:val="Textonotapie"/>
      </w:pPr>
      <w:r>
        <w:rPr>
          <w:rStyle w:val="Refdenotaalpie"/>
        </w:rPr>
        <w:footnoteRef/>
      </w:r>
      <w:r>
        <w:t xml:space="preserve"> Reporte de Inflación BCRP (Marzo 2016)</w:t>
      </w:r>
    </w:p>
  </w:footnote>
  <w:footnote w:id="27">
    <w:p w:rsidR="00274AEA" w:rsidRPr="00DC095F" w:rsidRDefault="00274AEA" w:rsidP="00DC095F">
      <w:pPr>
        <w:pStyle w:val="BasicParagraph"/>
        <w:ind w:left="227" w:hanging="227"/>
        <w:jc w:val="both"/>
        <w:rPr>
          <w:rFonts w:asciiTheme="minorHAnsi" w:hAnsiTheme="minorHAnsi"/>
          <w:sz w:val="20"/>
          <w:szCs w:val="20"/>
        </w:rPr>
      </w:pPr>
      <w:r w:rsidRPr="00DC095F">
        <w:rPr>
          <w:rFonts w:asciiTheme="minorHAnsi" w:hAnsiTheme="minorHAnsi"/>
          <w:sz w:val="20"/>
          <w:szCs w:val="20"/>
          <w:vertAlign w:val="superscript"/>
        </w:rPr>
        <w:footnoteRef/>
      </w:r>
      <w:r w:rsidRPr="00DC095F">
        <w:rPr>
          <w:rStyle w:val="PIEDEPAGINA"/>
          <w:rFonts w:asciiTheme="minorHAnsi" w:hAnsiTheme="minorHAnsi"/>
          <w:sz w:val="20"/>
          <w:szCs w:val="20"/>
        </w:rPr>
        <w:tab/>
        <w:t>El Departamento de Lima y la Provincia Constitucional del Callao representaban el 48.23% del PBI en el 2012 y el 46.36% en el 2002 (BCRP, INEI).</w:t>
      </w:r>
    </w:p>
  </w:footnote>
  <w:footnote w:id="28">
    <w:p w:rsidR="00274AEA" w:rsidRPr="00DC095F" w:rsidRDefault="00274AEA" w:rsidP="00DC095F">
      <w:pPr>
        <w:pStyle w:val="Textonotapie"/>
        <w:jc w:val="both"/>
      </w:pPr>
      <w:r w:rsidRPr="00DC095F">
        <w:rPr>
          <w:rStyle w:val="Refdenotaalpie"/>
        </w:rPr>
        <w:footnoteRef/>
      </w:r>
      <w:r w:rsidRPr="00DC095F">
        <w:t xml:space="preserve"> </w:t>
      </w:r>
      <w:r w:rsidRPr="00DC095F">
        <w:rPr>
          <w:rFonts w:cs="Frutiger LT Std 45 Light"/>
          <w:lang w:val="es-ES_tradnl"/>
        </w:rPr>
        <w:t>El concepto de complejidad incluye, además, el nivel de sofisticación del producto: si un producto es altamente sofisticado y exportado por un número reducido de países, esos países recibirán un mayor puntaje. Complementariamente, utilizamos el indicador de variación de exportaciones no tradicionales, que representa los cambios en las exportaciones con cierto grado de transformación o aumento en su valor agregado. El ICE sirve como herramienta para la predicción del crecimiento económico potencial de un país, una región o una ciudad. Cuanto más compleja y diversa sea la estructura productiva, mayor será la productividad marginal de sus trabajadores, la que se verá reflejada en mejores salarios y calidad de vida.</w:t>
      </w:r>
    </w:p>
  </w:footnote>
  <w:footnote w:id="29">
    <w:p w:rsidR="00613BB2" w:rsidRDefault="00613BB2">
      <w:pPr>
        <w:pStyle w:val="Textonotapie"/>
      </w:pPr>
      <w:r>
        <w:rPr>
          <w:rStyle w:val="Refdenotaalpie"/>
        </w:rPr>
        <w:footnoteRef/>
      </w:r>
      <w:r>
        <w:t xml:space="preserve"> </w:t>
      </w:r>
      <w:r w:rsidR="00761B49" w:rsidRPr="00892E67">
        <w:rPr>
          <w:rFonts w:ascii="Arial Narrow" w:hAnsi="Arial Narrow"/>
          <w:sz w:val="16"/>
          <w:szCs w:val="16"/>
        </w:rPr>
        <w:t xml:space="preserve">La meta </w:t>
      </w:r>
      <w:r w:rsidR="00F42346" w:rsidRPr="00892E67">
        <w:rPr>
          <w:rFonts w:ascii="Arial Narrow" w:hAnsi="Arial Narrow"/>
          <w:sz w:val="16"/>
          <w:szCs w:val="16"/>
        </w:rPr>
        <w:t xml:space="preserve">se alcanzará si al menos una </w:t>
      </w:r>
      <w:r w:rsidR="00761B49" w:rsidRPr="00892E67">
        <w:rPr>
          <w:rFonts w:ascii="Arial Narrow" w:hAnsi="Arial Narrow"/>
          <w:sz w:val="16"/>
          <w:szCs w:val="16"/>
        </w:rPr>
        <w:t xml:space="preserve">de las calificadoras de riesgo </w:t>
      </w:r>
      <w:r w:rsidR="00F42346" w:rsidRPr="00892E67">
        <w:rPr>
          <w:rFonts w:ascii="Arial Narrow" w:hAnsi="Arial Narrow"/>
          <w:sz w:val="16"/>
          <w:szCs w:val="16"/>
        </w:rPr>
        <w:t>califica la deuda con las metas planteadas al</w:t>
      </w:r>
      <w:r w:rsidR="00291FD2" w:rsidRPr="00892E67">
        <w:rPr>
          <w:rFonts w:ascii="Arial Narrow" w:hAnsi="Arial Narrow"/>
          <w:sz w:val="16"/>
          <w:szCs w:val="16"/>
        </w:rPr>
        <w:t xml:space="preserve"> 2021.</w:t>
      </w:r>
    </w:p>
  </w:footnote>
  <w:footnote w:id="30">
    <w:p w:rsidR="00613BB2" w:rsidRDefault="00613BB2">
      <w:pPr>
        <w:pStyle w:val="Textonotapie"/>
      </w:pPr>
      <w:r>
        <w:rPr>
          <w:rStyle w:val="Refdenotaalpie"/>
        </w:rPr>
        <w:footnoteRef/>
      </w:r>
      <w:r>
        <w:t xml:space="preserve"> </w:t>
      </w:r>
      <w:r w:rsidRPr="00BC1EC1">
        <w:rPr>
          <w:rFonts w:ascii="Arial Narrow" w:hAnsi="Arial Narrow"/>
          <w:sz w:val="16"/>
          <w:szCs w:val="16"/>
        </w:rPr>
        <w:t xml:space="preserve">Fuente: </w:t>
      </w:r>
      <w:r w:rsidRPr="00613BB2">
        <w:rPr>
          <w:rFonts w:ascii="Arial Narrow" w:hAnsi="Arial Narrow"/>
          <w:sz w:val="16"/>
          <w:szCs w:val="16"/>
        </w:rPr>
        <w:t>https://www.mef.gob.pe/index.php?option=com_content&amp;view=article&amp;id=222%3Aprincipales-calificaciones-de-riesgo-soberano&amp;catid=90%3Aconsulta-4&amp;Itemid=101017&amp;lang=es</w:t>
      </w:r>
    </w:p>
  </w:footnote>
  <w:footnote w:id="31">
    <w:p w:rsidR="00274AEA" w:rsidRPr="00631573" w:rsidRDefault="00274AEA">
      <w:pPr>
        <w:pStyle w:val="Textonotapie"/>
        <w:rPr>
          <w:sz w:val="16"/>
        </w:rPr>
      </w:pPr>
      <w:r>
        <w:rPr>
          <w:rStyle w:val="Refdenotaalpie"/>
        </w:rPr>
        <w:footnoteRef/>
      </w:r>
      <w:r>
        <w:t xml:space="preserve"> </w:t>
      </w:r>
      <w:r w:rsidRPr="00631573">
        <w:rPr>
          <w:sz w:val="16"/>
        </w:rPr>
        <w:t>Véase MMM 2017 – 2019. Asimismo, la calificación de la deuda de largo plazo en moneda extranjera, cuenta con calificaciones hechas por diversas agencias calificadoras de riesgo, las mismas que son publicadas en la web del MEF:https://www.mef.gob.pe/index.php?option=com_content&amp;view=article&amp;id=222%3Aprincipales-calificaciones-de-riesgo-soberano&amp;catid=90%3Aconsulta-4&amp;Itemid=101017&amp;lang=es</w:t>
      </w:r>
    </w:p>
  </w:footnote>
  <w:footnote w:id="32">
    <w:p w:rsidR="00274AEA" w:rsidRPr="006753C4" w:rsidRDefault="00274AEA" w:rsidP="006753C4">
      <w:pPr>
        <w:pStyle w:val="BasicParagraph"/>
        <w:spacing w:line="240" w:lineRule="auto"/>
        <w:ind w:left="227" w:hanging="227"/>
        <w:jc w:val="both"/>
        <w:rPr>
          <w:rFonts w:asciiTheme="minorHAnsi" w:hAnsiTheme="minorHAnsi"/>
          <w:sz w:val="20"/>
          <w:szCs w:val="20"/>
        </w:rPr>
      </w:pPr>
      <w:r w:rsidRPr="006753C4">
        <w:rPr>
          <w:rFonts w:asciiTheme="minorHAnsi" w:hAnsiTheme="minorHAnsi"/>
          <w:sz w:val="20"/>
          <w:szCs w:val="20"/>
          <w:vertAlign w:val="superscript"/>
        </w:rPr>
        <w:footnoteRef/>
      </w:r>
      <w:r w:rsidRPr="006753C4">
        <w:rPr>
          <w:rStyle w:val="PIEDEPAGINA"/>
          <w:rFonts w:asciiTheme="minorHAnsi" w:hAnsiTheme="minorHAnsi"/>
          <w:sz w:val="20"/>
          <w:szCs w:val="20"/>
        </w:rPr>
        <w:tab/>
        <w:t>El crecimiento regional ha sido calculado como la variación porcentual promedio anual del Valor Agregado Bruto, considerando información oficial del INEI.</w:t>
      </w:r>
    </w:p>
  </w:footnote>
  <w:footnote w:id="33">
    <w:p w:rsidR="00274AEA" w:rsidRDefault="00274AEA" w:rsidP="006753C4">
      <w:pPr>
        <w:pStyle w:val="BasicParagraph"/>
        <w:spacing w:line="240" w:lineRule="auto"/>
        <w:ind w:left="227" w:hanging="227"/>
        <w:jc w:val="both"/>
      </w:pPr>
      <w:r w:rsidRPr="006753C4">
        <w:rPr>
          <w:rFonts w:asciiTheme="minorHAnsi" w:hAnsiTheme="minorHAnsi"/>
          <w:sz w:val="20"/>
          <w:szCs w:val="20"/>
          <w:vertAlign w:val="superscript"/>
        </w:rPr>
        <w:footnoteRef/>
      </w:r>
      <w:r w:rsidRPr="006753C4">
        <w:rPr>
          <w:rStyle w:val="PIEDEPAGINA"/>
          <w:rFonts w:asciiTheme="minorHAnsi" w:hAnsiTheme="minorHAnsi"/>
          <w:sz w:val="20"/>
          <w:szCs w:val="20"/>
        </w:rPr>
        <w:tab/>
        <w:t>El crecimiento del Perú de los últimos años ha permitiendo reducir significativamente los niveles de pobreza, de 58.7% en el 2004 a 23.9% en 2013.</w:t>
      </w:r>
    </w:p>
  </w:footnote>
  <w:footnote w:id="34">
    <w:p w:rsidR="00274AEA" w:rsidRPr="007E0485" w:rsidRDefault="00274AEA" w:rsidP="007E0485">
      <w:pPr>
        <w:pStyle w:val="BasicParagraph"/>
        <w:spacing w:line="240" w:lineRule="auto"/>
        <w:ind w:left="227" w:hanging="227"/>
        <w:jc w:val="both"/>
        <w:rPr>
          <w:rFonts w:asciiTheme="minorHAnsi" w:hAnsiTheme="minorHAnsi"/>
          <w:sz w:val="20"/>
          <w:szCs w:val="20"/>
        </w:rPr>
      </w:pPr>
      <w:r w:rsidRPr="007E0485">
        <w:rPr>
          <w:rStyle w:val="Refdenotaalpie"/>
          <w:rFonts w:asciiTheme="minorHAnsi" w:hAnsiTheme="minorHAnsi"/>
          <w:color w:val="auto"/>
          <w:sz w:val="20"/>
          <w:szCs w:val="20"/>
          <w:lang w:val="es-PE"/>
        </w:rPr>
        <w:footnoteRef/>
      </w:r>
      <w:r w:rsidRPr="007E0485">
        <w:rPr>
          <w:rStyle w:val="Refdenotaalpie"/>
          <w:rFonts w:asciiTheme="minorHAnsi" w:hAnsiTheme="minorHAnsi"/>
          <w:color w:val="auto"/>
          <w:sz w:val="20"/>
          <w:szCs w:val="20"/>
          <w:lang w:val="es-PE"/>
        </w:rPr>
        <w:tab/>
      </w:r>
      <w:r w:rsidRPr="007E0485">
        <w:rPr>
          <w:rStyle w:val="PIEDEPAGINA"/>
          <w:rFonts w:asciiTheme="minorHAnsi" w:hAnsiTheme="minorHAnsi"/>
          <w:sz w:val="20"/>
          <w:szCs w:val="20"/>
        </w:rPr>
        <w:t>El indicador líder del Eje 5 es calculado con información del Instituto Nacional de Estadística e Informática (INEI).</w:t>
      </w:r>
    </w:p>
  </w:footnote>
  <w:footnote w:id="35">
    <w:p w:rsidR="00274AEA" w:rsidRPr="007E0485" w:rsidRDefault="00274AEA" w:rsidP="007E0485">
      <w:pPr>
        <w:pStyle w:val="BasicParagraph"/>
        <w:spacing w:line="240" w:lineRule="auto"/>
        <w:ind w:left="227" w:hanging="227"/>
        <w:jc w:val="both"/>
        <w:rPr>
          <w:rFonts w:asciiTheme="minorHAnsi" w:hAnsiTheme="minorHAnsi"/>
          <w:sz w:val="20"/>
          <w:szCs w:val="20"/>
        </w:rPr>
      </w:pPr>
      <w:r w:rsidRPr="007E0485">
        <w:rPr>
          <w:rFonts w:asciiTheme="minorHAnsi" w:hAnsiTheme="minorHAnsi"/>
          <w:sz w:val="20"/>
          <w:szCs w:val="20"/>
          <w:vertAlign w:val="superscript"/>
        </w:rPr>
        <w:footnoteRef/>
      </w:r>
      <w:r w:rsidRPr="007E0485">
        <w:rPr>
          <w:rStyle w:val="PIEDEPAGINA"/>
          <w:rFonts w:asciiTheme="minorHAnsi" w:hAnsiTheme="minorHAnsi"/>
          <w:sz w:val="20"/>
          <w:szCs w:val="20"/>
        </w:rPr>
        <w:tab/>
        <w:t>La reducción de la participación regional en el VAB desde el 2001, se debe esencialmente al alto crecimiento de Lima, respecto a muchas de las regiones, así como también por su significativa participación en la producción nacional.</w:t>
      </w:r>
    </w:p>
  </w:footnote>
  <w:footnote w:id="36">
    <w:p w:rsidR="00274AEA" w:rsidRPr="007E0485" w:rsidRDefault="00274AEA" w:rsidP="007E0485">
      <w:pPr>
        <w:pStyle w:val="BasicParagraph"/>
        <w:spacing w:line="240" w:lineRule="auto"/>
        <w:ind w:left="227" w:hanging="227"/>
        <w:jc w:val="both"/>
        <w:rPr>
          <w:rFonts w:asciiTheme="minorHAnsi" w:hAnsiTheme="minorHAnsi"/>
          <w:sz w:val="20"/>
          <w:szCs w:val="20"/>
        </w:rPr>
      </w:pPr>
      <w:r w:rsidRPr="007E0485">
        <w:rPr>
          <w:rFonts w:asciiTheme="minorHAnsi" w:hAnsiTheme="minorHAnsi"/>
          <w:sz w:val="20"/>
          <w:szCs w:val="20"/>
          <w:vertAlign w:val="superscript"/>
        </w:rPr>
        <w:footnoteRef/>
      </w:r>
      <w:r w:rsidRPr="007E0485">
        <w:rPr>
          <w:rStyle w:val="PIEDEPAGINA"/>
          <w:rFonts w:asciiTheme="minorHAnsi" w:hAnsiTheme="minorHAnsi"/>
          <w:sz w:val="20"/>
          <w:szCs w:val="20"/>
        </w:rPr>
        <w:tab/>
        <w:t>El IDE es calculado anualmente por el Programa de Naciones Unidas para el Desarrollo.</w:t>
      </w:r>
    </w:p>
  </w:footnote>
  <w:footnote w:id="37">
    <w:p w:rsidR="00274AEA" w:rsidRPr="007E0485" w:rsidRDefault="00274AEA" w:rsidP="007E0485">
      <w:pPr>
        <w:pStyle w:val="BasicParagraph"/>
        <w:spacing w:line="240" w:lineRule="auto"/>
        <w:ind w:left="227" w:hanging="227"/>
        <w:jc w:val="both"/>
        <w:rPr>
          <w:rFonts w:asciiTheme="minorHAnsi" w:hAnsiTheme="minorHAnsi"/>
          <w:sz w:val="20"/>
          <w:szCs w:val="20"/>
        </w:rPr>
      </w:pPr>
      <w:r w:rsidRPr="007E0485">
        <w:rPr>
          <w:rFonts w:asciiTheme="minorHAnsi" w:hAnsiTheme="minorHAnsi"/>
          <w:sz w:val="20"/>
          <w:szCs w:val="20"/>
          <w:vertAlign w:val="superscript"/>
        </w:rPr>
        <w:footnoteRef/>
      </w:r>
      <w:r w:rsidRPr="007E0485">
        <w:rPr>
          <w:rStyle w:val="PIEDEPAGINA"/>
          <w:rFonts w:asciiTheme="minorHAnsi" w:hAnsiTheme="minorHAnsi"/>
          <w:sz w:val="20"/>
          <w:szCs w:val="20"/>
        </w:rPr>
        <w:tab/>
        <w:t>La evolución de los salarios rurales y urbanos a nivel latinoamericano, se encuentra disponible en el Socio-</w:t>
      </w:r>
      <w:proofErr w:type="spellStart"/>
      <w:r w:rsidRPr="007E0485">
        <w:rPr>
          <w:rStyle w:val="PIEDEPAGINA"/>
          <w:rFonts w:asciiTheme="minorHAnsi" w:hAnsiTheme="minorHAnsi"/>
          <w:sz w:val="20"/>
          <w:szCs w:val="20"/>
        </w:rPr>
        <w:t>Economic</w:t>
      </w:r>
      <w:proofErr w:type="spellEnd"/>
      <w:r w:rsidRPr="007E0485">
        <w:rPr>
          <w:rStyle w:val="PIEDEPAGINA"/>
          <w:rFonts w:asciiTheme="minorHAnsi" w:hAnsiTheme="minorHAnsi"/>
          <w:sz w:val="20"/>
          <w:szCs w:val="20"/>
        </w:rPr>
        <w:t xml:space="preserve"> </w:t>
      </w:r>
      <w:proofErr w:type="spellStart"/>
      <w:r w:rsidRPr="007E0485">
        <w:rPr>
          <w:rStyle w:val="PIEDEPAGINA"/>
          <w:rFonts w:asciiTheme="minorHAnsi" w:hAnsiTheme="minorHAnsi"/>
          <w:sz w:val="20"/>
          <w:szCs w:val="20"/>
        </w:rPr>
        <w:t>Database</w:t>
      </w:r>
      <w:proofErr w:type="spellEnd"/>
      <w:r w:rsidRPr="007E0485">
        <w:rPr>
          <w:rStyle w:val="PIEDEPAGINA"/>
          <w:rFonts w:asciiTheme="minorHAnsi" w:hAnsiTheme="minorHAnsi"/>
          <w:sz w:val="20"/>
          <w:szCs w:val="20"/>
        </w:rPr>
        <w:t xml:space="preserve"> </w:t>
      </w:r>
      <w:proofErr w:type="spellStart"/>
      <w:r w:rsidRPr="007E0485">
        <w:rPr>
          <w:rStyle w:val="PIEDEPAGINA"/>
          <w:rFonts w:asciiTheme="minorHAnsi" w:hAnsiTheme="minorHAnsi"/>
          <w:sz w:val="20"/>
          <w:szCs w:val="20"/>
        </w:rPr>
        <w:t>for</w:t>
      </w:r>
      <w:proofErr w:type="spellEnd"/>
      <w:r w:rsidRPr="007E0485">
        <w:rPr>
          <w:rStyle w:val="PIEDEPAGINA"/>
          <w:rFonts w:asciiTheme="minorHAnsi" w:hAnsiTheme="minorHAnsi"/>
          <w:sz w:val="20"/>
          <w:szCs w:val="20"/>
        </w:rPr>
        <w:t xml:space="preserve"> </w:t>
      </w:r>
      <w:proofErr w:type="spellStart"/>
      <w:r w:rsidRPr="007E0485">
        <w:rPr>
          <w:rStyle w:val="PIEDEPAGINA"/>
          <w:rFonts w:asciiTheme="minorHAnsi" w:hAnsiTheme="minorHAnsi"/>
          <w:sz w:val="20"/>
          <w:szCs w:val="20"/>
        </w:rPr>
        <w:t>Latin</w:t>
      </w:r>
      <w:proofErr w:type="spellEnd"/>
      <w:r w:rsidRPr="007E0485">
        <w:rPr>
          <w:rStyle w:val="PIEDEPAGINA"/>
          <w:rFonts w:asciiTheme="minorHAnsi" w:hAnsiTheme="minorHAnsi"/>
          <w:sz w:val="20"/>
          <w:szCs w:val="20"/>
        </w:rPr>
        <w:t xml:space="preserve"> </w:t>
      </w:r>
      <w:proofErr w:type="spellStart"/>
      <w:r w:rsidRPr="007E0485">
        <w:rPr>
          <w:rStyle w:val="PIEDEPAGINA"/>
          <w:rFonts w:asciiTheme="minorHAnsi" w:hAnsiTheme="minorHAnsi"/>
          <w:sz w:val="20"/>
          <w:szCs w:val="20"/>
        </w:rPr>
        <w:t>America</w:t>
      </w:r>
      <w:proofErr w:type="spellEnd"/>
      <w:r w:rsidRPr="007E0485">
        <w:rPr>
          <w:rStyle w:val="PIEDEPAGINA"/>
          <w:rFonts w:asciiTheme="minorHAnsi" w:hAnsiTheme="minorHAnsi"/>
          <w:sz w:val="20"/>
          <w:szCs w:val="20"/>
        </w:rPr>
        <w:t xml:space="preserve"> and </w:t>
      </w:r>
      <w:proofErr w:type="spellStart"/>
      <w:r w:rsidRPr="007E0485">
        <w:rPr>
          <w:rStyle w:val="PIEDEPAGINA"/>
          <w:rFonts w:asciiTheme="minorHAnsi" w:hAnsiTheme="minorHAnsi"/>
          <w:sz w:val="20"/>
          <w:szCs w:val="20"/>
        </w:rPr>
        <w:t>the</w:t>
      </w:r>
      <w:proofErr w:type="spellEnd"/>
      <w:r w:rsidRPr="007E0485">
        <w:rPr>
          <w:rStyle w:val="PIEDEPAGINA"/>
          <w:rFonts w:asciiTheme="minorHAnsi" w:hAnsiTheme="minorHAnsi"/>
          <w:sz w:val="20"/>
          <w:szCs w:val="20"/>
        </w:rPr>
        <w:t xml:space="preserve"> </w:t>
      </w:r>
      <w:proofErr w:type="spellStart"/>
      <w:r w:rsidRPr="007E0485">
        <w:rPr>
          <w:rStyle w:val="PIEDEPAGINA"/>
          <w:rFonts w:asciiTheme="minorHAnsi" w:hAnsiTheme="minorHAnsi"/>
          <w:sz w:val="20"/>
          <w:szCs w:val="20"/>
        </w:rPr>
        <w:t>Caribbean</w:t>
      </w:r>
      <w:proofErr w:type="spellEnd"/>
      <w:r w:rsidRPr="007E0485">
        <w:rPr>
          <w:rStyle w:val="PIEDEPAGINA"/>
          <w:rFonts w:asciiTheme="minorHAnsi" w:hAnsiTheme="minorHAnsi"/>
          <w:sz w:val="20"/>
          <w:szCs w:val="20"/>
        </w:rPr>
        <w:t xml:space="preserve"> – SEDLAC.</w:t>
      </w:r>
    </w:p>
  </w:footnote>
  <w:footnote w:id="38">
    <w:p w:rsidR="00274AEA" w:rsidRDefault="00274AEA" w:rsidP="007E0485">
      <w:pPr>
        <w:pStyle w:val="BasicParagraph"/>
        <w:spacing w:line="240" w:lineRule="auto"/>
        <w:ind w:left="227" w:hanging="227"/>
        <w:jc w:val="both"/>
      </w:pPr>
      <w:r w:rsidRPr="007E0485">
        <w:rPr>
          <w:rFonts w:asciiTheme="minorHAnsi" w:hAnsiTheme="minorHAnsi"/>
          <w:sz w:val="20"/>
          <w:szCs w:val="20"/>
          <w:vertAlign w:val="superscript"/>
        </w:rPr>
        <w:footnoteRef/>
      </w:r>
      <w:r w:rsidRPr="007E0485">
        <w:rPr>
          <w:rStyle w:val="PIEDEPAGINA"/>
          <w:rFonts w:asciiTheme="minorHAnsi" w:hAnsiTheme="minorHAnsi"/>
          <w:sz w:val="20"/>
          <w:szCs w:val="20"/>
        </w:rPr>
        <w:tab/>
        <w:t xml:space="preserve">El Índice de Calidad de Infraestructura Total es calculado anualmente por el </w:t>
      </w:r>
      <w:proofErr w:type="spellStart"/>
      <w:r w:rsidRPr="007E0485">
        <w:rPr>
          <w:rStyle w:val="PIEDEPAGINA"/>
          <w:rFonts w:asciiTheme="minorHAnsi" w:hAnsiTheme="minorHAnsi"/>
          <w:sz w:val="20"/>
          <w:szCs w:val="20"/>
        </w:rPr>
        <w:t>World</w:t>
      </w:r>
      <w:proofErr w:type="spellEnd"/>
      <w:r w:rsidRPr="007E0485">
        <w:rPr>
          <w:rStyle w:val="PIEDEPAGINA"/>
          <w:rFonts w:asciiTheme="minorHAnsi" w:hAnsiTheme="minorHAnsi"/>
          <w:sz w:val="20"/>
          <w:szCs w:val="20"/>
        </w:rPr>
        <w:t xml:space="preserve"> </w:t>
      </w:r>
      <w:proofErr w:type="spellStart"/>
      <w:r w:rsidRPr="007E0485">
        <w:rPr>
          <w:rStyle w:val="PIEDEPAGINA"/>
          <w:rFonts w:asciiTheme="minorHAnsi" w:hAnsiTheme="minorHAnsi"/>
          <w:sz w:val="20"/>
          <w:szCs w:val="20"/>
        </w:rPr>
        <w:t>Economic</w:t>
      </w:r>
      <w:proofErr w:type="spellEnd"/>
      <w:r w:rsidRPr="007E0485">
        <w:rPr>
          <w:rStyle w:val="PIEDEPAGINA"/>
          <w:rFonts w:asciiTheme="minorHAnsi" w:hAnsiTheme="minorHAnsi"/>
          <w:sz w:val="20"/>
          <w:szCs w:val="20"/>
        </w:rPr>
        <w:t xml:space="preserve"> </w:t>
      </w:r>
      <w:proofErr w:type="spellStart"/>
      <w:r w:rsidRPr="007E0485">
        <w:rPr>
          <w:rStyle w:val="PIEDEPAGINA"/>
          <w:rFonts w:asciiTheme="minorHAnsi" w:hAnsiTheme="minorHAnsi"/>
          <w:sz w:val="20"/>
          <w:szCs w:val="20"/>
        </w:rPr>
        <w:t>Forum</w:t>
      </w:r>
      <w:proofErr w:type="spellEnd"/>
      <w:r w:rsidRPr="007E0485">
        <w:rPr>
          <w:rStyle w:val="PIEDEPAGINA"/>
          <w:rFonts w:asciiTheme="minorHAnsi" w:hAnsiTheme="minorHAnsi"/>
          <w:sz w:val="20"/>
          <w:szCs w:val="20"/>
        </w:rPr>
        <w:t>.</w:t>
      </w:r>
    </w:p>
  </w:footnote>
  <w:footnote w:id="39">
    <w:p w:rsidR="00274AEA" w:rsidRPr="007E0485" w:rsidRDefault="00274AEA" w:rsidP="00692EE1">
      <w:pPr>
        <w:pStyle w:val="BasicParagraph"/>
        <w:ind w:left="227" w:hanging="227"/>
        <w:jc w:val="both"/>
        <w:rPr>
          <w:rFonts w:asciiTheme="minorHAnsi" w:hAnsiTheme="minorHAnsi"/>
          <w:sz w:val="20"/>
          <w:szCs w:val="20"/>
        </w:rPr>
      </w:pPr>
      <w:r w:rsidRPr="007E0485">
        <w:rPr>
          <w:rFonts w:asciiTheme="minorHAnsi" w:hAnsiTheme="minorHAnsi"/>
          <w:sz w:val="20"/>
          <w:szCs w:val="20"/>
          <w:vertAlign w:val="superscript"/>
        </w:rPr>
        <w:footnoteRef/>
      </w:r>
      <w:r w:rsidRPr="007E0485">
        <w:rPr>
          <w:rStyle w:val="PIEDEPAGINA"/>
          <w:rFonts w:asciiTheme="minorHAnsi" w:hAnsiTheme="minorHAnsi"/>
          <w:sz w:val="20"/>
          <w:szCs w:val="20"/>
        </w:rPr>
        <w:t xml:space="preserve"> </w:t>
      </w:r>
      <w:r w:rsidRPr="007E0485">
        <w:rPr>
          <w:rFonts w:asciiTheme="minorHAnsi" w:hAnsiTheme="minorHAnsi"/>
          <w:color w:val="auto"/>
          <w:sz w:val="20"/>
          <w:szCs w:val="20"/>
          <w:lang w:val="es-PE"/>
        </w:rPr>
        <w:t>Ley N° 29664 (2011). Ley que crea el Sistema Nacional de Gestión de Riesgos de Desastres SINAGERD y sus normas complementarias incluyendo al PLANAGERD 2014-2021.</w:t>
      </w:r>
    </w:p>
  </w:footnote>
  <w:footnote w:id="40">
    <w:p w:rsidR="00274AEA" w:rsidRPr="006237F5" w:rsidRDefault="00274AEA" w:rsidP="006237F5">
      <w:pPr>
        <w:pStyle w:val="Textonotapie"/>
        <w:jc w:val="both"/>
      </w:pPr>
      <w:r w:rsidRPr="00967BCD">
        <w:rPr>
          <w:color w:val="000000"/>
          <w:vertAlign w:val="superscript"/>
          <w:lang w:val="es-ES_tradnl"/>
        </w:rPr>
        <w:footnoteRef/>
      </w:r>
      <w:r w:rsidRPr="00967BCD">
        <w:t xml:space="preserve"> Estándares Nacionales de Calidad Ambiental</w:t>
      </w:r>
    </w:p>
  </w:footnote>
  <w:footnote w:id="41">
    <w:p w:rsidR="00274AEA" w:rsidRPr="00BB4DFB" w:rsidRDefault="00274AEA" w:rsidP="006D45E7">
      <w:pPr>
        <w:pStyle w:val="Textonotapie"/>
        <w:jc w:val="both"/>
      </w:pPr>
      <w:r w:rsidRPr="00BB4DFB">
        <w:t>[1] La Organización para la Cooperación y Desarrollo Económico (OCDE) considera el Crecimiento Verde como una estrategia que previene la degradación ambiental, la pérdida de biodiversidad y el uso no sostenible de los recursos naturales, desacoplando las presiones ambientales del crecimiento económico.</w:t>
      </w:r>
    </w:p>
  </w:footnote>
  <w:footnote w:id="42">
    <w:p w:rsidR="00274AEA" w:rsidRDefault="00274AEA" w:rsidP="00BB4DFB">
      <w:pPr>
        <w:pStyle w:val="Textonotapie"/>
        <w:jc w:val="both"/>
      </w:pPr>
      <w:r w:rsidRPr="00BB4DFB">
        <w:t>[2] Las políticas de desarrollo sostenible están reflejadas en los objetivos del Acuerdo Nacional, el Plan Nacional de Acción Ambiental, en la Agenda de Competitividad, entre otros. Estos instrumentos, de carácter transversal y de largo plazo, a su vez incorporan los compromisos adquiridos por el Perú en los distintos foros internacionales referidos al desarrollo sostenible.</w:t>
      </w:r>
    </w:p>
  </w:footnote>
  <w:footnote w:id="43">
    <w:p w:rsidR="00274AEA" w:rsidRDefault="00274AEA" w:rsidP="00BB4DFB">
      <w:pPr>
        <w:pStyle w:val="Textonotapie"/>
        <w:jc w:val="both"/>
      </w:pPr>
      <w:r w:rsidRPr="00BB4DFB">
        <w:rPr>
          <w:rStyle w:val="Refdenotaalpie"/>
        </w:rPr>
        <w:footnoteRef/>
      </w:r>
      <w:r w:rsidRPr="00BB4DFB">
        <w:t xml:space="preserve"> </w:t>
      </w:r>
      <w:proofErr w:type="spellStart"/>
      <w:r w:rsidRPr="00BB4DFB">
        <w:t>Nutraséutico</w:t>
      </w:r>
      <w:proofErr w:type="spellEnd"/>
      <w:r w:rsidRPr="00BB4DFB">
        <w:t xml:space="preserve">: un alimento o parte de un alimento que proporciona beneficios médicos o para la salud, incluyendo la prevención y/o el tratamiento de enfermedades. Sociedad Española de </w:t>
      </w:r>
      <w:proofErr w:type="spellStart"/>
      <w:r w:rsidRPr="00BB4DFB">
        <w:t>Nutracéutica</w:t>
      </w:r>
      <w:proofErr w:type="spellEnd"/>
      <w:r w:rsidRPr="00BB4DFB">
        <w:t xml:space="preserve"> Médica</w:t>
      </w:r>
      <w:r>
        <w:t>.</w:t>
      </w:r>
    </w:p>
  </w:footnote>
  <w:footnote w:id="44">
    <w:p w:rsidR="00274AEA" w:rsidRPr="00BB4DFB" w:rsidRDefault="00274AEA" w:rsidP="00BB4DFB">
      <w:pPr>
        <w:pStyle w:val="Prrafobsico"/>
        <w:ind w:left="227" w:hanging="227"/>
        <w:rPr>
          <w:rFonts w:asciiTheme="minorHAnsi" w:hAnsiTheme="minorHAnsi"/>
          <w:sz w:val="20"/>
          <w:szCs w:val="20"/>
        </w:rPr>
      </w:pPr>
      <w:r w:rsidRPr="00BB4DFB">
        <w:rPr>
          <w:rFonts w:asciiTheme="minorHAnsi" w:hAnsiTheme="minorHAnsi"/>
          <w:sz w:val="20"/>
          <w:szCs w:val="20"/>
          <w:vertAlign w:val="superscript"/>
        </w:rPr>
        <w:footnoteRef/>
      </w:r>
      <w:r w:rsidRPr="00BB4DFB">
        <w:rPr>
          <w:rStyle w:val="PIEDEPAGINA"/>
          <w:rFonts w:asciiTheme="minorHAnsi" w:hAnsiTheme="minorHAnsi"/>
          <w:sz w:val="20"/>
          <w:szCs w:val="20"/>
        </w:rPr>
        <w:tab/>
        <w:t>Panorama social de América Latina. CEPAL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46C" w:rsidRDefault="0038146C">
    <w:pPr>
      <w:pStyle w:val="Encabezado"/>
      <w:jc w:val="right"/>
    </w:pPr>
  </w:p>
  <w:p w:rsidR="00E32B67" w:rsidRDefault="00E32B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397"/>
    <w:multiLevelType w:val="hybridMultilevel"/>
    <w:tmpl w:val="3DE00DB6"/>
    <w:lvl w:ilvl="0" w:tplc="408E0EE0">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2442255"/>
    <w:multiLevelType w:val="hybridMultilevel"/>
    <w:tmpl w:val="9CBEB4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2D14369"/>
    <w:multiLevelType w:val="hybridMultilevel"/>
    <w:tmpl w:val="91FA9524"/>
    <w:lvl w:ilvl="0" w:tplc="066C9EB4">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2F92C45"/>
    <w:multiLevelType w:val="hybridMultilevel"/>
    <w:tmpl w:val="CD8889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67315CB"/>
    <w:multiLevelType w:val="multilevel"/>
    <w:tmpl w:val="86120A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8CB0F97"/>
    <w:multiLevelType w:val="hybridMultilevel"/>
    <w:tmpl w:val="E0D4E19C"/>
    <w:lvl w:ilvl="0" w:tplc="7B32C53A">
      <w:start w:val="1"/>
      <w:numFmt w:val="decimal"/>
      <w:lvlText w:val="%1."/>
      <w:lvlJc w:val="left"/>
      <w:pPr>
        <w:ind w:left="720" w:hanging="360"/>
      </w:pPr>
      <w:rPr>
        <w:rFonts w:hint="default"/>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9400067"/>
    <w:multiLevelType w:val="hybridMultilevel"/>
    <w:tmpl w:val="334E8D20"/>
    <w:lvl w:ilvl="0" w:tplc="4866FACE">
      <w:start w:val="1"/>
      <w:numFmt w:val="lowerRoman"/>
      <w:lvlText w:val="(%1)"/>
      <w:lvlJc w:val="left"/>
      <w:pPr>
        <w:ind w:left="1080" w:hanging="720"/>
      </w:pPr>
      <w:rPr>
        <w:rFonts w:eastAsia="Calibri"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C8F099E"/>
    <w:multiLevelType w:val="hybridMultilevel"/>
    <w:tmpl w:val="93161E44"/>
    <w:lvl w:ilvl="0" w:tplc="796228C6">
      <w:numFmt w:val="bullet"/>
      <w:lvlText w:val="-"/>
      <w:lvlJc w:val="left"/>
      <w:pPr>
        <w:ind w:left="720" w:hanging="360"/>
      </w:pPr>
      <w:rPr>
        <w:rFonts w:ascii="Calibri" w:eastAsia="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nsid w:val="118E1865"/>
    <w:multiLevelType w:val="hybridMultilevel"/>
    <w:tmpl w:val="58088D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D41BA6"/>
    <w:multiLevelType w:val="hybridMultilevel"/>
    <w:tmpl w:val="AD7CFE22"/>
    <w:lvl w:ilvl="0" w:tplc="12D6E574">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354275D"/>
    <w:multiLevelType w:val="hybridMultilevel"/>
    <w:tmpl w:val="2FC033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4A07272"/>
    <w:multiLevelType w:val="hybridMultilevel"/>
    <w:tmpl w:val="A5A2C364"/>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176B1B3E"/>
    <w:multiLevelType w:val="hybridMultilevel"/>
    <w:tmpl w:val="E5A811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1CF47E89"/>
    <w:multiLevelType w:val="hybridMultilevel"/>
    <w:tmpl w:val="4320AF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F455AD6"/>
    <w:multiLevelType w:val="hybridMultilevel"/>
    <w:tmpl w:val="95E647F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203B3D1F"/>
    <w:multiLevelType w:val="hybridMultilevel"/>
    <w:tmpl w:val="A5A2C364"/>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2307733D"/>
    <w:multiLevelType w:val="hybridMultilevel"/>
    <w:tmpl w:val="7EF0553C"/>
    <w:lvl w:ilvl="0" w:tplc="70EC8FBC">
      <w:start w:val="1"/>
      <w:numFmt w:val="lowerRoman"/>
      <w:lvlText w:val="(%1)"/>
      <w:lvlJc w:val="left"/>
      <w:pPr>
        <w:ind w:left="360" w:hanging="360"/>
      </w:pPr>
      <w:rPr>
        <w:rFonts w:asciiTheme="minorHAnsi" w:eastAsiaTheme="minorHAnsi" w:hAnsiTheme="minorHAnsi" w:cstheme="minorBidi"/>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nsid w:val="231045AE"/>
    <w:multiLevelType w:val="hybridMultilevel"/>
    <w:tmpl w:val="8AD23FD6"/>
    <w:lvl w:ilvl="0" w:tplc="41C810B2">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24DD6A58"/>
    <w:multiLevelType w:val="hybridMultilevel"/>
    <w:tmpl w:val="DA50DC6A"/>
    <w:lvl w:ilvl="0" w:tplc="620CCFC0">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259C153E"/>
    <w:multiLevelType w:val="hybridMultilevel"/>
    <w:tmpl w:val="A62086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26FB1E83"/>
    <w:multiLevelType w:val="hybridMultilevel"/>
    <w:tmpl w:val="80966ED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2D5A238E"/>
    <w:multiLevelType w:val="hybridMultilevel"/>
    <w:tmpl w:val="0154574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2E3D072F"/>
    <w:multiLevelType w:val="hybridMultilevel"/>
    <w:tmpl w:val="EEA83AB8"/>
    <w:lvl w:ilvl="0" w:tplc="1804C75C">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32AF312D"/>
    <w:multiLevelType w:val="hybridMultilevel"/>
    <w:tmpl w:val="1C10D256"/>
    <w:lvl w:ilvl="0" w:tplc="C8E2FD7A">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3438791D"/>
    <w:multiLevelType w:val="hybridMultilevel"/>
    <w:tmpl w:val="6046FB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350E110B"/>
    <w:multiLevelType w:val="hybridMultilevel"/>
    <w:tmpl w:val="A5A2C364"/>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35CB5AA9"/>
    <w:multiLevelType w:val="hybridMultilevel"/>
    <w:tmpl w:val="7BEA35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366B6243"/>
    <w:multiLevelType w:val="hybridMultilevel"/>
    <w:tmpl w:val="EF8AFF0A"/>
    <w:lvl w:ilvl="0" w:tplc="0C0A0001">
      <w:start w:val="1"/>
      <w:numFmt w:val="bullet"/>
      <w:lvlText w:val=""/>
      <w:lvlJc w:val="left"/>
      <w:pPr>
        <w:ind w:left="360" w:hanging="360"/>
      </w:pPr>
      <w:rPr>
        <w:rFonts w:ascii="Symbol" w:hAnsi="Symbol" w:hint="default"/>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8">
    <w:nsid w:val="36A05D37"/>
    <w:multiLevelType w:val="hybridMultilevel"/>
    <w:tmpl w:val="1D04A772"/>
    <w:lvl w:ilvl="0" w:tplc="817A8B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370D1DFF"/>
    <w:multiLevelType w:val="hybridMultilevel"/>
    <w:tmpl w:val="E59AE05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37476F2F"/>
    <w:multiLevelType w:val="hybridMultilevel"/>
    <w:tmpl w:val="2D8222BE"/>
    <w:lvl w:ilvl="0" w:tplc="915E5838">
      <w:start w:val="1"/>
      <w:numFmt w:val="decimal"/>
      <w:lvlText w:val="%1."/>
      <w:lvlJc w:val="left"/>
      <w:pPr>
        <w:ind w:left="720" w:hanging="360"/>
      </w:pPr>
      <w:rPr>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39175C3F"/>
    <w:multiLevelType w:val="hybridMultilevel"/>
    <w:tmpl w:val="7DFC8CE0"/>
    <w:lvl w:ilvl="0" w:tplc="18C81DF0">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397449E7"/>
    <w:multiLevelType w:val="hybridMultilevel"/>
    <w:tmpl w:val="B1466A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9D56712"/>
    <w:multiLevelType w:val="hybridMultilevel"/>
    <w:tmpl w:val="66C6531E"/>
    <w:lvl w:ilvl="0" w:tplc="207473A4">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3B195B19"/>
    <w:multiLevelType w:val="hybridMultilevel"/>
    <w:tmpl w:val="24E0F0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3B805CDC"/>
    <w:multiLevelType w:val="hybridMultilevel"/>
    <w:tmpl w:val="5D1EE5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3C984B7E"/>
    <w:multiLevelType w:val="hybridMultilevel"/>
    <w:tmpl w:val="849CD78E"/>
    <w:lvl w:ilvl="0" w:tplc="22B040B4">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3E201AD8"/>
    <w:multiLevelType w:val="hybridMultilevel"/>
    <w:tmpl w:val="A5A2C364"/>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40AE256E"/>
    <w:multiLevelType w:val="hybridMultilevel"/>
    <w:tmpl w:val="15F483C6"/>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410C3B67"/>
    <w:multiLevelType w:val="hybridMultilevel"/>
    <w:tmpl w:val="7F8A45BE"/>
    <w:lvl w:ilvl="0" w:tplc="C4B0430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412E3126"/>
    <w:multiLevelType w:val="hybridMultilevel"/>
    <w:tmpl w:val="F4200ECC"/>
    <w:lvl w:ilvl="0" w:tplc="F82C4498">
      <w:numFmt w:val="bullet"/>
      <w:lvlText w:val=""/>
      <w:lvlJc w:val="left"/>
      <w:pPr>
        <w:ind w:left="720" w:hanging="360"/>
      </w:pPr>
      <w:rPr>
        <w:rFonts w:ascii="Symbol" w:eastAsia="+mn-ea" w:hAnsi="Symbol" w:cs="+mn-cs" w:hint="default"/>
        <w:b/>
        <w:color w:val="000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42644548"/>
    <w:multiLevelType w:val="hybridMultilevel"/>
    <w:tmpl w:val="A5A2C364"/>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42FE55FF"/>
    <w:multiLevelType w:val="hybridMultilevel"/>
    <w:tmpl w:val="1228041C"/>
    <w:lvl w:ilvl="0" w:tplc="1618E00A">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441948CD"/>
    <w:multiLevelType w:val="hybridMultilevel"/>
    <w:tmpl w:val="54326D18"/>
    <w:lvl w:ilvl="0" w:tplc="C70EE9FA">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49632690"/>
    <w:multiLevelType w:val="hybridMultilevel"/>
    <w:tmpl w:val="3C9A396C"/>
    <w:lvl w:ilvl="0" w:tplc="4866FACE">
      <w:start w:val="1"/>
      <w:numFmt w:val="lowerRoman"/>
      <w:lvlText w:val="(%1)"/>
      <w:lvlJc w:val="left"/>
      <w:pPr>
        <w:ind w:left="360" w:hanging="360"/>
      </w:pPr>
      <w:rPr>
        <w:rFonts w:eastAsia="Calibri"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9D23A5F"/>
    <w:multiLevelType w:val="hybridMultilevel"/>
    <w:tmpl w:val="B0347188"/>
    <w:lvl w:ilvl="0" w:tplc="D12AF900">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4C9236E1"/>
    <w:multiLevelType w:val="hybridMultilevel"/>
    <w:tmpl w:val="3E5EF060"/>
    <w:lvl w:ilvl="0" w:tplc="56AA4CCC">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4E9A291A"/>
    <w:multiLevelType w:val="hybridMultilevel"/>
    <w:tmpl w:val="15F483C6"/>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4FA41E3F"/>
    <w:multiLevelType w:val="hybridMultilevel"/>
    <w:tmpl w:val="749C275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4FF23FC0"/>
    <w:multiLevelType w:val="hybridMultilevel"/>
    <w:tmpl w:val="785A9290"/>
    <w:lvl w:ilvl="0" w:tplc="2BCA2FEA">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51892AB3"/>
    <w:multiLevelType w:val="hybridMultilevel"/>
    <w:tmpl w:val="48B0E626"/>
    <w:lvl w:ilvl="0" w:tplc="C2105094">
      <w:start w:val="1"/>
      <w:numFmt w:val="decimal"/>
      <w:lvlText w:val="%1."/>
      <w:lvlJc w:val="left"/>
      <w:pPr>
        <w:ind w:left="833" w:hanging="360"/>
      </w:pPr>
      <w:rPr>
        <w:sz w:val="16"/>
      </w:rPr>
    </w:lvl>
    <w:lvl w:ilvl="1" w:tplc="280A0019" w:tentative="1">
      <w:start w:val="1"/>
      <w:numFmt w:val="lowerLetter"/>
      <w:lvlText w:val="%2."/>
      <w:lvlJc w:val="left"/>
      <w:pPr>
        <w:ind w:left="1553" w:hanging="360"/>
      </w:pPr>
    </w:lvl>
    <w:lvl w:ilvl="2" w:tplc="280A001B" w:tentative="1">
      <w:start w:val="1"/>
      <w:numFmt w:val="lowerRoman"/>
      <w:lvlText w:val="%3."/>
      <w:lvlJc w:val="right"/>
      <w:pPr>
        <w:ind w:left="2273" w:hanging="180"/>
      </w:pPr>
    </w:lvl>
    <w:lvl w:ilvl="3" w:tplc="280A000F" w:tentative="1">
      <w:start w:val="1"/>
      <w:numFmt w:val="decimal"/>
      <w:lvlText w:val="%4."/>
      <w:lvlJc w:val="left"/>
      <w:pPr>
        <w:ind w:left="2993" w:hanging="360"/>
      </w:pPr>
    </w:lvl>
    <w:lvl w:ilvl="4" w:tplc="280A0019" w:tentative="1">
      <w:start w:val="1"/>
      <w:numFmt w:val="lowerLetter"/>
      <w:lvlText w:val="%5."/>
      <w:lvlJc w:val="left"/>
      <w:pPr>
        <w:ind w:left="3713" w:hanging="360"/>
      </w:pPr>
    </w:lvl>
    <w:lvl w:ilvl="5" w:tplc="280A001B" w:tentative="1">
      <w:start w:val="1"/>
      <w:numFmt w:val="lowerRoman"/>
      <w:lvlText w:val="%6."/>
      <w:lvlJc w:val="right"/>
      <w:pPr>
        <w:ind w:left="4433" w:hanging="180"/>
      </w:pPr>
    </w:lvl>
    <w:lvl w:ilvl="6" w:tplc="280A000F" w:tentative="1">
      <w:start w:val="1"/>
      <w:numFmt w:val="decimal"/>
      <w:lvlText w:val="%7."/>
      <w:lvlJc w:val="left"/>
      <w:pPr>
        <w:ind w:left="5153" w:hanging="360"/>
      </w:pPr>
    </w:lvl>
    <w:lvl w:ilvl="7" w:tplc="280A0019" w:tentative="1">
      <w:start w:val="1"/>
      <w:numFmt w:val="lowerLetter"/>
      <w:lvlText w:val="%8."/>
      <w:lvlJc w:val="left"/>
      <w:pPr>
        <w:ind w:left="5873" w:hanging="360"/>
      </w:pPr>
    </w:lvl>
    <w:lvl w:ilvl="8" w:tplc="280A001B" w:tentative="1">
      <w:start w:val="1"/>
      <w:numFmt w:val="lowerRoman"/>
      <w:lvlText w:val="%9."/>
      <w:lvlJc w:val="right"/>
      <w:pPr>
        <w:ind w:left="6593" w:hanging="180"/>
      </w:pPr>
    </w:lvl>
  </w:abstractNum>
  <w:abstractNum w:abstractNumId="51">
    <w:nsid w:val="519D469E"/>
    <w:multiLevelType w:val="hybridMultilevel"/>
    <w:tmpl w:val="A5A2C364"/>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nsid w:val="530351B3"/>
    <w:multiLevelType w:val="hybridMultilevel"/>
    <w:tmpl w:val="BEBA54FC"/>
    <w:lvl w:ilvl="0" w:tplc="CFE8B288">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53274546"/>
    <w:multiLevelType w:val="hybridMultilevel"/>
    <w:tmpl w:val="7BEEBBA2"/>
    <w:lvl w:ilvl="0" w:tplc="D88C0F06">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nsid w:val="533F5979"/>
    <w:multiLevelType w:val="hybridMultilevel"/>
    <w:tmpl w:val="15F483C6"/>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5740703B"/>
    <w:multiLevelType w:val="hybridMultilevel"/>
    <w:tmpl w:val="15F483C6"/>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nsid w:val="59BA77F0"/>
    <w:multiLevelType w:val="hybridMultilevel"/>
    <w:tmpl w:val="15F483C6"/>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5AA81F4B"/>
    <w:multiLevelType w:val="hybridMultilevel"/>
    <w:tmpl w:val="BC441E2C"/>
    <w:lvl w:ilvl="0" w:tplc="019CF4F0">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5CD75C0B"/>
    <w:multiLevelType w:val="hybridMultilevel"/>
    <w:tmpl w:val="A56244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nsid w:val="5E803007"/>
    <w:multiLevelType w:val="hybridMultilevel"/>
    <w:tmpl w:val="644AE8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nsid w:val="635E5C19"/>
    <w:multiLevelType w:val="hybridMultilevel"/>
    <w:tmpl w:val="6D76AE6E"/>
    <w:lvl w:ilvl="0" w:tplc="E8466F0A">
      <w:start w:val="1"/>
      <w:numFmt w:val="decimal"/>
      <w:lvlText w:val="%1."/>
      <w:lvlJc w:val="left"/>
      <w:pPr>
        <w:ind w:left="672" w:hanging="360"/>
      </w:pPr>
      <w:rPr>
        <w:rFonts w:ascii="Swis721 LtCn BT" w:hAnsi="Swis721 LtCn BT" w:cs="Swis721 LtCn BT" w:hint="default"/>
        <w:color w:val="003F3F"/>
        <w:sz w:val="16"/>
      </w:rPr>
    </w:lvl>
    <w:lvl w:ilvl="1" w:tplc="280A0019" w:tentative="1">
      <w:start w:val="1"/>
      <w:numFmt w:val="lowerLetter"/>
      <w:lvlText w:val="%2."/>
      <w:lvlJc w:val="left"/>
      <w:pPr>
        <w:ind w:left="1392" w:hanging="360"/>
      </w:pPr>
    </w:lvl>
    <w:lvl w:ilvl="2" w:tplc="280A001B" w:tentative="1">
      <w:start w:val="1"/>
      <w:numFmt w:val="lowerRoman"/>
      <w:lvlText w:val="%3."/>
      <w:lvlJc w:val="right"/>
      <w:pPr>
        <w:ind w:left="2112" w:hanging="180"/>
      </w:pPr>
    </w:lvl>
    <w:lvl w:ilvl="3" w:tplc="280A000F" w:tentative="1">
      <w:start w:val="1"/>
      <w:numFmt w:val="decimal"/>
      <w:lvlText w:val="%4."/>
      <w:lvlJc w:val="left"/>
      <w:pPr>
        <w:ind w:left="2832" w:hanging="360"/>
      </w:pPr>
    </w:lvl>
    <w:lvl w:ilvl="4" w:tplc="280A0019" w:tentative="1">
      <w:start w:val="1"/>
      <w:numFmt w:val="lowerLetter"/>
      <w:lvlText w:val="%5."/>
      <w:lvlJc w:val="left"/>
      <w:pPr>
        <w:ind w:left="3552" w:hanging="360"/>
      </w:pPr>
    </w:lvl>
    <w:lvl w:ilvl="5" w:tplc="280A001B" w:tentative="1">
      <w:start w:val="1"/>
      <w:numFmt w:val="lowerRoman"/>
      <w:lvlText w:val="%6."/>
      <w:lvlJc w:val="right"/>
      <w:pPr>
        <w:ind w:left="4272" w:hanging="180"/>
      </w:pPr>
    </w:lvl>
    <w:lvl w:ilvl="6" w:tplc="280A000F" w:tentative="1">
      <w:start w:val="1"/>
      <w:numFmt w:val="decimal"/>
      <w:lvlText w:val="%7."/>
      <w:lvlJc w:val="left"/>
      <w:pPr>
        <w:ind w:left="4992" w:hanging="360"/>
      </w:pPr>
    </w:lvl>
    <w:lvl w:ilvl="7" w:tplc="280A0019" w:tentative="1">
      <w:start w:val="1"/>
      <w:numFmt w:val="lowerLetter"/>
      <w:lvlText w:val="%8."/>
      <w:lvlJc w:val="left"/>
      <w:pPr>
        <w:ind w:left="5712" w:hanging="360"/>
      </w:pPr>
    </w:lvl>
    <w:lvl w:ilvl="8" w:tplc="280A001B" w:tentative="1">
      <w:start w:val="1"/>
      <w:numFmt w:val="lowerRoman"/>
      <w:lvlText w:val="%9."/>
      <w:lvlJc w:val="right"/>
      <w:pPr>
        <w:ind w:left="6432" w:hanging="180"/>
      </w:pPr>
    </w:lvl>
  </w:abstractNum>
  <w:abstractNum w:abstractNumId="61">
    <w:nsid w:val="64892F04"/>
    <w:multiLevelType w:val="hybridMultilevel"/>
    <w:tmpl w:val="DB0AA362"/>
    <w:lvl w:ilvl="0" w:tplc="7B32C53A">
      <w:start w:val="1"/>
      <w:numFmt w:val="decimal"/>
      <w:lvlText w:val="%1."/>
      <w:lvlJc w:val="left"/>
      <w:pPr>
        <w:ind w:left="720" w:hanging="360"/>
      </w:pPr>
      <w:rPr>
        <w:rFonts w:hint="default"/>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5DC6554"/>
    <w:multiLevelType w:val="hybridMultilevel"/>
    <w:tmpl w:val="0B08946A"/>
    <w:lvl w:ilvl="0" w:tplc="229C1F3E">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nsid w:val="681F3BD5"/>
    <w:multiLevelType w:val="hybridMultilevel"/>
    <w:tmpl w:val="47669536"/>
    <w:lvl w:ilvl="0" w:tplc="BC1AA986">
      <w:start w:val="1"/>
      <w:numFmt w:val="decimal"/>
      <w:lvlText w:val="%1."/>
      <w:lvlJc w:val="left"/>
      <w:pPr>
        <w:ind w:left="720" w:hanging="360"/>
      </w:pPr>
      <w:rPr>
        <w:sz w:val="16"/>
        <w:szCs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nsid w:val="690F2526"/>
    <w:multiLevelType w:val="hybridMultilevel"/>
    <w:tmpl w:val="F67A3562"/>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5">
    <w:nsid w:val="6A1D2319"/>
    <w:multiLevelType w:val="hybridMultilevel"/>
    <w:tmpl w:val="5F5E26AC"/>
    <w:lvl w:ilvl="0" w:tplc="16C02AB6">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nsid w:val="6AD079D9"/>
    <w:multiLevelType w:val="hybridMultilevel"/>
    <w:tmpl w:val="15F483C6"/>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nsid w:val="6C5255CE"/>
    <w:multiLevelType w:val="hybridMultilevel"/>
    <w:tmpl w:val="0D7480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nsid w:val="6CF23E54"/>
    <w:multiLevelType w:val="hybridMultilevel"/>
    <w:tmpl w:val="4FF4AD4A"/>
    <w:lvl w:ilvl="0" w:tplc="63D8E3D0">
      <w:start w:val="2012"/>
      <w:numFmt w:val="bullet"/>
      <w:lvlText w:val="-"/>
      <w:lvlJc w:val="left"/>
      <w:pPr>
        <w:ind w:left="360" w:hanging="360"/>
      </w:pPr>
      <w:rPr>
        <w:rFonts w:ascii="Calibri" w:eastAsiaTheme="minorHAnsi" w:hAnsi="Calibri" w:cs="Swiss721BT-BoldCondensed"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9">
    <w:nsid w:val="6F067ACE"/>
    <w:multiLevelType w:val="hybridMultilevel"/>
    <w:tmpl w:val="06EAA2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nsid w:val="70A53218"/>
    <w:multiLevelType w:val="hybridMultilevel"/>
    <w:tmpl w:val="4F0A8972"/>
    <w:lvl w:ilvl="0" w:tplc="76EA5A30">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nsid w:val="71D82B2E"/>
    <w:multiLevelType w:val="hybridMultilevel"/>
    <w:tmpl w:val="33301656"/>
    <w:lvl w:ilvl="0" w:tplc="91828E88">
      <w:start w:val="1"/>
      <w:numFmt w:val="decimal"/>
      <w:lvlText w:val="%1."/>
      <w:lvlJc w:val="left"/>
      <w:pPr>
        <w:ind w:left="833" w:hanging="360"/>
      </w:pPr>
      <w:rPr>
        <w:sz w:val="14"/>
      </w:rPr>
    </w:lvl>
    <w:lvl w:ilvl="1" w:tplc="280A0019" w:tentative="1">
      <w:start w:val="1"/>
      <w:numFmt w:val="lowerLetter"/>
      <w:lvlText w:val="%2."/>
      <w:lvlJc w:val="left"/>
      <w:pPr>
        <w:ind w:left="1553" w:hanging="360"/>
      </w:pPr>
    </w:lvl>
    <w:lvl w:ilvl="2" w:tplc="280A001B" w:tentative="1">
      <w:start w:val="1"/>
      <w:numFmt w:val="lowerRoman"/>
      <w:lvlText w:val="%3."/>
      <w:lvlJc w:val="right"/>
      <w:pPr>
        <w:ind w:left="2273" w:hanging="180"/>
      </w:pPr>
    </w:lvl>
    <w:lvl w:ilvl="3" w:tplc="280A000F" w:tentative="1">
      <w:start w:val="1"/>
      <w:numFmt w:val="decimal"/>
      <w:lvlText w:val="%4."/>
      <w:lvlJc w:val="left"/>
      <w:pPr>
        <w:ind w:left="2993" w:hanging="360"/>
      </w:pPr>
    </w:lvl>
    <w:lvl w:ilvl="4" w:tplc="280A0019" w:tentative="1">
      <w:start w:val="1"/>
      <w:numFmt w:val="lowerLetter"/>
      <w:lvlText w:val="%5."/>
      <w:lvlJc w:val="left"/>
      <w:pPr>
        <w:ind w:left="3713" w:hanging="360"/>
      </w:pPr>
    </w:lvl>
    <w:lvl w:ilvl="5" w:tplc="280A001B" w:tentative="1">
      <w:start w:val="1"/>
      <w:numFmt w:val="lowerRoman"/>
      <w:lvlText w:val="%6."/>
      <w:lvlJc w:val="right"/>
      <w:pPr>
        <w:ind w:left="4433" w:hanging="180"/>
      </w:pPr>
    </w:lvl>
    <w:lvl w:ilvl="6" w:tplc="280A000F" w:tentative="1">
      <w:start w:val="1"/>
      <w:numFmt w:val="decimal"/>
      <w:lvlText w:val="%7."/>
      <w:lvlJc w:val="left"/>
      <w:pPr>
        <w:ind w:left="5153" w:hanging="360"/>
      </w:pPr>
    </w:lvl>
    <w:lvl w:ilvl="7" w:tplc="280A0019" w:tentative="1">
      <w:start w:val="1"/>
      <w:numFmt w:val="lowerLetter"/>
      <w:lvlText w:val="%8."/>
      <w:lvlJc w:val="left"/>
      <w:pPr>
        <w:ind w:left="5873" w:hanging="360"/>
      </w:pPr>
    </w:lvl>
    <w:lvl w:ilvl="8" w:tplc="280A001B" w:tentative="1">
      <w:start w:val="1"/>
      <w:numFmt w:val="lowerRoman"/>
      <w:lvlText w:val="%9."/>
      <w:lvlJc w:val="right"/>
      <w:pPr>
        <w:ind w:left="6593" w:hanging="180"/>
      </w:pPr>
    </w:lvl>
  </w:abstractNum>
  <w:abstractNum w:abstractNumId="72">
    <w:nsid w:val="726B523F"/>
    <w:multiLevelType w:val="hybridMultilevel"/>
    <w:tmpl w:val="164E22DE"/>
    <w:lvl w:ilvl="0" w:tplc="2B862B8C">
      <w:start w:val="1"/>
      <w:numFmt w:val="decimal"/>
      <w:pStyle w:val="TDC2"/>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nsid w:val="74943352"/>
    <w:multiLevelType w:val="hybridMultilevel"/>
    <w:tmpl w:val="9BE8ACF6"/>
    <w:lvl w:ilvl="0" w:tplc="EFAE78E8">
      <w:start w:val="1"/>
      <w:numFmt w:val="decimal"/>
      <w:lvlText w:val="%1."/>
      <w:lvlJc w:val="left"/>
      <w:pPr>
        <w:ind w:left="720" w:hanging="360"/>
      </w:pPr>
      <w:rPr>
        <w:sz w:val="16"/>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nsid w:val="777A61D5"/>
    <w:multiLevelType w:val="hybridMultilevel"/>
    <w:tmpl w:val="F68012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nsid w:val="79297712"/>
    <w:multiLevelType w:val="hybridMultilevel"/>
    <w:tmpl w:val="15F483C6"/>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nsid w:val="7E294F37"/>
    <w:multiLevelType w:val="hybridMultilevel"/>
    <w:tmpl w:val="925688B6"/>
    <w:lvl w:ilvl="0" w:tplc="3B8E083A">
      <w:start w:val="1"/>
      <w:numFmt w:val="decimal"/>
      <w:lvlText w:val="%1."/>
      <w:lvlJc w:val="left"/>
      <w:pPr>
        <w:ind w:left="720" w:hanging="360"/>
      </w:pPr>
      <w:rPr>
        <w:sz w:val="16"/>
        <w:szCs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nsid w:val="7EB5295A"/>
    <w:multiLevelType w:val="hybridMultilevel"/>
    <w:tmpl w:val="341A2CB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78">
    <w:nsid w:val="7EB82E03"/>
    <w:multiLevelType w:val="hybridMultilevel"/>
    <w:tmpl w:val="15F483C6"/>
    <w:lvl w:ilvl="0" w:tplc="7C4E5526">
      <w:start w:val="1"/>
      <w:numFmt w:val="decimal"/>
      <w:lvlText w:val="%1."/>
      <w:lvlJc w:val="left"/>
      <w:pPr>
        <w:ind w:left="720" w:hanging="360"/>
      </w:pPr>
      <w:rPr>
        <w:sz w:val="1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7EC346EF"/>
    <w:multiLevelType w:val="hybridMultilevel"/>
    <w:tmpl w:val="C7CA0B50"/>
    <w:lvl w:ilvl="0" w:tplc="5FBC3766">
      <w:start w:val="1"/>
      <w:numFmt w:val="decimal"/>
      <w:lvlText w:val="%1."/>
      <w:lvlJc w:val="left"/>
      <w:pPr>
        <w:ind w:left="720" w:hanging="360"/>
      </w:pPr>
      <w:rPr>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58"/>
  </w:num>
  <w:num w:numId="2">
    <w:abstractNumId w:val="35"/>
  </w:num>
  <w:num w:numId="3">
    <w:abstractNumId w:val="12"/>
  </w:num>
  <w:num w:numId="4">
    <w:abstractNumId w:val="19"/>
  </w:num>
  <w:num w:numId="5">
    <w:abstractNumId w:val="13"/>
  </w:num>
  <w:num w:numId="6">
    <w:abstractNumId w:val="26"/>
  </w:num>
  <w:num w:numId="7">
    <w:abstractNumId w:val="74"/>
  </w:num>
  <w:num w:numId="8">
    <w:abstractNumId w:val="24"/>
  </w:num>
  <w:num w:numId="9">
    <w:abstractNumId w:val="10"/>
  </w:num>
  <w:num w:numId="10">
    <w:abstractNumId w:val="59"/>
  </w:num>
  <w:num w:numId="11">
    <w:abstractNumId w:val="14"/>
  </w:num>
  <w:num w:numId="12">
    <w:abstractNumId w:val="1"/>
  </w:num>
  <w:num w:numId="13">
    <w:abstractNumId w:val="20"/>
  </w:num>
  <w:num w:numId="14">
    <w:abstractNumId w:val="48"/>
  </w:num>
  <w:num w:numId="15">
    <w:abstractNumId w:val="64"/>
  </w:num>
  <w:num w:numId="16">
    <w:abstractNumId w:val="77"/>
  </w:num>
  <w:num w:numId="17">
    <w:abstractNumId w:val="34"/>
  </w:num>
  <w:num w:numId="18">
    <w:abstractNumId w:val="67"/>
  </w:num>
  <w:num w:numId="19">
    <w:abstractNumId w:val="29"/>
  </w:num>
  <w:num w:numId="20">
    <w:abstractNumId w:val="0"/>
  </w:num>
  <w:num w:numId="21">
    <w:abstractNumId w:val="17"/>
  </w:num>
  <w:num w:numId="22">
    <w:abstractNumId w:val="49"/>
  </w:num>
  <w:num w:numId="23">
    <w:abstractNumId w:val="65"/>
  </w:num>
  <w:num w:numId="24">
    <w:abstractNumId w:val="42"/>
  </w:num>
  <w:num w:numId="25">
    <w:abstractNumId w:val="45"/>
  </w:num>
  <w:num w:numId="26">
    <w:abstractNumId w:val="79"/>
  </w:num>
  <w:num w:numId="27">
    <w:abstractNumId w:val="62"/>
  </w:num>
  <w:num w:numId="28">
    <w:abstractNumId w:val="46"/>
  </w:num>
  <w:num w:numId="29">
    <w:abstractNumId w:val="52"/>
  </w:num>
  <w:num w:numId="30">
    <w:abstractNumId w:val="9"/>
  </w:num>
  <w:num w:numId="31">
    <w:abstractNumId w:val="63"/>
  </w:num>
  <w:num w:numId="32">
    <w:abstractNumId w:val="76"/>
  </w:num>
  <w:num w:numId="33">
    <w:abstractNumId w:val="2"/>
  </w:num>
  <w:num w:numId="34">
    <w:abstractNumId w:val="36"/>
  </w:num>
  <w:num w:numId="35">
    <w:abstractNumId w:val="70"/>
  </w:num>
  <w:num w:numId="36">
    <w:abstractNumId w:val="22"/>
  </w:num>
  <w:num w:numId="37">
    <w:abstractNumId w:val="30"/>
  </w:num>
  <w:num w:numId="38">
    <w:abstractNumId w:val="73"/>
  </w:num>
  <w:num w:numId="39">
    <w:abstractNumId w:val="66"/>
  </w:num>
  <w:num w:numId="40">
    <w:abstractNumId w:val="78"/>
  </w:num>
  <w:num w:numId="41">
    <w:abstractNumId w:val="54"/>
  </w:num>
  <w:num w:numId="42">
    <w:abstractNumId w:val="38"/>
  </w:num>
  <w:num w:numId="43">
    <w:abstractNumId w:val="55"/>
  </w:num>
  <w:num w:numId="44">
    <w:abstractNumId w:val="75"/>
  </w:num>
  <w:num w:numId="45">
    <w:abstractNumId w:val="47"/>
  </w:num>
  <w:num w:numId="46">
    <w:abstractNumId w:val="11"/>
  </w:num>
  <w:num w:numId="47">
    <w:abstractNumId w:val="41"/>
  </w:num>
  <w:num w:numId="48">
    <w:abstractNumId w:val="15"/>
  </w:num>
  <w:num w:numId="49">
    <w:abstractNumId w:val="25"/>
  </w:num>
  <w:num w:numId="50">
    <w:abstractNumId w:val="68"/>
  </w:num>
  <w:num w:numId="51">
    <w:abstractNumId w:val="56"/>
  </w:num>
  <w:num w:numId="52">
    <w:abstractNumId w:val="21"/>
  </w:num>
  <w:num w:numId="53">
    <w:abstractNumId w:val="60"/>
  </w:num>
  <w:num w:numId="54">
    <w:abstractNumId w:val="32"/>
  </w:num>
  <w:num w:numId="55">
    <w:abstractNumId w:val="8"/>
  </w:num>
  <w:num w:numId="56">
    <w:abstractNumId w:val="3"/>
  </w:num>
  <w:num w:numId="57">
    <w:abstractNumId w:val="27"/>
  </w:num>
  <w:num w:numId="58">
    <w:abstractNumId w:val="7"/>
  </w:num>
  <w:num w:numId="59">
    <w:abstractNumId w:val="4"/>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44"/>
  </w:num>
  <w:num w:numId="75">
    <w:abstractNumId w:val="69"/>
  </w:num>
  <w:num w:numId="76">
    <w:abstractNumId w:val="6"/>
  </w:num>
  <w:num w:numId="77">
    <w:abstractNumId w:val="16"/>
  </w:num>
  <w:num w:numId="78">
    <w:abstractNumId w:val="5"/>
  </w:num>
  <w:num w:numId="79">
    <w:abstractNumId w:val="61"/>
  </w:num>
  <w:num w:numId="80">
    <w:abstractNumId w:val="57"/>
  </w:num>
  <w:num w:numId="81">
    <w:abstractNumId w:val="31"/>
  </w:num>
  <w:num w:numId="82">
    <w:abstractNumId w:val="18"/>
  </w:num>
  <w:num w:numId="83">
    <w:abstractNumId w:val="33"/>
  </w:num>
  <w:num w:numId="84">
    <w:abstractNumId w:val="43"/>
  </w:num>
  <w:num w:numId="85">
    <w:abstractNumId w:val="23"/>
  </w:num>
  <w:num w:numId="86">
    <w:abstractNumId w:val="53"/>
  </w:num>
  <w:num w:numId="87">
    <w:abstractNumId w:val="37"/>
  </w:num>
  <w:num w:numId="88">
    <w:abstractNumId w:val="51"/>
  </w:num>
  <w:num w:numId="89">
    <w:abstractNumId w:val="71"/>
  </w:num>
  <w:num w:numId="90">
    <w:abstractNumId w:val="50"/>
  </w:num>
  <w:num w:numId="91">
    <w:abstractNumId w:val="72"/>
  </w:num>
  <w:num w:numId="92">
    <w:abstractNumId w:val="28"/>
  </w:num>
  <w:num w:numId="93">
    <w:abstractNumId w:val="4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E17"/>
    <w:rsid w:val="00003748"/>
    <w:rsid w:val="00004A9C"/>
    <w:rsid w:val="00005B46"/>
    <w:rsid w:val="00007BD0"/>
    <w:rsid w:val="00010811"/>
    <w:rsid w:val="00010C30"/>
    <w:rsid w:val="00011C5F"/>
    <w:rsid w:val="00014CE0"/>
    <w:rsid w:val="0001607D"/>
    <w:rsid w:val="000160F1"/>
    <w:rsid w:val="0001783F"/>
    <w:rsid w:val="00017AC5"/>
    <w:rsid w:val="000209F6"/>
    <w:rsid w:val="000217F9"/>
    <w:rsid w:val="000221B6"/>
    <w:rsid w:val="000238DC"/>
    <w:rsid w:val="00025581"/>
    <w:rsid w:val="000260E3"/>
    <w:rsid w:val="000266CF"/>
    <w:rsid w:val="0002693C"/>
    <w:rsid w:val="00030406"/>
    <w:rsid w:val="00031B5C"/>
    <w:rsid w:val="0003638C"/>
    <w:rsid w:val="000364EF"/>
    <w:rsid w:val="000374A1"/>
    <w:rsid w:val="00037691"/>
    <w:rsid w:val="000402D0"/>
    <w:rsid w:val="00050216"/>
    <w:rsid w:val="0005054E"/>
    <w:rsid w:val="00051719"/>
    <w:rsid w:val="0005285B"/>
    <w:rsid w:val="00057168"/>
    <w:rsid w:val="000572BB"/>
    <w:rsid w:val="0005732E"/>
    <w:rsid w:val="00060401"/>
    <w:rsid w:val="0006589F"/>
    <w:rsid w:val="00066236"/>
    <w:rsid w:val="0006631B"/>
    <w:rsid w:val="000664EB"/>
    <w:rsid w:val="00066661"/>
    <w:rsid w:val="00071ECC"/>
    <w:rsid w:val="000733DD"/>
    <w:rsid w:val="00075DC1"/>
    <w:rsid w:val="00075E9B"/>
    <w:rsid w:val="000813CD"/>
    <w:rsid w:val="00082490"/>
    <w:rsid w:val="00082BD3"/>
    <w:rsid w:val="00082F36"/>
    <w:rsid w:val="000871E0"/>
    <w:rsid w:val="00087BC9"/>
    <w:rsid w:val="0009039F"/>
    <w:rsid w:val="00090DDD"/>
    <w:rsid w:val="00093141"/>
    <w:rsid w:val="0009610D"/>
    <w:rsid w:val="00097AC8"/>
    <w:rsid w:val="000A18B1"/>
    <w:rsid w:val="000A3A8E"/>
    <w:rsid w:val="000A3ABC"/>
    <w:rsid w:val="000A742E"/>
    <w:rsid w:val="000A78C0"/>
    <w:rsid w:val="000A7AC5"/>
    <w:rsid w:val="000B2B7F"/>
    <w:rsid w:val="000B481C"/>
    <w:rsid w:val="000B4873"/>
    <w:rsid w:val="000B655D"/>
    <w:rsid w:val="000B7040"/>
    <w:rsid w:val="000C1042"/>
    <w:rsid w:val="000C2A66"/>
    <w:rsid w:val="000C46A7"/>
    <w:rsid w:val="000C79C0"/>
    <w:rsid w:val="000C7C48"/>
    <w:rsid w:val="000C7DC2"/>
    <w:rsid w:val="000C7ED2"/>
    <w:rsid w:val="000D0CFF"/>
    <w:rsid w:val="000D5C29"/>
    <w:rsid w:val="000E15CA"/>
    <w:rsid w:val="000E1F3F"/>
    <w:rsid w:val="000E29A5"/>
    <w:rsid w:val="000E421A"/>
    <w:rsid w:val="000E6064"/>
    <w:rsid w:val="000E6CB1"/>
    <w:rsid w:val="000F06B9"/>
    <w:rsid w:val="000F279B"/>
    <w:rsid w:val="000F6E75"/>
    <w:rsid w:val="000F6FC5"/>
    <w:rsid w:val="000F76AE"/>
    <w:rsid w:val="0010087A"/>
    <w:rsid w:val="00101186"/>
    <w:rsid w:val="001017B2"/>
    <w:rsid w:val="001022CC"/>
    <w:rsid w:val="001033D4"/>
    <w:rsid w:val="001034BD"/>
    <w:rsid w:val="00104746"/>
    <w:rsid w:val="0010588E"/>
    <w:rsid w:val="001058A6"/>
    <w:rsid w:val="00105D37"/>
    <w:rsid w:val="001066B3"/>
    <w:rsid w:val="00111E48"/>
    <w:rsid w:val="00111FF9"/>
    <w:rsid w:val="001133A6"/>
    <w:rsid w:val="00114AE7"/>
    <w:rsid w:val="00114F01"/>
    <w:rsid w:val="00115CB4"/>
    <w:rsid w:val="001171D8"/>
    <w:rsid w:val="001222CA"/>
    <w:rsid w:val="00125BE8"/>
    <w:rsid w:val="00125FBD"/>
    <w:rsid w:val="00127742"/>
    <w:rsid w:val="001300EB"/>
    <w:rsid w:val="0013252C"/>
    <w:rsid w:val="001329A0"/>
    <w:rsid w:val="00135226"/>
    <w:rsid w:val="001356F2"/>
    <w:rsid w:val="00135D0B"/>
    <w:rsid w:val="00136A8B"/>
    <w:rsid w:val="00137C43"/>
    <w:rsid w:val="001420D6"/>
    <w:rsid w:val="00142E7F"/>
    <w:rsid w:val="00144641"/>
    <w:rsid w:val="00147904"/>
    <w:rsid w:val="0015721A"/>
    <w:rsid w:val="00164324"/>
    <w:rsid w:val="00164665"/>
    <w:rsid w:val="0016564A"/>
    <w:rsid w:val="00165DF1"/>
    <w:rsid w:val="001671EE"/>
    <w:rsid w:val="0016767E"/>
    <w:rsid w:val="00167CB3"/>
    <w:rsid w:val="00170474"/>
    <w:rsid w:val="0017072E"/>
    <w:rsid w:val="001737CC"/>
    <w:rsid w:val="00174027"/>
    <w:rsid w:val="00177050"/>
    <w:rsid w:val="0018348E"/>
    <w:rsid w:val="001844A3"/>
    <w:rsid w:val="001847D2"/>
    <w:rsid w:val="00184ABE"/>
    <w:rsid w:val="00185701"/>
    <w:rsid w:val="00187153"/>
    <w:rsid w:val="001872EA"/>
    <w:rsid w:val="001874EC"/>
    <w:rsid w:val="00194962"/>
    <w:rsid w:val="0019593B"/>
    <w:rsid w:val="0019625E"/>
    <w:rsid w:val="001963C1"/>
    <w:rsid w:val="001970BA"/>
    <w:rsid w:val="00197557"/>
    <w:rsid w:val="001A0AA6"/>
    <w:rsid w:val="001A1743"/>
    <w:rsid w:val="001A1A28"/>
    <w:rsid w:val="001A2965"/>
    <w:rsid w:val="001A2DA7"/>
    <w:rsid w:val="001A3C93"/>
    <w:rsid w:val="001A4E17"/>
    <w:rsid w:val="001A4F2F"/>
    <w:rsid w:val="001A6098"/>
    <w:rsid w:val="001A66D2"/>
    <w:rsid w:val="001A67B4"/>
    <w:rsid w:val="001A6AE1"/>
    <w:rsid w:val="001B3702"/>
    <w:rsid w:val="001B38F5"/>
    <w:rsid w:val="001B3BB3"/>
    <w:rsid w:val="001B4FCB"/>
    <w:rsid w:val="001B5FF7"/>
    <w:rsid w:val="001B688D"/>
    <w:rsid w:val="001C0091"/>
    <w:rsid w:val="001C0649"/>
    <w:rsid w:val="001C3618"/>
    <w:rsid w:val="001C4D60"/>
    <w:rsid w:val="001C55E3"/>
    <w:rsid w:val="001C6B2F"/>
    <w:rsid w:val="001C7ECD"/>
    <w:rsid w:val="001D011A"/>
    <w:rsid w:val="001D130B"/>
    <w:rsid w:val="001D2488"/>
    <w:rsid w:val="001D3892"/>
    <w:rsid w:val="001D507D"/>
    <w:rsid w:val="001D6D62"/>
    <w:rsid w:val="001D78E1"/>
    <w:rsid w:val="001D7A9F"/>
    <w:rsid w:val="001E0D19"/>
    <w:rsid w:val="001E0DBB"/>
    <w:rsid w:val="001E0FF2"/>
    <w:rsid w:val="001E3AC3"/>
    <w:rsid w:val="001E4BE9"/>
    <w:rsid w:val="001E749D"/>
    <w:rsid w:val="001F0DA7"/>
    <w:rsid w:val="001F33A4"/>
    <w:rsid w:val="001F4BBE"/>
    <w:rsid w:val="001F76F8"/>
    <w:rsid w:val="00201116"/>
    <w:rsid w:val="00202F99"/>
    <w:rsid w:val="0020337A"/>
    <w:rsid w:val="00204CD4"/>
    <w:rsid w:val="002065DA"/>
    <w:rsid w:val="00212EF5"/>
    <w:rsid w:val="00213619"/>
    <w:rsid w:val="0021383F"/>
    <w:rsid w:val="00213A6D"/>
    <w:rsid w:val="00213FD8"/>
    <w:rsid w:val="00215078"/>
    <w:rsid w:val="002152AC"/>
    <w:rsid w:val="002152CB"/>
    <w:rsid w:val="00215EB0"/>
    <w:rsid w:val="00216848"/>
    <w:rsid w:val="00216EF2"/>
    <w:rsid w:val="00221EA1"/>
    <w:rsid w:val="0022463F"/>
    <w:rsid w:val="00224C32"/>
    <w:rsid w:val="00232A1A"/>
    <w:rsid w:val="002346B0"/>
    <w:rsid w:val="00240C0D"/>
    <w:rsid w:val="00243889"/>
    <w:rsid w:val="002441D5"/>
    <w:rsid w:val="002443EE"/>
    <w:rsid w:val="0024446D"/>
    <w:rsid w:val="00245242"/>
    <w:rsid w:val="00246CEB"/>
    <w:rsid w:val="0025017E"/>
    <w:rsid w:val="00251735"/>
    <w:rsid w:val="0025479C"/>
    <w:rsid w:val="002567CD"/>
    <w:rsid w:val="00256A81"/>
    <w:rsid w:val="00257D87"/>
    <w:rsid w:val="002628DA"/>
    <w:rsid w:val="002631AD"/>
    <w:rsid w:val="00263B97"/>
    <w:rsid w:val="00263EEC"/>
    <w:rsid w:val="0026624A"/>
    <w:rsid w:val="00270E92"/>
    <w:rsid w:val="00271452"/>
    <w:rsid w:val="00272B1B"/>
    <w:rsid w:val="00274A10"/>
    <w:rsid w:val="00274AEA"/>
    <w:rsid w:val="00276849"/>
    <w:rsid w:val="002806DF"/>
    <w:rsid w:val="002810EA"/>
    <w:rsid w:val="002812DB"/>
    <w:rsid w:val="00281F39"/>
    <w:rsid w:val="00282940"/>
    <w:rsid w:val="00283D09"/>
    <w:rsid w:val="00285CF2"/>
    <w:rsid w:val="0029163D"/>
    <w:rsid w:val="00291FD2"/>
    <w:rsid w:val="0029264A"/>
    <w:rsid w:val="0029381A"/>
    <w:rsid w:val="00294053"/>
    <w:rsid w:val="0029561B"/>
    <w:rsid w:val="0029680C"/>
    <w:rsid w:val="002A00A1"/>
    <w:rsid w:val="002A0F82"/>
    <w:rsid w:val="002A27EA"/>
    <w:rsid w:val="002A6766"/>
    <w:rsid w:val="002A7756"/>
    <w:rsid w:val="002A77E5"/>
    <w:rsid w:val="002B2829"/>
    <w:rsid w:val="002B4752"/>
    <w:rsid w:val="002B54B5"/>
    <w:rsid w:val="002B7CB6"/>
    <w:rsid w:val="002C10DB"/>
    <w:rsid w:val="002C11BA"/>
    <w:rsid w:val="002C1DB9"/>
    <w:rsid w:val="002C2BA8"/>
    <w:rsid w:val="002C30E8"/>
    <w:rsid w:val="002C3DB4"/>
    <w:rsid w:val="002C4BB7"/>
    <w:rsid w:val="002C5427"/>
    <w:rsid w:val="002C5BBF"/>
    <w:rsid w:val="002C708F"/>
    <w:rsid w:val="002D02CF"/>
    <w:rsid w:val="002D1004"/>
    <w:rsid w:val="002D16CC"/>
    <w:rsid w:val="002D1DC8"/>
    <w:rsid w:val="002D65ED"/>
    <w:rsid w:val="002E14D9"/>
    <w:rsid w:val="002E1D5E"/>
    <w:rsid w:val="002E225D"/>
    <w:rsid w:val="002E2DBA"/>
    <w:rsid w:val="002E413E"/>
    <w:rsid w:val="002E495C"/>
    <w:rsid w:val="002E5501"/>
    <w:rsid w:val="002E7E9A"/>
    <w:rsid w:val="002F14EC"/>
    <w:rsid w:val="002F242B"/>
    <w:rsid w:val="002F354E"/>
    <w:rsid w:val="002F3758"/>
    <w:rsid w:val="002F5F1D"/>
    <w:rsid w:val="003031AC"/>
    <w:rsid w:val="00303BE6"/>
    <w:rsid w:val="00305CAF"/>
    <w:rsid w:val="00306B14"/>
    <w:rsid w:val="00307383"/>
    <w:rsid w:val="0031060D"/>
    <w:rsid w:val="00312F75"/>
    <w:rsid w:val="003130EB"/>
    <w:rsid w:val="003144CB"/>
    <w:rsid w:val="00316C88"/>
    <w:rsid w:val="003243A6"/>
    <w:rsid w:val="003248F8"/>
    <w:rsid w:val="00325B34"/>
    <w:rsid w:val="00327CFD"/>
    <w:rsid w:val="00331D25"/>
    <w:rsid w:val="00332594"/>
    <w:rsid w:val="003355B7"/>
    <w:rsid w:val="00335620"/>
    <w:rsid w:val="00337D1C"/>
    <w:rsid w:val="0034022C"/>
    <w:rsid w:val="003405E1"/>
    <w:rsid w:val="0034099C"/>
    <w:rsid w:val="003435B4"/>
    <w:rsid w:val="00343F58"/>
    <w:rsid w:val="003440A3"/>
    <w:rsid w:val="00346DF6"/>
    <w:rsid w:val="00347208"/>
    <w:rsid w:val="0034759C"/>
    <w:rsid w:val="003500D9"/>
    <w:rsid w:val="00352446"/>
    <w:rsid w:val="0035293D"/>
    <w:rsid w:val="00352E32"/>
    <w:rsid w:val="003601FD"/>
    <w:rsid w:val="003607AF"/>
    <w:rsid w:val="00363D7E"/>
    <w:rsid w:val="0037147E"/>
    <w:rsid w:val="0037193A"/>
    <w:rsid w:val="003723EE"/>
    <w:rsid w:val="0037414E"/>
    <w:rsid w:val="0037446D"/>
    <w:rsid w:val="00374C4B"/>
    <w:rsid w:val="00374C68"/>
    <w:rsid w:val="00375169"/>
    <w:rsid w:val="003768F3"/>
    <w:rsid w:val="00377681"/>
    <w:rsid w:val="0038005E"/>
    <w:rsid w:val="00380BAA"/>
    <w:rsid w:val="0038146C"/>
    <w:rsid w:val="00382F5E"/>
    <w:rsid w:val="00383682"/>
    <w:rsid w:val="003845D1"/>
    <w:rsid w:val="003847B6"/>
    <w:rsid w:val="00386354"/>
    <w:rsid w:val="003869E9"/>
    <w:rsid w:val="00390ED6"/>
    <w:rsid w:val="00391408"/>
    <w:rsid w:val="003917BA"/>
    <w:rsid w:val="00392913"/>
    <w:rsid w:val="00392A98"/>
    <w:rsid w:val="00392B3E"/>
    <w:rsid w:val="00392F71"/>
    <w:rsid w:val="00394132"/>
    <w:rsid w:val="003A0501"/>
    <w:rsid w:val="003A2969"/>
    <w:rsid w:val="003A29BB"/>
    <w:rsid w:val="003A547D"/>
    <w:rsid w:val="003A5CC4"/>
    <w:rsid w:val="003A614B"/>
    <w:rsid w:val="003B023B"/>
    <w:rsid w:val="003B0D46"/>
    <w:rsid w:val="003B58C1"/>
    <w:rsid w:val="003B691F"/>
    <w:rsid w:val="003C1393"/>
    <w:rsid w:val="003C1E72"/>
    <w:rsid w:val="003C36AC"/>
    <w:rsid w:val="003C36CF"/>
    <w:rsid w:val="003C5BF3"/>
    <w:rsid w:val="003C5E3A"/>
    <w:rsid w:val="003C6077"/>
    <w:rsid w:val="003D1048"/>
    <w:rsid w:val="003D1489"/>
    <w:rsid w:val="003D185B"/>
    <w:rsid w:val="003D2B4F"/>
    <w:rsid w:val="003D57F6"/>
    <w:rsid w:val="003D7157"/>
    <w:rsid w:val="003E2B0A"/>
    <w:rsid w:val="003E3053"/>
    <w:rsid w:val="003E6508"/>
    <w:rsid w:val="003F2B1B"/>
    <w:rsid w:val="003F37D4"/>
    <w:rsid w:val="003F3DDD"/>
    <w:rsid w:val="003F54AD"/>
    <w:rsid w:val="003F62C2"/>
    <w:rsid w:val="003F6DE7"/>
    <w:rsid w:val="003F710A"/>
    <w:rsid w:val="003F779E"/>
    <w:rsid w:val="004011A8"/>
    <w:rsid w:val="0040526A"/>
    <w:rsid w:val="0040620A"/>
    <w:rsid w:val="0040737B"/>
    <w:rsid w:val="0041590F"/>
    <w:rsid w:val="00416F5F"/>
    <w:rsid w:val="004239CB"/>
    <w:rsid w:val="0042580E"/>
    <w:rsid w:val="00430E71"/>
    <w:rsid w:val="00432DF7"/>
    <w:rsid w:val="00434A9A"/>
    <w:rsid w:val="00435F12"/>
    <w:rsid w:val="00437D4C"/>
    <w:rsid w:val="00440750"/>
    <w:rsid w:val="00441486"/>
    <w:rsid w:val="00443017"/>
    <w:rsid w:val="004433E3"/>
    <w:rsid w:val="00446D11"/>
    <w:rsid w:val="004505FB"/>
    <w:rsid w:val="00450995"/>
    <w:rsid w:val="00450BAE"/>
    <w:rsid w:val="00452327"/>
    <w:rsid w:val="00452B66"/>
    <w:rsid w:val="00452FA0"/>
    <w:rsid w:val="00455D5A"/>
    <w:rsid w:val="00456380"/>
    <w:rsid w:val="00456C5A"/>
    <w:rsid w:val="00457C78"/>
    <w:rsid w:val="00460E28"/>
    <w:rsid w:val="0046138F"/>
    <w:rsid w:val="004629B0"/>
    <w:rsid w:val="00462A77"/>
    <w:rsid w:val="00463E74"/>
    <w:rsid w:val="004648A4"/>
    <w:rsid w:val="00465160"/>
    <w:rsid w:val="004652B3"/>
    <w:rsid w:val="00465944"/>
    <w:rsid w:val="00466ABE"/>
    <w:rsid w:val="00470448"/>
    <w:rsid w:val="004718E7"/>
    <w:rsid w:val="0047318E"/>
    <w:rsid w:val="00473483"/>
    <w:rsid w:val="00473D02"/>
    <w:rsid w:val="00474E6A"/>
    <w:rsid w:val="00477ACA"/>
    <w:rsid w:val="00480B0C"/>
    <w:rsid w:val="004814C0"/>
    <w:rsid w:val="00482535"/>
    <w:rsid w:val="0048319C"/>
    <w:rsid w:val="004839F9"/>
    <w:rsid w:val="004843F2"/>
    <w:rsid w:val="00485114"/>
    <w:rsid w:val="004865AE"/>
    <w:rsid w:val="004871F1"/>
    <w:rsid w:val="00487FC8"/>
    <w:rsid w:val="0049042F"/>
    <w:rsid w:val="004936CC"/>
    <w:rsid w:val="004955F6"/>
    <w:rsid w:val="00495BA9"/>
    <w:rsid w:val="004965A4"/>
    <w:rsid w:val="004A172E"/>
    <w:rsid w:val="004A3375"/>
    <w:rsid w:val="004A41F8"/>
    <w:rsid w:val="004A5F67"/>
    <w:rsid w:val="004A6111"/>
    <w:rsid w:val="004A68D1"/>
    <w:rsid w:val="004B2158"/>
    <w:rsid w:val="004B3451"/>
    <w:rsid w:val="004B3E83"/>
    <w:rsid w:val="004B4419"/>
    <w:rsid w:val="004C55CE"/>
    <w:rsid w:val="004C5862"/>
    <w:rsid w:val="004C61B2"/>
    <w:rsid w:val="004C633D"/>
    <w:rsid w:val="004C6F68"/>
    <w:rsid w:val="004C7B33"/>
    <w:rsid w:val="004C7D3A"/>
    <w:rsid w:val="004D2B54"/>
    <w:rsid w:val="004D3D4D"/>
    <w:rsid w:val="004D510E"/>
    <w:rsid w:val="004D55CD"/>
    <w:rsid w:val="004D57BB"/>
    <w:rsid w:val="004D622A"/>
    <w:rsid w:val="004D7380"/>
    <w:rsid w:val="004E3B37"/>
    <w:rsid w:val="004E69CA"/>
    <w:rsid w:val="004F0DB3"/>
    <w:rsid w:val="004F28FF"/>
    <w:rsid w:val="004F3938"/>
    <w:rsid w:val="004F6489"/>
    <w:rsid w:val="00504B1C"/>
    <w:rsid w:val="00505193"/>
    <w:rsid w:val="00506973"/>
    <w:rsid w:val="005070E6"/>
    <w:rsid w:val="005077F6"/>
    <w:rsid w:val="0051014D"/>
    <w:rsid w:val="00511126"/>
    <w:rsid w:val="00511B14"/>
    <w:rsid w:val="00512F74"/>
    <w:rsid w:val="00515964"/>
    <w:rsid w:val="0051781B"/>
    <w:rsid w:val="00517F49"/>
    <w:rsid w:val="005203AC"/>
    <w:rsid w:val="00520C3A"/>
    <w:rsid w:val="00523DB2"/>
    <w:rsid w:val="00524085"/>
    <w:rsid w:val="00524EA8"/>
    <w:rsid w:val="00525B95"/>
    <w:rsid w:val="00526393"/>
    <w:rsid w:val="00527399"/>
    <w:rsid w:val="00527650"/>
    <w:rsid w:val="005276FF"/>
    <w:rsid w:val="005307AD"/>
    <w:rsid w:val="00530946"/>
    <w:rsid w:val="005312B4"/>
    <w:rsid w:val="00532AC4"/>
    <w:rsid w:val="005338F3"/>
    <w:rsid w:val="00540585"/>
    <w:rsid w:val="00541452"/>
    <w:rsid w:val="00541B7F"/>
    <w:rsid w:val="00543E64"/>
    <w:rsid w:val="005446E0"/>
    <w:rsid w:val="00545966"/>
    <w:rsid w:val="005474EE"/>
    <w:rsid w:val="005525DA"/>
    <w:rsid w:val="00553A81"/>
    <w:rsid w:val="00555D61"/>
    <w:rsid w:val="00560315"/>
    <w:rsid w:val="00560D5E"/>
    <w:rsid w:val="00561B0E"/>
    <w:rsid w:val="005627AB"/>
    <w:rsid w:val="00563590"/>
    <w:rsid w:val="005651A3"/>
    <w:rsid w:val="00565A3D"/>
    <w:rsid w:val="00565FE6"/>
    <w:rsid w:val="005673CC"/>
    <w:rsid w:val="00567C33"/>
    <w:rsid w:val="00570EC4"/>
    <w:rsid w:val="005729B2"/>
    <w:rsid w:val="00572B5B"/>
    <w:rsid w:val="00572F16"/>
    <w:rsid w:val="00573983"/>
    <w:rsid w:val="00576180"/>
    <w:rsid w:val="00577C33"/>
    <w:rsid w:val="005804C4"/>
    <w:rsid w:val="005810FC"/>
    <w:rsid w:val="005822CE"/>
    <w:rsid w:val="005835DC"/>
    <w:rsid w:val="005837BA"/>
    <w:rsid w:val="00583ED0"/>
    <w:rsid w:val="005865B7"/>
    <w:rsid w:val="0058759B"/>
    <w:rsid w:val="00587C6B"/>
    <w:rsid w:val="00593034"/>
    <w:rsid w:val="005932B9"/>
    <w:rsid w:val="005936E0"/>
    <w:rsid w:val="00593A17"/>
    <w:rsid w:val="00594A29"/>
    <w:rsid w:val="00596F20"/>
    <w:rsid w:val="005976A7"/>
    <w:rsid w:val="00597CE9"/>
    <w:rsid w:val="005A17FD"/>
    <w:rsid w:val="005A22F8"/>
    <w:rsid w:val="005A27F6"/>
    <w:rsid w:val="005A30A8"/>
    <w:rsid w:val="005A45B1"/>
    <w:rsid w:val="005A4DE1"/>
    <w:rsid w:val="005A5145"/>
    <w:rsid w:val="005A58F3"/>
    <w:rsid w:val="005A786D"/>
    <w:rsid w:val="005B045C"/>
    <w:rsid w:val="005B1715"/>
    <w:rsid w:val="005B1B3E"/>
    <w:rsid w:val="005B309F"/>
    <w:rsid w:val="005B3E0A"/>
    <w:rsid w:val="005B4BF8"/>
    <w:rsid w:val="005B6147"/>
    <w:rsid w:val="005B7305"/>
    <w:rsid w:val="005B76FB"/>
    <w:rsid w:val="005C08C5"/>
    <w:rsid w:val="005C13BF"/>
    <w:rsid w:val="005C17C7"/>
    <w:rsid w:val="005C1CF2"/>
    <w:rsid w:val="005C4051"/>
    <w:rsid w:val="005D3A9A"/>
    <w:rsid w:val="005D543C"/>
    <w:rsid w:val="005D7526"/>
    <w:rsid w:val="005E320A"/>
    <w:rsid w:val="005E3807"/>
    <w:rsid w:val="005E46FC"/>
    <w:rsid w:val="005E582A"/>
    <w:rsid w:val="005F1963"/>
    <w:rsid w:val="005F3EC4"/>
    <w:rsid w:val="005F54A4"/>
    <w:rsid w:val="005F563A"/>
    <w:rsid w:val="005F7052"/>
    <w:rsid w:val="005F72E8"/>
    <w:rsid w:val="005F79D0"/>
    <w:rsid w:val="005F7D23"/>
    <w:rsid w:val="006007CC"/>
    <w:rsid w:val="0060085C"/>
    <w:rsid w:val="0060149C"/>
    <w:rsid w:val="0060270E"/>
    <w:rsid w:val="00602889"/>
    <w:rsid w:val="00604650"/>
    <w:rsid w:val="006051E7"/>
    <w:rsid w:val="00607961"/>
    <w:rsid w:val="00611301"/>
    <w:rsid w:val="0061246A"/>
    <w:rsid w:val="0061398B"/>
    <w:rsid w:val="00613BB2"/>
    <w:rsid w:val="00615222"/>
    <w:rsid w:val="00617A8F"/>
    <w:rsid w:val="00620DE3"/>
    <w:rsid w:val="00621ED0"/>
    <w:rsid w:val="00623521"/>
    <w:rsid w:val="006237F5"/>
    <w:rsid w:val="006253BC"/>
    <w:rsid w:val="00631573"/>
    <w:rsid w:val="00631D50"/>
    <w:rsid w:val="006323D8"/>
    <w:rsid w:val="00633EC4"/>
    <w:rsid w:val="00635B1E"/>
    <w:rsid w:val="006361E2"/>
    <w:rsid w:val="006362DB"/>
    <w:rsid w:val="0064048B"/>
    <w:rsid w:val="00641F1F"/>
    <w:rsid w:val="00642E74"/>
    <w:rsid w:val="006447D5"/>
    <w:rsid w:val="006472AB"/>
    <w:rsid w:val="00647378"/>
    <w:rsid w:val="0064752D"/>
    <w:rsid w:val="00650021"/>
    <w:rsid w:val="00651921"/>
    <w:rsid w:val="00652FBF"/>
    <w:rsid w:val="006569D0"/>
    <w:rsid w:val="00660577"/>
    <w:rsid w:val="00663619"/>
    <w:rsid w:val="006645F9"/>
    <w:rsid w:val="00666652"/>
    <w:rsid w:val="00666F9D"/>
    <w:rsid w:val="006675E7"/>
    <w:rsid w:val="006709D0"/>
    <w:rsid w:val="006720C0"/>
    <w:rsid w:val="006722E4"/>
    <w:rsid w:val="006744CF"/>
    <w:rsid w:val="006753C4"/>
    <w:rsid w:val="00675BC3"/>
    <w:rsid w:val="00677CFF"/>
    <w:rsid w:val="00677E13"/>
    <w:rsid w:val="00680057"/>
    <w:rsid w:val="0068015F"/>
    <w:rsid w:val="006801E6"/>
    <w:rsid w:val="00681365"/>
    <w:rsid w:val="00683241"/>
    <w:rsid w:val="00685118"/>
    <w:rsid w:val="00690EE6"/>
    <w:rsid w:val="00691A03"/>
    <w:rsid w:val="0069224E"/>
    <w:rsid w:val="00692EE1"/>
    <w:rsid w:val="00693FC2"/>
    <w:rsid w:val="006940CE"/>
    <w:rsid w:val="00695075"/>
    <w:rsid w:val="0069574B"/>
    <w:rsid w:val="00695E75"/>
    <w:rsid w:val="00696377"/>
    <w:rsid w:val="00696AC7"/>
    <w:rsid w:val="00697446"/>
    <w:rsid w:val="00697B43"/>
    <w:rsid w:val="006A03D0"/>
    <w:rsid w:val="006A0DA7"/>
    <w:rsid w:val="006A138D"/>
    <w:rsid w:val="006A168B"/>
    <w:rsid w:val="006A18B3"/>
    <w:rsid w:val="006A49A4"/>
    <w:rsid w:val="006A4E02"/>
    <w:rsid w:val="006A6CBD"/>
    <w:rsid w:val="006B28D1"/>
    <w:rsid w:val="006B4392"/>
    <w:rsid w:val="006B4873"/>
    <w:rsid w:val="006B5CA3"/>
    <w:rsid w:val="006B733B"/>
    <w:rsid w:val="006C14AA"/>
    <w:rsid w:val="006C1EB1"/>
    <w:rsid w:val="006C2E6B"/>
    <w:rsid w:val="006D0EB5"/>
    <w:rsid w:val="006D1845"/>
    <w:rsid w:val="006D1BD8"/>
    <w:rsid w:val="006D2192"/>
    <w:rsid w:val="006D2C57"/>
    <w:rsid w:val="006D45E7"/>
    <w:rsid w:val="006D539E"/>
    <w:rsid w:val="006D5BD6"/>
    <w:rsid w:val="006D6783"/>
    <w:rsid w:val="006D707C"/>
    <w:rsid w:val="006D72A9"/>
    <w:rsid w:val="006D791D"/>
    <w:rsid w:val="006D7CDE"/>
    <w:rsid w:val="006E03D4"/>
    <w:rsid w:val="006E2626"/>
    <w:rsid w:val="006E2BE2"/>
    <w:rsid w:val="006E3336"/>
    <w:rsid w:val="006E3E06"/>
    <w:rsid w:val="006F2CE6"/>
    <w:rsid w:val="006F3AFA"/>
    <w:rsid w:val="006F55DE"/>
    <w:rsid w:val="006F5800"/>
    <w:rsid w:val="006F5D78"/>
    <w:rsid w:val="00704D21"/>
    <w:rsid w:val="00704F44"/>
    <w:rsid w:val="00705542"/>
    <w:rsid w:val="007114B8"/>
    <w:rsid w:val="00711F4D"/>
    <w:rsid w:val="00712777"/>
    <w:rsid w:val="00715B06"/>
    <w:rsid w:val="007207E7"/>
    <w:rsid w:val="00721A14"/>
    <w:rsid w:val="0072455D"/>
    <w:rsid w:val="007267B4"/>
    <w:rsid w:val="00726866"/>
    <w:rsid w:val="00727194"/>
    <w:rsid w:val="007278AD"/>
    <w:rsid w:val="007317FF"/>
    <w:rsid w:val="00732D1D"/>
    <w:rsid w:val="007338F0"/>
    <w:rsid w:val="00740ABF"/>
    <w:rsid w:val="0074322B"/>
    <w:rsid w:val="00743945"/>
    <w:rsid w:val="00750B21"/>
    <w:rsid w:val="00754BBD"/>
    <w:rsid w:val="007556DC"/>
    <w:rsid w:val="007558A9"/>
    <w:rsid w:val="007562A9"/>
    <w:rsid w:val="00760405"/>
    <w:rsid w:val="00761B49"/>
    <w:rsid w:val="00761FF8"/>
    <w:rsid w:val="00762FBB"/>
    <w:rsid w:val="00765419"/>
    <w:rsid w:val="007654F9"/>
    <w:rsid w:val="00765A58"/>
    <w:rsid w:val="00766616"/>
    <w:rsid w:val="007674D0"/>
    <w:rsid w:val="00767ECF"/>
    <w:rsid w:val="00772882"/>
    <w:rsid w:val="007728FB"/>
    <w:rsid w:val="007730A5"/>
    <w:rsid w:val="00773FBE"/>
    <w:rsid w:val="00774751"/>
    <w:rsid w:val="00774F76"/>
    <w:rsid w:val="00775158"/>
    <w:rsid w:val="00777640"/>
    <w:rsid w:val="00780D19"/>
    <w:rsid w:val="00781D1C"/>
    <w:rsid w:val="00783511"/>
    <w:rsid w:val="00785680"/>
    <w:rsid w:val="007860C1"/>
    <w:rsid w:val="00786A32"/>
    <w:rsid w:val="00787E66"/>
    <w:rsid w:val="0079399D"/>
    <w:rsid w:val="0079739E"/>
    <w:rsid w:val="007A2BA4"/>
    <w:rsid w:val="007A5261"/>
    <w:rsid w:val="007A558E"/>
    <w:rsid w:val="007A64A0"/>
    <w:rsid w:val="007A6C61"/>
    <w:rsid w:val="007A7B84"/>
    <w:rsid w:val="007B098A"/>
    <w:rsid w:val="007B5B7D"/>
    <w:rsid w:val="007C168B"/>
    <w:rsid w:val="007C2110"/>
    <w:rsid w:val="007C6A1E"/>
    <w:rsid w:val="007C6FF6"/>
    <w:rsid w:val="007C78E7"/>
    <w:rsid w:val="007D25E5"/>
    <w:rsid w:val="007D4869"/>
    <w:rsid w:val="007E00E7"/>
    <w:rsid w:val="007E0485"/>
    <w:rsid w:val="007E0B35"/>
    <w:rsid w:val="007E19F5"/>
    <w:rsid w:val="007E452E"/>
    <w:rsid w:val="007E5568"/>
    <w:rsid w:val="007E6F0B"/>
    <w:rsid w:val="007E7723"/>
    <w:rsid w:val="007E7E84"/>
    <w:rsid w:val="007F0F6C"/>
    <w:rsid w:val="007F139D"/>
    <w:rsid w:val="007F1432"/>
    <w:rsid w:val="007F1620"/>
    <w:rsid w:val="007F4E7A"/>
    <w:rsid w:val="007F610E"/>
    <w:rsid w:val="00800556"/>
    <w:rsid w:val="0080061F"/>
    <w:rsid w:val="00814849"/>
    <w:rsid w:val="00814C3E"/>
    <w:rsid w:val="00817189"/>
    <w:rsid w:val="00820171"/>
    <w:rsid w:val="00820255"/>
    <w:rsid w:val="00822550"/>
    <w:rsid w:val="008231E4"/>
    <w:rsid w:val="00824805"/>
    <w:rsid w:val="00825445"/>
    <w:rsid w:val="00827FE2"/>
    <w:rsid w:val="00833D24"/>
    <w:rsid w:val="0083461F"/>
    <w:rsid w:val="00834FA3"/>
    <w:rsid w:val="008355AA"/>
    <w:rsid w:val="00835B91"/>
    <w:rsid w:val="00836132"/>
    <w:rsid w:val="00836749"/>
    <w:rsid w:val="008402CD"/>
    <w:rsid w:val="00842289"/>
    <w:rsid w:val="00843306"/>
    <w:rsid w:val="008433AB"/>
    <w:rsid w:val="008436B1"/>
    <w:rsid w:val="00844BE8"/>
    <w:rsid w:val="00844FE3"/>
    <w:rsid w:val="00854E17"/>
    <w:rsid w:val="00855DB8"/>
    <w:rsid w:val="00856DD9"/>
    <w:rsid w:val="00862298"/>
    <w:rsid w:val="00862B09"/>
    <w:rsid w:val="00863942"/>
    <w:rsid w:val="00867626"/>
    <w:rsid w:val="00872F91"/>
    <w:rsid w:val="00875DAB"/>
    <w:rsid w:val="00876481"/>
    <w:rsid w:val="00880F9E"/>
    <w:rsid w:val="00881273"/>
    <w:rsid w:val="00881550"/>
    <w:rsid w:val="0088300A"/>
    <w:rsid w:val="0088348A"/>
    <w:rsid w:val="00883B0E"/>
    <w:rsid w:val="00884CF0"/>
    <w:rsid w:val="00885CEC"/>
    <w:rsid w:val="00886ACD"/>
    <w:rsid w:val="0088793A"/>
    <w:rsid w:val="0089105A"/>
    <w:rsid w:val="00892E67"/>
    <w:rsid w:val="008961B0"/>
    <w:rsid w:val="00896FBB"/>
    <w:rsid w:val="008A0593"/>
    <w:rsid w:val="008A4256"/>
    <w:rsid w:val="008A4BD6"/>
    <w:rsid w:val="008A7CA1"/>
    <w:rsid w:val="008B1A81"/>
    <w:rsid w:val="008B28AB"/>
    <w:rsid w:val="008B45FE"/>
    <w:rsid w:val="008B4B02"/>
    <w:rsid w:val="008B5618"/>
    <w:rsid w:val="008B6411"/>
    <w:rsid w:val="008B64A1"/>
    <w:rsid w:val="008B7A13"/>
    <w:rsid w:val="008C165D"/>
    <w:rsid w:val="008D0B6B"/>
    <w:rsid w:val="008D0CB9"/>
    <w:rsid w:val="008D1AA1"/>
    <w:rsid w:val="008D1B2E"/>
    <w:rsid w:val="008D74BF"/>
    <w:rsid w:val="008D74F1"/>
    <w:rsid w:val="008E0047"/>
    <w:rsid w:val="008E059F"/>
    <w:rsid w:val="008E1F9B"/>
    <w:rsid w:val="008E4B72"/>
    <w:rsid w:val="008E508F"/>
    <w:rsid w:val="008E57AB"/>
    <w:rsid w:val="008E79F1"/>
    <w:rsid w:val="008F049F"/>
    <w:rsid w:val="008F2112"/>
    <w:rsid w:val="008F2409"/>
    <w:rsid w:val="008F262A"/>
    <w:rsid w:val="008F3C0A"/>
    <w:rsid w:val="008F535C"/>
    <w:rsid w:val="0090362C"/>
    <w:rsid w:val="009054AC"/>
    <w:rsid w:val="009055AB"/>
    <w:rsid w:val="00905B54"/>
    <w:rsid w:val="00907C22"/>
    <w:rsid w:val="0091117E"/>
    <w:rsid w:val="00912E56"/>
    <w:rsid w:val="00914C37"/>
    <w:rsid w:val="00914CEB"/>
    <w:rsid w:val="009153B0"/>
    <w:rsid w:val="00920190"/>
    <w:rsid w:val="00920C2B"/>
    <w:rsid w:val="00921FA5"/>
    <w:rsid w:val="00922204"/>
    <w:rsid w:val="00922E56"/>
    <w:rsid w:val="0092473A"/>
    <w:rsid w:val="00924A7C"/>
    <w:rsid w:val="009257FC"/>
    <w:rsid w:val="009314D5"/>
    <w:rsid w:val="00933202"/>
    <w:rsid w:val="0093343D"/>
    <w:rsid w:val="009334C4"/>
    <w:rsid w:val="00933B5C"/>
    <w:rsid w:val="00934528"/>
    <w:rsid w:val="00934A2E"/>
    <w:rsid w:val="00936322"/>
    <w:rsid w:val="00936D0C"/>
    <w:rsid w:val="009370E3"/>
    <w:rsid w:val="00937DA8"/>
    <w:rsid w:val="00941017"/>
    <w:rsid w:val="009411F7"/>
    <w:rsid w:val="009432DF"/>
    <w:rsid w:val="00943874"/>
    <w:rsid w:val="00944262"/>
    <w:rsid w:val="00944E31"/>
    <w:rsid w:val="00945644"/>
    <w:rsid w:val="00946B1E"/>
    <w:rsid w:val="00951B59"/>
    <w:rsid w:val="00952243"/>
    <w:rsid w:val="009538AD"/>
    <w:rsid w:val="0095426B"/>
    <w:rsid w:val="00956629"/>
    <w:rsid w:val="009609A3"/>
    <w:rsid w:val="00962397"/>
    <w:rsid w:val="00962B93"/>
    <w:rsid w:val="00962F36"/>
    <w:rsid w:val="00963ACC"/>
    <w:rsid w:val="00963BCA"/>
    <w:rsid w:val="0096546A"/>
    <w:rsid w:val="009674CE"/>
    <w:rsid w:val="00967BCD"/>
    <w:rsid w:val="00967F5F"/>
    <w:rsid w:val="00970D1C"/>
    <w:rsid w:val="00971A1B"/>
    <w:rsid w:val="00973951"/>
    <w:rsid w:val="00982750"/>
    <w:rsid w:val="009838F8"/>
    <w:rsid w:val="00984144"/>
    <w:rsid w:val="009939B0"/>
    <w:rsid w:val="009957D1"/>
    <w:rsid w:val="00996D80"/>
    <w:rsid w:val="0099773B"/>
    <w:rsid w:val="00997E39"/>
    <w:rsid w:val="009A180C"/>
    <w:rsid w:val="009A1BAD"/>
    <w:rsid w:val="009A38D0"/>
    <w:rsid w:val="009A402B"/>
    <w:rsid w:val="009A4A77"/>
    <w:rsid w:val="009B1672"/>
    <w:rsid w:val="009B223C"/>
    <w:rsid w:val="009B25EC"/>
    <w:rsid w:val="009B2F49"/>
    <w:rsid w:val="009B476F"/>
    <w:rsid w:val="009B6FBE"/>
    <w:rsid w:val="009C0192"/>
    <w:rsid w:val="009C05D7"/>
    <w:rsid w:val="009C065D"/>
    <w:rsid w:val="009C0BEC"/>
    <w:rsid w:val="009C50D9"/>
    <w:rsid w:val="009C5B15"/>
    <w:rsid w:val="009C7F0F"/>
    <w:rsid w:val="009D166B"/>
    <w:rsid w:val="009D1B58"/>
    <w:rsid w:val="009D1FD8"/>
    <w:rsid w:val="009D43A9"/>
    <w:rsid w:val="009D4D7C"/>
    <w:rsid w:val="009D52C2"/>
    <w:rsid w:val="009D57D0"/>
    <w:rsid w:val="009D5CA2"/>
    <w:rsid w:val="009D7034"/>
    <w:rsid w:val="009E1053"/>
    <w:rsid w:val="009E1875"/>
    <w:rsid w:val="009E4418"/>
    <w:rsid w:val="009E4A0B"/>
    <w:rsid w:val="009E6861"/>
    <w:rsid w:val="009E7CF2"/>
    <w:rsid w:val="009E7D5C"/>
    <w:rsid w:val="009F2217"/>
    <w:rsid w:val="009F3376"/>
    <w:rsid w:val="009F33A4"/>
    <w:rsid w:val="00A00F3A"/>
    <w:rsid w:val="00A011B1"/>
    <w:rsid w:val="00A01FA5"/>
    <w:rsid w:val="00A04633"/>
    <w:rsid w:val="00A04D87"/>
    <w:rsid w:val="00A04E38"/>
    <w:rsid w:val="00A0553A"/>
    <w:rsid w:val="00A12C3F"/>
    <w:rsid w:val="00A145E0"/>
    <w:rsid w:val="00A14A20"/>
    <w:rsid w:val="00A20359"/>
    <w:rsid w:val="00A2196D"/>
    <w:rsid w:val="00A24A2A"/>
    <w:rsid w:val="00A254AD"/>
    <w:rsid w:val="00A279EE"/>
    <w:rsid w:val="00A27BB7"/>
    <w:rsid w:val="00A306F8"/>
    <w:rsid w:val="00A31A57"/>
    <w:rsid w:val="00A31B28"/>
    <w:rsid w:val="00A33615"/>
    <w:rsid w:val="00A355A6"/>
    <w:rsid w:val="00A36241"/>
    <w:rsid w:val="00A3713F"/>
    <w:rsid w:val="00A43C20"/>
    <w:rsid w:val="00A44DA2"/>
    <w:rsid w:val="00A450DA"/>
    <w:rsid w:val="00A46769"/>
    <w:rsid w:val="00A50A6B"/>
    <w:rsid w:val="00A5204E"/>
    <w:rsid w:val="00A547C9"/>
    <w:rsid w:val="00A54B58"/>
    <w:rsid w:val="00A57C05"/>
    <w:rsid w:val="00A6327B"/>
    <w:rsid w:val="00A648BE"/>
    <w:rsid w:val="00A66E14"/>
    <w:rsid w:val="00A6797C"/>
    <w:rsid w:val="00A72A63"/>
    <w:rsid w:val="00A75A0C"/>
    <w:rsid w:val="00A770D2"/>
    <w:rsid w:val="00A77BDC"/>
    <w:rsid w:val="00A77D96"/>
    <w:rsid w:val="00A81655"/>
    <w:rsid w:val="00A870C8"/>
    <w:rsid w:val="00A8797E"/>
    <w:rsid w:val="00A9168C"/>
    <w:rsid w:val="00A9203A"/>
    <w:rsid w:val="00A93837"/>
    <w:rsid w:val="00A95F7E"/>
    <w:rsid w:val="00A9723A"/>
    <w:rsid w:val="00AA2379"/>
    <w:rsid w:val="00AA287B"/>
    <w:rsid w:val="00AA45B8"/>
    <w:rsid w:val="00AB380D"/>
    <w:rsid w:val="00AB42D9"/>
    <w:rsid w:val="00AB5293"/>
    <w:rsid w:val="00AC01F7"/>
    <w:rsid w:val="00AC12B3"/>
    <w:rsid w:val="00AC1DF4"/>
    <w:rsid w:val="00AC2C41"/>
    <w:rsid w:val="00AC328D"/>
    <w:rsid w:val="00AC390C"/>
    <w:rsid w:val="00AC6098"/>
    <w:rsid w:val="00AD15AF"/>
    <w:rsid w:val="00AD2DD2"/>
    <w:rsid w:val="00AD4AEA"/>
    <w:rsid w:val="00AD515A"/>
    <w:rsid w:val="00AE0DB2"/>
    <w:rsid w:val="00AE3199"/>
    <w:rsid w:val="00AF0251"/>
    <w:rsid w:val="00AF0881"/>
    <w:rsid w:val="00AF0B0F"/>
    <w:rsid w:val="00AF2023"/>
    <w:rsid w:val="00AF481F"/>
    <w:rsid w:val="00AF4AE6"/>
    <w:rsid w:val="00AF696A"/>
    <w:rsid w:val="00B01641"/>
    <w:rsid w:val="00B016F1"/>
    <w:rsid w:val="00B0268A"/>
    <w:rsid w:val="00B057A4"/>
    <w:rsid w:val="00B057D5"/>
    <w:rsid w:val="00B075B6"/>
    <w:rsid w:val="00B12004"/>
    <w:rsid w:val="00B14AE1"/>
    <w:rsid w:val="00B16106"/>
    <w:rsid w:val="00B164D6"/>
    <w:rsid w:val="00B168A7"/>
    <w:rsid w:val="00B17D67"/>
    <w:rsid w:val="00B2147E"/>
    <w:rsid w:val="00B23F18"/>
    <w:rsid w:val="00B245A7"/>
    <w:rsid w:val="00B24A7D"/>
    <w:rsid w:val="00B24BF6"/>
    <w:rsid w:val="00B25B12"/>
    <w:rsid w:val="00B30D26"/>
    <w:rsid w:val="00B31F90"/>
    <w:rsid w:val="00B323B9"/>
    <w:rsid w:val="00B349FA"/>
    <w:rsid w:val="00B34E4E"/>
    <w:rsid w:val="00B3754D"/>
    <w:rsid w:val="00B377AC"/>
    <w:rsid w:val="00B404D7"/>
    <w:rsid w:val="00B422A3"/>
    <w:rsid w:val="00B45298"/>
    <w:rsid w:val="00B466E8"/>
    <w:rsid w:val="00B4736C"/>
    <w:rsid w:val="00B50FB5"/>
    <w:rsid w:val="00B51BD0"/>
    <w:rsid w:val="00B51CEB"/>
    <w:rsid w:val="00B525B9"/>
    <w:rsid w:val="00B544A6"/>
    <w:rsid w:val="00B55D8A"/>
    <w:rsid w:val="00B5615F"/>
    <w:rsid w:val="00B57BDA"/>
    <w:rsid w:val="00B60451"/>
    <w:rsid w:val="00B60BA0"/>
    <w:rsid w:val="00B613A7"/>
    <w:rsid w:val="00B65429"/>
    <w:rsid w:val="00B6585B"/>
    <w:rsid w:val="00B701A0"/>
    <w:rsid w:val="00B7220B"/>
    <w:rsid w:val="00B73036"/>
    <w:rsid w:val="00B73787"/>
    <w:rsid w:val="00B73946"/>
    <w:rsid w:val="00B745D9"/>
    <w:rsid w:val="00B75353"/>
    <w:rsid w:val="00B7616D"/>
    <w:rsid w:val="00B76555"/>
    <w:rsid w:val="00B774AB"/>
    <w:rsid w:val="00B777F9"/>
    <w:rsid w:val="00B77D1C"/>
    <w:rsid w:val="00B818C1"/>
    <w:rsid w:val="00B826A2"/>
    <w:rsid w:val="00B856EB"/>
    <w:rsid w:val="00B863F4"/>
    <w:rsid w:val="00B87B73"/>
    <w:rsid w:val="00B947E3"/>
    <w:rsid w:val="00B96BAE"/>
    <w:rsid w:val="00BA14A6"/>
    <w:rsid w:val="00BA4A17"/>
    <w:rsid w:val="00BA4A22"/>
    <w:rsid w:val="00BA722E"/>
    <w:rsid w:val="00BB05E6"/>
    <w:rsid w:val="00BB0BFE"/>
    <w:rsid w:val="00BB133C"/>
    <w:rsid w:val="00BB2767"/>
    <w:rsid w:val="00BB45A0"/>
    <w:rsid w:val="00BB4DFB"/>
    <w:rsid w:val="00BC1CD7"/>
    <w:rsid w:val="00BC2A73"/>
    <w:rsid w:val="00BC45A7"/>
    <w:rsid w:val="00BC516A"/>
    <w:rsid w:val="00BD017E"/>
    <w:rsid w:val="00BD1414"/>
    <w:rsid w:val="00BD478F"/>
    <w:rsid w:val="00BD51B6"/>
    <w:rsid w:val="00BD6F53"/>
    <w:rsid w:val="00BD77BE"/>
    <w:rsid w:val="00BD787F"/>
    <w:rsid w:val="00BE2882"/>
    <w:rsid w:val="00BE59E1"/>
    <w:rsid w:val="00BF246D"/>
    <w:rsid w:val="00BF2A11"/>
    <w:rsid w:val="00BF2E62"/>
    <w:rsid w:val="00BF3371"/>
    <w:rsid w:val="00BF3C1C"/>
    <w:rsid w:val="00BF48A3"/>
    <w:rsid w:val="00BF4BEC"/>
    <w:rsid w:val="00BF507D"/>
    <w:rsid w:val="00C008FC"/>
    <w:rsid w:val="00C00DDF"/>
    <w:rsid w:val="00C05A97"/>
    <w:rsid w:val="00C0606B"/>
    <w:rsid w:val="00C0679A"/>
    <w:rsid w:val="00C10541"/>
    <w:rsid w:val="00C109FA"/>
    <w:rsid w:val="00C14E3F"/>
    <w:rsid w:val="00C17926"/>
    <w:rsid w:val="00C21BFD"/>
    <w:rsid w:val="00C22D93"/>
    <w:rsid w:val="00C23866"/>
    <w:rsid w:val="00C240FD"/>
    <w:rsid w:val="00C24F63"/>
    <w:rsid w:val="00C25247"/>
    <w:rsid w:val="00C25391"/>
    <w:rsid w:val="00C27F84"/>
    <w:rsid w:val="00C31524"/>
    <w:rsid w:val="00C3350C"/>
    <w:rsid w:val="00C33EB0"/>
    <w:rsid w:val="00C36A24"/>
    <w:rsid w:val="00C36D1A"/>
    <w:rsid w:val="00C40D81"/>
    <w:rsid w:val="00C42137"/>
    <w:rsid w:val="00C4574E"/>
    <w:rsid w:val="00C45AA9"/>
    <w:rsid w:val="00C47D94"/>
    <w:rsid w:val="00C50D83"/>
    <w:rsid w:val="00C523F4"/>
    <w:rsid w:val="00C5394B"/>
    <w:rsid w:val="00C626D1"/>
    <w:rsid w:val="00C62A99"/>
    <w:rsid w:val="00C65D1A"/>
    <w:rsid w:val="00C67404"/>
    <w:rsid w:val="00C67B03"/>
    <w:rsid w:val="00C70F3F"/>
    <w:rsid w:val="00C741B4"/>
    <w:rsid w:val="00C755FE"/>
    <w:rsid w:val="00C76139"/>
    <w:rsid w:val="00C76DAE"/>
    <w:rsid w:val="00C777C3"/>
    <w:rsid w:val="00C81057"/>
    <w:rsid w:val="00C810AE"/>
    <w:rsid w:val="00C83B62"/>
    <w:rsid w:val="00C84C29"/>
    <w:rsid w:val="00C85E55"/>
    <w:rsid w:val="00C86D99"/>
    <w:rsid w:val="00C91865"/>
    <w:rsid w:val="00C9227E"/>
    <w:rsid w:val="00C924DF"/>
    <w:rsid w:val="00C94C13"/>
    <w:rsid w:val="00C957F5"/>
    <w:rsid w:val="00C958B7"/>
    <w:rsid w:val="00C95B20"/>
    <w:rsid w:val="00CA01D1"/>
    <w:rsid w:val="00CA06CD"/>
    <w:rsid w:val="00CA1BD8"/>
    <w:rsid w:val="00CA23BB"/>
    <w:rsid w:val="00CA322B"/>
    <w:rsid w:val="00CA3F9A"/>
    <w:rsid w:val="00CB09BF"/>
    <w:rsid w:val="00CB2C88"/>
    <w:rsid w:val="00CB5F7D"/>
    <w:rsid w:val="00CC176F"/>
    <w:rsid w:val="00CC3E01"/>
    <w:rsid w:val="00CC492E"/>
    <w:rsid w:val="00CC52E4"/>
    <w:rsid w:val="00CC7D1E"/>
    <w:rsid w:val="00CD03A2"/>
    <w:rsid w:val="00CD0B6F"/>
    <w:rsid w:val="00CD1CDE"/>
    <w:rsid w:val="00CD1FC6"/>
    <w:rsid w:val="00CD5A97"/>
    <w:rsid w:val="00CD70ED"/>
    <w:rsid w:val="00CE04AA"/>
    <w:rsid w:val="00CE1AD0"/>
    <w:rsid w:val="00CE2816"/>
    <w:rsid w:val="00CE447A"/>
    <w:rsid w:val="00CE6A17"/>
    <w:rsid w:val="00CF018A"/>
    <w:rsid w:val="00CF0AF1"/>
    <w:rsid w:val="00CF0BE4"/>
    <w:rsid w:val="00CF2A24"/>
    <w:rsid w:val="00CF35E4"/>
    <w:rsid w:val="00CF669B"/>
    <w:rsid w:val="00D008AC"/>
    <w:rsid w:val="00D00DCD"/>
    <w:rsid w:val="00D06374"/>
    <w:rsid w:val="00D10E66"/>
    <w:rsid w:val="00D12899"/>
    <w:rsid w:val="00D13BCB"/>
    <w:rsid w:val="00D14220"/>
    <w:rsid w:val="00D1498A"/>
    <w:rsid w:val="00D14A43"/>
    <w:rsid w:val="00D1589E"/>
    <w:rsid w:val="00D15996"/>
    <w:rsid w:val="00D174F7"/>
    <w:rsid w:val="00D17D00"/>
    <w:rsid w:val="00D17E79"/>
    <w:rsid w:val="00D20B53"/>
    <w:rsid w:val="00D2174D"/>
    <w:rsid w:val="00D221F2"/>
    <w:rsid w:val="00D26D5D"/>
    <w:rsid w:val="00D30A30"/>
    <w:rsid w:val="00D31694"/>
    <w:rsid w:val="00D32978"/>
    <w:rsid w:val="00D336B5"/>
    <w:rsid w:val="00D339BE"/>
    <w:rsid w:val="00D36973"/>
    <w:rsid w:val="00D37795"/>
    <w:rsid w:val="00D37B3A"/>
    <w:rsid w:val="00D407D5"/>
    <w:rsid w:val="00D40E97"/>
    <w:rsid w:val="00D4119A"/>
    <w:rsid w:val="00D42D15"/>
    <w:rsid w:val="00D44D55"/>
    <w:rsid w:val="00D44E4C"/>
    <w:rsid w:val="00D45947"/>
    <w:rsid w:val="00D47C30"/>
    <w:rsid w:val="00D50E08"/>
    <w:rsid w:val="00D5277F"/>
    <w:rsid w:val="00D52A31"/>
    <w:rsid w:val="00D52CE0"/>
    <w:rsid w:val="00D53FEF"/>
    <w:rsid w:val="00D55D18"/>
    <w:rsid w:val="00D55E15"/>
    <w:rsid w:val="00D57A82"/>
    <w:rsid w:val="00D61183"/>
    <w:rsid w:val="00D662E8"/>
    <w:rsid w:val="00D676E9"/>
    <w:rsid w:val="00D72689"/>
    <w:rsid w:val="00D82419"/>
    <w:rsid w:val="00D827D8"/>
    <w:rsid w:val="00D87C1E"/>
    <w:rsid w:val="00D90287"/>
    <w:rsid w:val="00D90391"/>
    <w:rsid w:val="00D90F07"/>
    <w:rsid w:val="00D91620"/>
    <w:rsid w:val="00D91F85"/>
    <w:rsid w:val="00D9276B"/>
    <w:rsid w:val="00D9393F"/>
    <w:rsid w:val="00D94FCE"/>
    <w:rsid w:val="00D965A3"/>
    <w:rsid w:val="00D97F05"/>
    <w:rsid w:val="00DA0695"/>
    <w:rsid w:val="00DA2AE6"/>
    <w:rsid w:val="00DA370D"/>
    <w:rsid w:val="00DA3923"/>
    <w:rsid w:val="00DA4EC2"/>
    <w:rsid w:val="00DA4F0D"/>
    <w:rsid w:val="00DB00AB"/>
    <w:rsid w:val="00DB09CE"/>
    <w:rsid w:val="00DB50B7"/>
    <w:rsid w:val="00DB61C4"/>
    <w:rsid w:val="00DB62C7"/>
    <w:rsid w:val="00DC095F"/>
    <w:rsid w:val="00DC2F96"/>
    <w:rsid w:val="00DC3F82"/>
    <w:rsid w:val="00DC4622"/>
    <w:rsid w:val="00DC47A2"/>
    <w:rsid w:val="00DC73D2"/>
    <w:rsid w:val="00DD2BE8"/>
    <w:rsid w:val="00DD3140"/>
    <w:rsid w:val="00DD3C1B"/>
    <w:rsid w:val="00DD4294"/>
    <w:rsid w:val="00DD4508"/>
    <w:rsid w:val="00DD4530"/>
    <w:rsid w:val="00DE0523"/>
    <w:rsid w:val="00DE0C64"/>
    <w:rsid w:val="00DE2B96"/>
    <w:rsid w:val="00DE389C"/>
    <w:rsid w:val="00DE4063"/>
    <w:rsid w:val="00DE4D93"/>
    <w:rsid w:val="00DE6275"/>
    <w:rsid w:val="00DE6D90"/>
    <w:rsid w:val="00DF04EA"/>
    <w:rsid w:val="00DF13A1"/>
    <w:rsid w:val="00DF1C5D"/>
    <w:rsid w:val="00DF1EFA"/>
    <w:rsid w:val="00DF3489"/>
    <w:rsid w:val="00DF4C48"/>
    <w:rsid w:val="00DF5DC8"/>
    <w:rsid w:val="00E0060C"/>
    <w:rsid w:val="00E013DD"/>
    <w:rsid w:val="00E050EA"/>
    <w:rsid w:val="00E065F7"/>
    <w:rsid w:val="00E06847"/>
    <w:rsid w:val="00E101D4"/>
    <w:rsid w:val="00E10F3D"/>
    <w:rsid w:val="00E1217C"/>
    <w:rsid w:val="00E13D75"/>
    <w:rsid w:val="00E143E8"/>
    <w:rsid w:val="00E1724C"/>
    <w:rsid w:val="00E17522"/>
    <w:rsid w:val="00E2162C"/>
    <w:rsid w:val="00E2167E"/>
    <w:rsid w:val="00E219C4"/>
    <w:rsid w:val="00E21D78"/>
    <w:rsid w:val="00E21E5B"/>
    <w:rsid w:val="00E23E23"/>
    <w:rsid w:val="00E24220"/>
    <w:rsid w:val="00E25EB2"/>
    <w:rsid w:val="00E26827"/>
    <w:rsid w:val="00E27CF1"/>
    <w:rsid w:val="00E32B67"/>
    <w:rsid w:val="00E33036"/>
    <w:rsid w:val="00E35AFF"/>
    <w:rsid w:val="00E368C6"/>
    <w:rsid w:val="00E369D7"/>
    <w:rsid w:val="00E373A8"/>
    <w:rsid w:val="00E3752F"/>
    <w:rsid w:val="00E37AD7"/>
    <w:rsid w:val="00E40313"/>
    <w:rsid w:val="00E41F0E"/>
    <w:rsid w:val="00E43758"/>
    <w:rsid w:val="00E43CAD"/>
    <w:rsid w:val="00E44F4B"/>
    <w:rsid w:val="00E45AC0"/>
    <w:rsid w:val="00E46535"/>
    <w:rsid w:val="00E46931"/>
    <w:rsid w:val="00E47517"/>
    <w:rsid w:val="00E47B33"/>
    <w:rsid w:val="00E50AF4"/>
    <w:rsid w:val="00E50ECF"/>
    <w:rsid w:val="00E5171B"/>
    <w:rsid w:val="00E51885"/>
    <w:rsid w:val="00E52A8A"/>
    <w:rsid w:val="00E52F42"/>
    <w:rsid w:val="00E536E2"/>
    <w:rsid w:val="00E55819"/>
    <w:rsid w:val="00E57F9C"/>
    <w:rsid w:val="00E626F7"/>
    <w:rsid w:val="00E6630B"/>
    <w:rsid w:val="00E70030"/>
    <w:rsid w:val="00E703BA"/>
    <w:rsid w:val="00E70AD9"/>
    <w:rsid w:val="00E72591"/>
    <w:rsid w:val="00E728A8"/>
    <w:rsid w:val="00E744D5"/>
    <w:rsid w:val="00E74C43"/>
    <w:rsid w:val="00E74EBD"/>
    <w:rsid w:val="00E80464"/>
    <w:rsid w:val="00E815D2"/>
    <w:rsid w:val="00E83308"/>
    <w:rsid w:val="00E8415B"/>
    <w:rsid w:val="00E863CE"/>
    <w:rsid w:val="00E86505"/>
    <w:rsid w:val="00E86670"/>
    <w:rsid w:val="00E86D31"/>
    <w:rsid w:val="00E90404"/>
    <w:rsid w:val="00E917C1"/>
    <w:rsid w:val="00E91EB7"/>
    <w:rsid w:val="00E92B4A"/>
    <w:rsid w:val="00E93634"/>
    <w:rsid w:val="00E952A6"/>
    <w:rsid w:val="00E97ED7"/>
    <w:rsid w:val="00EA034E"/>
    <w:rsid w:val="00EA41BC"/>
    <w:rsid w:val="00EA47D0"/>
    <w:rsid w:val="00EA4D0F"/>
    <w:rsid w:val="00EA51F8"/>
    <w:rsid w:val="00EA53FF"/>
    <w:rsid w:val="00EA63A7"/>
    <w:rsid w:val="00EA6998"/>
    <w:rsid w:val="00EA6F0B"/>
    <w:rsid w:val="00EB0587"/>
    <w:rsid w:val="00EB0992"/>
    <w:rsid w:val="00EB1A8B"/>
    <w:rsid w:val="00EB71F0"/>
    <w:rsid w:val="00EB7C96"/>
    <w:rsid w:val="00EC12FC"/>
    <w:rsid w:val="00EC1B7F"/>
    <w:rsid w:val="00EC21E5"/>
    <w:rsid w:val="00EC2B61"/>
    <w:rsid w:val="00EC3DA9"/>
    <w:rsid w:val="00EC593A"/>
    <w:rsid w:val="00EC5DD1"/>
    <w:rsid w:val="00EC6F5B"/>
    <w:rsid w:val="00EC776C"/>
    <w:rsid w:val="00ED0091"/>
    <w:rsid w:val="00ED047B"/>
    <w:rsid w:val="00ED25BB"/>
    <w:rsid w:val="00ED2687"/>
    <w:rsid w:val="00ED2E32"/>
    <w:rsid w:val="00ED7407"/>
    <w:rsid w:val="00ED7E16"/>
    <w:rsid w:val="00EE003F"/>
    <w:rsid w:val="00EE0E00"/>
    <w:rsid w:val="00EE3FB2"/>
    <w:rsid w:val="00EE5161"/>
    <w:rsid w:val="00EE720E"/>
    <w:rsid w:val="00EF313F"/>
    <w:rsid w:val="00EF38D1"/>
    <w:rsid w:val="00EF594B"/>
    <w:rsid w:val="00EF6869"/>
    <w:rsid w:val="00EF6FE9"/>
    <w:rsid w:val="00EF76C1"/>
    <w:rsid w:val="00F011B6"/>
    <w:rsid w:val="00F01C3D"/>
    <w:rsid w:val="00F02AD7"/>
    <w:rsid w:val="00F10A0A"/>
    <w:rsid w:val="00F11107"/>
    <w:rsid w:val="00F11957"/>
    <w:rsid w:val="00F127FC"/>
    <w:rsid w:val="00F167BD"/>
    <w:rsid w:val="00F22868"/>
    <w:rsid w:val="00F23F42"/>
    <w:rsid w:val="00F241F4"/>
    <w:rsid w:val="00F31ACD"/>
    <w:rsid w:val="00F33EB0"/>
    <w:rsid w:val="00F3563D"/>
    <w:rsid w:val="00F36C35"/>
    <w:rsid w:val="00F420DD"/>
    <w:rsid w:val="00F42346"/>
    <w:rsid w:val="00F430FC"/>
    <w:rsid w:val="00F441B8"/>
    <w:rsid w:val="00F465BA"/>
    <w:rsid w:val="00F4674E"/>
    <w:rsid w:val="00F47886"/>
    <w:rsid w:val="00F520DF"/>
    <w:rsid w:val="00F543D0"/>
    <w:rsid w:val="00F54742"/>
    <w:rsid w:val="00F54E45"/>
    <w:rsid w:val="00F57063"/>
    <w:rsid w:val="00F57416"/>
    <w:rsid w:val="00F57AD2"/>
    <w:rsid w:val="00F6062E"/>
    <w:rsid w:val="00F6198C"/>
    <w:rsid w:val="00F61A89"/>
    <w:rsid w:val="00F6469B"/>
    <w:rsid w:val="00F66A40"/>
    <w:rsid w:val="00F67117"/>
    <w:rsid w:val="00F70E1D"/>
    <w:rsid w:val="00F738C5"/>
    <w:rsid w:val="00F742CE"/>
    <w:rsid w:val="00F76609"/>
    <w:rsid w:val="00F80AC6"/>
    <w:rsid w:val="00F83209"/>
    <w:rsid w:val="00F93360"/>
    <w:rsid w:val="00F956DB"/>
    <w:rsid w:val="00F96045"/>
    <w:rsid w:val="00FA059B"/>
    <w:rsid w:val="00FA10BB"/>
    <w:rsid w:val="00FA1985"/>
    <w:rsid w:val="00FA25A5"/>
    <w:rsid w:val="00FA2DD8"/>
    <w:rsid w:val="00FA35F2"/>
    <w:rsid w:val="00FA5ABE"/>
    <w:rsid w:val="00FB1BFA"/>
    <w:rsid w:val="00FB2D68"/>
    <w:rsid w:val="00FB450C"/>
    <w:rsid w:val="00FB5453"/>
    <w:rsid w:val="00FB60C3"/>
    <w:rsid w:val="00FC5806"/>
    <w:rsid w:val="00FC64B0"/>
    <w:rsid w:val="00FD06F0"/>
    <w:rsid w:val="00FD2B8B"/>
    <w:rsid w:val="00FD3874"/>
    <w:rsid w:val="00FD3FDA"/>
    <w:rsid w:val="00FD7F4C"/>
    <w:rsid w:val="00FE348C"/>
    <w:rsid w:val="00FE3DDF"/>
    <w:rsid w:val="00FE46FA"/>
    <w:rsid w:val="00FE4B18"/>
    <w:rsid w:val="00FE62C4"/>
    <w:rsid w:val="00FE7DB7"/>
    <w:rsid w:val="00FF0E8C"/>
    <w:rsid w:val="00FF1302"/>
    <w:rsid w:val="00FF1F99"/>
    <w:rsid w:val="00FF22A0"/>
    <w:rsid w:val="00FF39D6"/>
    <w:rsid w:val="00FF69D4"/>
    <w:rsid w:val="00FF7555"/>
    <w:rsid w:val="00FF7A1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3B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B7305"/>
    <w:pPr>
      <w:keepNext/>
      <w:keepLines/>
      <w:pBdr>
        <w:bottom w:val="single" w:sz="4" w:space="1" w:color="1F497D" w:themeColor="text2"/>
      </w:pBdr>
      <w:spacing w:before="480" w:after="0"/>
      <w:outlineLvl w:val="0"/>
    </w:pPr>
    <w:rPr>
      <w:rFonts w:asciiTheme="majorHAnsi" w:eastAsiaTheme="majorEastAsia" w:hAnsiTheme="majorHAnsi" w:cstheme="majorBidi"/>
      <w:bCs/>
      <w:color w:val="365F91" w:themeColor="accent1" w:themeShade="BF"/>
      <w:sz w:val="52"/>
      <w:szCs w:val="28"/>
    </w:rPr>
  </w:style>
  <w:style w:type="paragraph" w:styleId="Ttulo2">
    <w:name w:val="heading 2"/>
    <w:basedOn w:val="Normal"/>
    <w:next w:val="Normal"/>
    <w:link w:val="Ttulo2Car"/>
    <w:uiPriority w:val="9"/>
    <w:unhideWhenUsed/>
    <w:qFormat/>
    <w:rsid w:val="007A64A0"/>
    <w:pPr>
      <w:keepNext/>
      <w:keepLines/>
      <w:spacing w:before="200" w:after="0"/>
      <w:jc w:val="center"/>
      <w:outlineLvl w:val="1"/>
    </w:pPr>
    <w:rPr>
      <w:rFonts w:ascii="Arial Narrow" w:eastAsiaTheme="majorEastAsia" w:hAnsi="Arial Narrow" w:cstheme="majorBidi"/>
      <w:b/>
      <w:bCs/>
      <w:sz w:val="28"/>
      <w:szCs w:val="26"/>
    </w:rPr>
  </w:style>
  <w:style w:type="paragraph" w:styleId="Ttulo3">
    <w:name w:val="heading 3"/>
    <w:basedOn w:val="Normal"/>
    <w:next w:val="Normal"/>
    <w:link w:val="Ttulo3Car"/>
    <w:uiPriority w:val="9"/>
    <w:unhideWhenUsed/>
    <w:qFormat/>
    <w:rsid w:val="00677E1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77E1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677E1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ubpárrafo"/>
    <w:basedOn w:val="Normal"/>
    <w:uiPriority w:val="34"/>
    <w:qFormat/>
    <w:rsid w:val="001A4E17"/>
    <w:pPr>
      <w:ind w:left="720"/>
      <w:contextualSpacing/>
    </w:pPr>
  </w:style>
  <w:style w:type="table" w:styleId="Tablaconcuadrcula">
    <w:name w:val="Table Grid"/>
    <w:basedOn w:val="Tablanormal"/>
    <w:uiPriority w:val="59"/>
    <w:rsid w:val="004D5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01081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10811"/>
    <w:rPr>
      <w:sz w:val="20"/>
      <w:szCs w:val="20"/>
    </w:rPr>
  </w:style>
  <w:style w:type="character" w:styleId="Refdenotaalpie">
    <w:name w:val="footnote reference"/>
    <w:aliases w:val="sobrescrito,Ref. de nota al pi,Ref,de nota al pie,referencia nota al pie,Fußnotenzeichen DISS,FC,(NECG) Footnote Reference,o,fr,Style 3,Appel note de bas de p,Style 12,Style 124,Ftnt ref 2,Texto de nota al pie,titulo 2,ftref,16 Point"/>
    <w:basedOn w:val="Fuentedeprrafopredeter"/>
    <w:uiPriority w:val="99"/>
    <w:unhideWhenUsed/>
    <w:qFormat/>
    <w:rsid w:val="00010811"/>
    <w:rPr>
      <w:vertAlign w:val="superscript"/>
    </w:rPr>
  </w:style>
  <w:style w:type="paragraph" w:styleId="Textodeglobo">
    <w:name w:val="Balloon Text"/>
    <w:basedOn w:val="Normal"/>
    <w:link w:val="TextodegloboCar"/>
    <w:uiPriority w:val="99"/>
    <w:semiHidden/>
    <w:unhideWhenUsed/>
    <w:rsid w:val="00B761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616D"/>
    <w:rPr>
      <w:rFonts w:ascii="Tahoma" w:hAnsi="Tahoma" w:cs="Tahoma"/>
      <w:sz w:val="16"/>
      <w:szCs w:val="16"/>
    </w:rPr>
  </w:style>
  <w:style w:type="paragraph" w:customStyle="1" w:styleId="BasicParagraph">
    <w:name w:val="[Basic Paragraph]"/>
    <w:basedOn w:val="Normal"/>
    <w:uiPriority w:val="99"/>
    <w:rsid w:val="00B7616D"/>
    <w:pPr>
      <w:autoSpaceDE w:val="0"/>
      <w:autoSpaceDN w:val="0"/>
      <w:adjustRightInd w:val="0"/>
      <w:spacing w:after="0" w:line="288" w:lineRule="auto"/>
      <w:textAlignment w:val="center"/>
    </w:pPr>
    <w:rPr>
      <w:rFonts w:ascii="Swis721 Cn BT" w:hAnsi="Swis721 Cn BT"/>
      <w:color w:val="000000"/>
      <w:sz w:val="24"/>
      <w:szCs w:val="24"/>
      <w:lang w:val="es-ES_tradnl"/>
    </w:rPr>
  </w:style>
  <w:style w:type="character" w:customStyle="1" w:styleId="negritatablas">
    <w:name w:val="negrita tablas"/>
    <w:uiPriority w:val="99"/>
    <w:rsid w:val="00B7616D"/>
    <w:rPr>
      <w:rFonts w:ascii="Swis721 Cn BT" w:hAnsi="Swis721 Cn BT" w:cs="Swis721 Cn BT"/>
      <w:b/>
      <w:bCs/>
      <w:sz w:val="16"/>
      <w:szCs w:val="16"/>
    </w:rPr>
  </w:style>
  <w:style w:type="character" w:customStyle="1" w:styleId="cuerpodetextotablas">
    <w:name w:val="cuerpo de texto tablas"/>
    <w:uiPriority w:val="99"/>
    <w:rsid w:val="00B7616D"/>
    <w:rPr>
      <w:rFonts w:ascii="Swis721 LtCn BT" w:hAnsi="Swis721 LtCn BT" w:cs="Swis721 LtCn BT"/>
      <w:sz w:val="16"/>
      <w:szCs w:val="16"/>
    </w:rPr>
  </w:style>
  <w:style w:type="paragraph" w:customStyle="1" w:styleId="NoParagraphStyle">
    <w:name w:val="[No Paragraph Style]"/>
    <w:rsid w:val="00B7616D"/>
    <w:pPr>
      <w:autoSpaceDE w:val="0"/>
      <w:autoSpaceDN w:val="0"/>
      <w:adjustRightInd w:val="0"/>
      <w:spacing w:after="0" w:line="288" w:lineRule="auto"/>
      <w:textAlignment w:val="center"/>
    </w:pPr>
    <w:rPr>
      <w:rFonts w:ascii="Swis721 LtCn BT" w:hAnsi="Swis721 LtCn BT"/>
      <w:color w:val="000000"/>
      <w:sz w:val="24"/>
      <w:szCs w:val="24"/>
      <w:lang w:val="es-ES_tradnl"/>
    </w:rPr>
  </w:style>
  <w:style w:type="paragraph" w:styleId="Encabezado">
    <w:name w:val="header"/>
    <w:basedOn w:val="Normal"/>
    <w:link w:val="EncabezadoCar"/>
    <w:uiPriority w:val="99"/>
    <w:unhideWhenUsed/>
    <w:rsid w:val="00337D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7D1C"/>
  </w:style>
  <w:style w:type="paragraph" w:styleId="Piedepgina">
    <w:name w:val="footer"/>
    <w:basedOn w:val="Normal"/>
    <w:link w:val="PiedepginaCar"/>
    <w:uiPriority w:val="99"/>
    <w:unhideWhenUsed/>
    <w:rsid w:val="00337D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7D1C"/>
  </w:style>
  <w:style w:type="character" w:customStyle="1" w:styleId="subtitulo1">
    <w:name w:val="subtitulo 1"/>
    <w:uiPriority w:val="99"/>
    <w:rsid w:val="003F54AD"/>
    <w:rPr>
      <w:rFonts w:ascii="RotisSemiSans" w:hAnsi="RotisSemiSans" w:cs="RotisSemiSans"/>
      <w:sz w:val="40"/>
      <w:szCs w:val="40"/>
    </w:rPr>
  </w:style>
  <w:style w:type="character" w:customStyle="1" w:styleId="negritanombre">
    <w:name w:val="negrita nombre"/>
    <w:uiPriority w:val="99"/>
    <w:rsid w:val="003F54AD"/>
    <w:rPr>
      <w:rFonts w:ascii="Myriad Pro Light" w:hAnsi="Myriad Pro Light" w:cs="Myriad Pro Light"/>
      <w:color w:val="001932"/>
      <w:sz w:val="19"/>
      <w:szCs w:val="19"/>
    </w:rPr>
  </w:style>
  <w:style w:type="character" w:customStyle="1" w:styleId="cuerpodetexto">
    <w:name w:val="cuerpo de texto"/>
    <w:uiPriority w:val="99"/>
    <w:rsid w:val="003F54AD"/>
    <w:rPr>
      <w:rFonts w:ascii="Frutiger LT Std 45 Light" w:hAnsi="Frutiger LT Std 45 Light" w:cs="Frutiger LT Std 45 Light"/>
      <w:color w:val="001919"/>
      <w:sz w:val="20"/>
      <w:szCs w:val="20"/>
    </w:rPr>
  </w:style>
  <w:style w:type="character" w:customStyle="1" w:styleId="titulodecapitulo">
    <w:name w:val="titulo de capitulo"/>
    <w:uiPriority w:val="99"/>
    <w:rsid w:val="00AE0DB2"/>
    <w:rPr>
      <w:rFonts w:ascii="Frutiger LT Std 57 Cn" w:hAnsi="Frutiger LT Std 57 Cn" w:cs="Frutiger LT Std 57 Cn"/>
      <w:color w:val="3F5865"/>
      <w:sz w:val="60"/>
      <w:szCs w:val="60"/>
    </w:rPr>
  </w:style>
  <w:style w:type="character" w:customStyle="1" w:styleId="negrita">
    <w:name w:val="negrita"/>
    <w:uiPriority w:val="99"/>
    <w:rsid w:val="00AE0DB2"/>
    <w:rPr>
      <w:rFonts w:ascii="Frutiger LT Std 45 Light" w:hAnsi="Frutiger LT Std 45 Light" w:cs="Frutiger LT Std 45 Light"/>
      <w:b/>
      <w:bCs/>
      <w:color w:val="293941"/>
      <w:sz w:val="20"/>
      <w:szCs w:val="20"/>
    </w:rPr>
  </w:style>
  <w:style w:type="character" w:customStyle="1" w:styleId="titulodecuadroygrafico">
    <w:name w:val="titulo de cuadro y grafico"/>
    <w:uiPriority w:val="99"/>
    <w:rsid w:val="00AE0DB2"/>
    <w:rPr>
      <w:rFonts w:ascii="Frutiger LT Std 47 Light Cn" w:hAnsi="Frutiger LT Std 47 Light Cn" w:cs="Frutiger LT Std 47 Light Cn"/>
      <w:b/>
      <w:bCs/>
      <w:color w:val="293941"/>
      <w:sz w:val="22"/>
      <w:szCs w:val="22"/>
    </w:rPr>
  </w:style>
  <w:style w:type="character" w:customStyle="1" w:styleId="subtitulo2">
    <w:name w:val="subtitulo 2"/>
    <w:uiPriority w:val="99"/>
    <w:rsid w:val="00AE0DB2"/>
    <w:rPr>
      <w:rFonts w:ascii="RotisSemiSans" w:hAnsi="RotisSemiSans" w:cs="RotisSemiSans"/>
      <w:sz w:val="28"/>
      <w:szCs w:val="28"/>
    </w:rPr>
  </w:style>
  <w:style w:type="character" w:customStyle="1" w:styleId="cursiva">
    <w:name w:val="cursiva"/>
    <w:uiPriority w:val="99"/>
    <w:rsid w:val="005E582A"/>
    <w:rPr>
      <w:rFonts w:ascii="Frutiger LT Std 45 Light" w:hAnsi="Frutiger LT Std 45 Light" w:cs="Frutiger LT Std 45 Light"/>
      <w:i/>
      <w:iCs/>
      <w:color w:val="293941"/>
      <w:sz w:val="20"/>
      <w:szCs w:val="20"/>
    </w:rPr>
  </w:style>
  <w:style w:type="character" w:customStyle="1" w:styleId="piedepgina0">
    <w:name w:val="pie de página"/>
    <w:uiPriority w:val="99"/>
    <w:rsid w:val="00DF1C5D"/>
    <w:rPr>
      <w:rFonts w:ascii="Frutiger LT Std 45 Light" w:hAnsi="Frutiger LT Std 45 Light" w:cs="Frutiger LT Std 45 Light"/>
      <w:color w:val="293941"/>
      <w:sz w:val="14"/>
      <w:szCs w:val="14"/>
    </w:rPr>
  </w:style>
  <w:style w:type="character" w:customStyle="1" w:styleId="PIEDEPAGINA">
    <w:name w:val="PIE DE PAGINA"/>
    <w:uiPriority w:val="99"/>
    <w:rsid w:val="00D336B5"/>
    <w:rPr>
      <w:rFonts w:ascii="Frutiger LT Std 47 Light Cn" w:hAnsi="Frutiger LT Std 47 Light Cn" w:cs="Frutiger LT Std 47 Light Cn"/>
      <w:color w:val="293941"/>
      <w:sz w:val="13"/>
      <w:szCs w:val="13"/>
    </w:rPr>
  </w:style>
  <w:style w:type="character" w:customStyle="1" w:styleId="normalcursiva">
    <w:name w:val="normal cursiva"/>
    <w:uiPriority w:val="99"/>
    <w:rsid w:val="005651A3"/>
    <w:rPr>
      <w:rFonts w:ascii="Frutiger LT Std 55 Roman" w:hAnsi="Frutiger LT Std 55 Roman" w:cs="Frutiger LT Std 55 Roman"/>
      <w:i/>
      <w:iCs/>
      <w:color w:val="293941"/>
      <w:sz w:val="20"/>
      <w:szCs w:val="20"/>
    </w:rPr>
  </w:style>
  <w:style w:type="character" w:styleId="Hipervnculo">
    <w:name w:val="Hyperlink"/>
    <w:basedOn w:val="Fuentedeprrafopredeter"/>
    <w:uiPriority w:val="99"/>
    <w:unhideWhenUsed/>
    <w:rsid w:val="0002693C"/>
    <w:rPr>
      <w:color w:val="0000FF" w:themeColor="hyperlink"/>
      <w:u w:val="single"/>
    </w:rPr>
  </w:style>
  <w:style w:type="paragraph" w:customStyle="1" w:styleId="Prrafobsico">
    <w:name w:val="[Párrafo básico]"/>
    <w:basedOn w:val="Normal"/>
    <w:uiPriority w:val="99"/>
    <w:rsid w:val="0096546A"/>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character" w:styleId="Refdecomentario">
    <w:name w:val="annotation reference"/>
    <w:basedOn w:val="Fuentedeprrafopredeter"/>
    <w:uiPriority w:val="99"/>
    <w:semiHidden/>
    <w:unhideWhenUsed/>
    <w:rsid w:val="00C5394B"/>
    <w:rPr>
      <w:sz w:val="16"/>
      <w:szCs w:val="16"/>
    </w:rPr>
  </w:style>
  <w:style w:type="paragraph" w:styleId="Textocomentario">
    <w:name w:val="annotation text"/>
    <w:basedOn w:val="Normal"/>
    <w:link w:val="TextocomentarioCar"/>
    <w:uiPriority w:val="99"/>
    <w:unhideWhenUsed/>
    <w:rsid w:val="00C5394B"/>
    <w:pPr>
      <w:spacing w:line="240" w:lineRule="auto"/>
    </w:pPr>
    <w:rPr>
      <w:sz w:val="20"/>
      <w:szCs w:val="20"/>
    </w:rPr>
  </w:style>
  <w:style w:type="character" w:customStyle="1" w:styleId="TextocomentarioCar">
    <w:name w:val="Texto comentario Car"/>
    <w:basedOn w:val="Fuentedeprrafopredeter"/>
    <w:link w:val="Textocomentario"/>
    <w:uiPriority w:val="99"/>
    <w:rsid w:val="00C5394B"/>
    <w:rPr>
      <w:sz w:val="20"/>
      <w:szCs w:val="20"/>
    </w:rPr>
  </w:style>
  <w:style w:type="paragraph" w:styleId="Asuntodelcomentario">
    <w:name w:val="annotation subject"/>
    <w:basedOn w:val="Textocomentario"/>
    <w:next w:val="Textocomentario"/>
    <w:link w:val="AsuntodelcomentarioCar"/>
    <w:uiPriority w:val="99"/>
    <w:semiHidden/>
    <w:unhideWhenUsed/>
    <w:rsid w:val="00C5394B"/>
    <w:rPr>
      <w:b/>
      <w:bCs/>
    </w:rPr>
  </w:style>
  <w:style w:type="character" w:customStyle="1" w:styleId="AsuntodelcomentarioCar">
    <w:name w:val="Asunto del comentario Car"/>
    <w:basedOn w:val="TextocomentarioCar"/>
    <w:link w:val="Asuntodelcomentario"/>
    <w:uiPriority w:val="99"/>
    <w:semiHidden/>
    <w:rsid w:val="00C5394B"/>
    <w:rPr>
      <w:b/>
      <w:bCs/>
      <w:sz w:val="20"/>
      <w:szCs w:val="20"/>
    </w:rPr>
  </w:style>
  <w:style w:type="paragraph" w:styleId="Sinespaciado">
    <w:name w:val="No Spacing"/>
    <w:uiPriority w:val="1"/>
    <w:qFormat/>
    <w:rsid w:val="00F80AC6"/>
    <w:pPr>
      <w:spacing w:after="0" w:line="240" w:lineRule="auto"/>
    </w:pPr>
  </w:style>
  <w:style w:type="paragraph" w:styleId="Bibliografa">
    <w:name w:val="Bibliography"/>
    <w:basedOn w:val="Normal"/>
    <w:next w:val="Normal"/>
    <w:uiPriority w:val="37"/>
    <w:unhideWhenUsed/>
    <w:rsid w:val="00FF7A11"/>
  </w:style>
  <w:style w:type="paragraph" w:styleId="Revisin">
    <w:name w:val="Revision"/>
    <w:hidden/>
    <w:uiPriority w:val="99"/>
    <w:semiHidden/>
    <w:rsid w:val="003A2969"/>
    <w:pPr>
      <w:spacing w:after="0" w:line="240" w:lineRule="auto"/>
    </w:pPr>
  </w:style>
  <w:style w:type="paragraph" w:styleId="NormalWeb">
    <w:name w:val="Normal (Web)"/>
    <w:basedOn w:val="Normal"/>
    <w:uiPriority w:val="99"/>
    <w:semiHidden/>
    <w:unhideWhenUsed/>
    <w:rsid w:val="00F4674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independiente">
    <w:name w:val="Body Text"/>
    <w:basedOn w:val="Normal"/>
    <w:link w:val="TextoindependienteCar"/>
    <w:unhideWhenUsed/>
    <w:rsid w:val="00474E6A"/>
    <w:pPr>
      <w:spacing w:after="0" w:line="240" w:lineRule="auto"/>
      <w:jc w:val="both"/>
    </w:pPr>
    <w:rPr>
      <w:rFonts w:ascii="Garamond" w:eastAsia="Times New Roman" w:hAnsi="Garamond" w:cs="Times New Roman"/>
      <w:sz w:val="24"/>
      <w:szCs w:val="20"/>
      <w:lang w:val="es-ES_tradnl" w:eastAsia="es-ES"/>
    </w:rPr>
  </w:style>
  <w:style w:type="character" w:customStyle="1" w:styleId="TextoindependienteCar">
    <w:name w:val="Texto independiente Car"/>
    <w:basedOn w:val="Fuentedeprrafopredeter"/>
    <w:link w:val="Textoindependiente"/>
    <w:rsid w:val="00474E6A"/>
    <w:rPr>
      <w:rFonts w:ascii="Garamond" w:eastAsia="Times New Roman" w:hAnsi="Garamond" w:cs="Times New Roman"/>
      <w:sz w:val="24"/>
      <w:szCs w:val="20"/>
      <w:lang w:val="es-ES_tradnl" w:eastAsia="es-ES"/>
    </w:rPr>
  </w:style>
  <w:style w:type="paragraph" w:styleId="Textoindependiente2">
    <w:name w:val="Body Text 2"/>
    <w:basedOn w:val="Normal"/>
    <w:link w:val="Textoindependiente2Car"/>
    <w:semiHidden/>
    <w:unhideWhenUsed/>
    <w:rsid w:val="00474E6A"/>
    <w:pPr>
      <w:widowControl w:val="0"/>
      <w:snapToGrid w:val="0"/>
      <w:spacing w:after="0" w:line="240" w:lineRule="auto"/>
      <w:jc w:val="center"/>
    </w:pPr>
    <w:rPr>
      <w:rFonts w:ascii="Times New Roman" w:eastAsia="Times New Roman" w:hAnsi="Times New Roman" w:cs="Times New Roman"/>
      <w:b/>
      <w:i/>
      <w:sz w:val="40"/>
      <w:szCs w:val="20"/>
      <w:lang w:val="en-US" w:eastAsia="es-ES"/>
    </w:rPr>
  </w:style>
  <w:style w:type="character" w:customStyle="1" w:styleId="Textoindependiente2Car">
    <w:name w:val="Texto independiente 2 Car"/>
    <w:basedOn w:val="Fuentedeprrafopredeter"/>
    <w:link w:val="Textoindependiente2"/>
    <w:semiHidden/>
    <w:rsid w:val="00474E6A"/>
    <w:rPr>
      <w:rFonts w:ascii="Times New Roman" w:eastAsia="Times New Roman" w:hAnsi="Times New Roman" w:cs="Times New Roman"/>
      <w:b/>
      <w:i/>
      <w:sz w:val="40"/>
      <w:szCs w:val="20"/>
      <w:lang w:val="en-US" w:eastAsia="es-ES"/>
    </w:rPr>
  </w:style>
  <w:style w:type="table" w:styleId="Cuadrculamedia2-nfasis1">
    <w:name w:val="Medium Grid 2 Accent 1"/>
    <w:basedOn w:val="Tablanormal"/>
    <w:uiPriority w:val="68"/>
    <w:rsid w:val="008E79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Ttulo1Car">
    <w:name w:val="Título 1 Car"/>
    <w:basedOn w:val="Fuentedeprrafopredeter"/>
    <w:link w:val="Ttulo1"/>
    <w:uiPriority w:val="9"/>
    <w:rsid w:val="005B7305"/>
    <w:rPr>
      <w:rFonts w:asciiTheme="majorHAnsi" w:eastAsiaTheme="majorEastAsia" w:hAnsiTheme="majorHAnsi" w:cstheme="majorBidi"/>
      <w:bCs/>
      <w:color w:val="365F91" w:themeColor="accent1" w:themeShade="BF"/>
      <w:sz w:val="52"/>
      <w:szCs w:val="28"/>
    </w:rPr>
  </w:style>
  <w:style w:type="character" w:customStyle="1" w:styleId="Ttulo2Car">
    <w:name w:val="Título 2 Car"/>
    <w:basedOn w:val="Fuentedeprrafopredeter"/>
    <w:link w:val="Ttulo2"/>
    <w:uiPriority w:val="9"/>
    <w:rsid w:val="007A64A0"/>
    <w:rPr>
      <w:rFonts w:ascii="Arial Narrow" w:eastAsiaTheme="majorEastAsia" w:hAnsi="Arial Narrow" w:cstheme="majorBidi"/>
      <w:b/>
      <w:bCs/>
      <w:sz w:val="28"/>
      <w:szCs w:val="26"/>
    </w:rPr>
  </w:style>
  <w:style w:type="character" w:customStyle="1" w:styleId="Ttulo3Car">
    <w:name w:val="Título 3 Car"/>
    <w:basedOn w:val="Fuentedeprrafopredeter"/>
    <w:link w:val="Ttulo3"/>
    <w:uiPriority w:val="9"/>
    <w:rsid w:val="00677E13"/>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677E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77E13"/>
    <w:rPr>
      <w:rFonts w:asciiTheme="majorHAnsi" w:eastAsiaTheme="majorEastAsia" w:hAnsiTheme="majorHAnsi" w:cstheme="majorBidi"/>
      <w:color w:val="17365D" w:themeColor="text2" w:themeShade="BF"/>
      <w:spacing w:val="5"/>
      <w:kern w:val="28"/>
      <w:sz w:val="52"/>
      <w:szCs w:val="52"/>
    </w:rPr>
  </w:style>
  <w:style w:type="character" w:customStyle="1" w:styleId="Ttulo4Car">
    <w:name w:val="Título 4 Car"/>
    <w:basedOn w:val="Fuentedeprrafopredeter"/>
    <w:link w:val="Ttulo4"/>
    <w:uiPriority w:val="9"/>
    <w:rsid w:val="00677E1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677E13"/>
    <w:rPr>
      <w:rFonts w:asciiTheme="majorHAnsi" w:eastAsiaTheme="majorEastAsia" w:hAnsiTheme="majorHAnsi" w:cstheme="majorBidi"/>
      <w:color w:val="243F60" w:themeColor="accent1" w:themeShade="7F"/>
    </w:rPr>
  </w:style>
  <w:style w:type="paragraph" w:styleId="TtulodeTDC">
    <w:name w:val="TOC Heading"/>
    <w:basedOn w:val="Ttulo1"/>
    <w:next w:val="Normal"/>
    <w:uiPriority w:val="39"/>
    <w:unhideWhenUsed/>
    <w:qFormat/>
    <w:rsid w:val="00677E13"/>
    <w:pPr>
      <w:outlineLvl w:val="9"/>
    </w:pPr>
    <w:rPr>
      <w:lang w:eastAsia="es-PE"/>
    </w:rPr>
  </w:style>
  <w:style w:type="paragraph" w:customStyle="1" w:styleId="Ttulo10">
    <w:name w:val="Título1"/>
    <w:basedOn w:val="Ttulo"/>
    <w:link w:val="Ttulo1Car0"/>
    <w:rsid w:val="005B7305"/>
  </w:style>
  <w:style w:type="paragraph" w:styleId="TDC1">
    <w:name w:val="toc 1"/>
    <w:basedOn w:val="Normal"/>
    <w:next w:val="Normal"/>
    <w:autoRedefine/>
    <w:uiPriority w:val="39"/>
    <w:unhideWhenUsed/>
    <w:rsid w:val="00452FA0"/>
    <w:pPr>
      <w:tabs>
        <w:tab w:val="left" w:pos="8080"/>
        <w:tab w:val="right" w:leader="dot" w:pos="8495"/>
      </w:tabs>
      <w:spacing w:after="100"/>
      <w:ind w:left="426"/>
    </w:pPr>
    <w:rPr>
      <w:noProof/>
      <w:lang w:val="es-ES_tradnl"/>
    </w:rPr>
  </w:style>
  <w:style w:type="character" w:customStyle="1" w:styleId="Ttulo1Car0">
    <w:name w:val="Título1 Car"/>
    <w:basedOn w:val="TtuloCar"/>
    <w:link w:val="Ttulo10"/>
    <w:rsid w:val="005B7305"/>
    <w:rPr>
      <w:rFonts w:asciiTheme="majorHAnsi" w:eastAsiaTheme="majorEastAsia" w:hAnsiTheme="majorHAnsi" w:cstheme="majorBidi"/>
      <w:color w:val="17365D" w:themeColor="text2" w:themeShade="BF"/>
      <w:spacing w:val="5"/>
      <w:kern w:val="28"/>
      <w:sz w:val="52"/>
      <w:szCs w:val="52"/>
    </w:rPr>
  </w:style>
  <w:style w:type="paragraph" w:styleId="TDC2">
    <w:name w:val="toc 2"/>
    <w:basedOn w:val="Normal"/>
    <w:next w:val="Normal"/>
    <w:autoRedefine/>
    <w:uiPriority w:val="39"/>
    <w:unhideWhenUsed/>
    <w:rsid w:val="00452FA0"/>
    <w:pPr>
      <w:numPr>
        <w:numId w:val="91"/>
      </w:numPr>
      <w:tabs>
        <w:tab w:val="left" w:pos="8080"/>
        <w:tab w:val="right" w:leader="dot" w:pos="8495"/>
      </w:tabs>
      <w:spacing w:after="100"/>
      <w:ind w:left="42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B7305"/>
    <w:pPr>
      <w:keepNext/>
      <w:keepLines/>
      <w:pBdr>
        <w:bottom w:val="single" w:sz="4" w:space="1" w:color="1F497D" w:themeColor="text2"/>
      </w:pBdr>
      <w:spacing w:before="480" w:after="0"/>
      <w:outlineLvl w:val="0"/>
    </w:pPr>
    <w:rPr>
      <w:rFonts w:asciiTheme="majorHAnsi" w:eastAsiaTheme="majorEastAsia" w:hAnsiTheme="majorHAnsi" w:cstheme="majorBidi"/>
      <w:bCs/>
      <w:color w:val="365F91" w:themeColor="accent1" w:themeShade="BF"/>
      <w:sz w:val="52"/>
      <w:szCs w:val="28"/>
    </w:rPr>
  </w:style>
  <w:style w:type="paragraph" w:styleId="Ttulo2">
    <w:name w:val="heading 2"/>
    <w:basedOn w:val="Normal"/>
    <w:next w:val="Normal"/>
    <w:link w:val="Ttulo2Car"/>
    <w:uiPriority w:val="9"/>
    <w:unhideWhenUsed/>
    <w:qFormat/>
    <w:rsid w:val="007A64A0"/>
    <w:pPr>
      <w:keepNext/>
      <w:keepLines/>
      <w:spacing w:before="200" w:after="0"/>
      <w:jc w:val="center"/>
      <w:outlineLvl w:val="1"/>
    </w:pPr>
    <w:rPr>
      <w:rFonts w:ascii="Arial Narrow" w:eastAsiaTheme="majorEastAsia" w:hAnsi="Arial Narrow" w:cstheme="majorBidi"/>
      <w:b/>
      <w:bCs/>
      <w:sz w:val="28"/>
      <w:szCs w:val="26"/>
    </w:rPr>
  </w:style>
  <w:style w:type="paragraph" w:styleId="Ttulo3">
    <w:name w:val="heading 3"/>
    <w:basedOn w:val="Normal"/>
    <w:next w:val="Normal"/>
    <w:link w:val="Ttulo3Car"/>
    <w:uiPriority w:val="9"/>
    <w:unhideWhenUsed/>
    <w:qFormat/>
    <w:rsid w:val="00677E1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77E1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677E1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ubpárrafo"/>
    <w:basedOn w:val="Normal"/>
    <w:uiPriority w:val="34"/>
    <w:qFormat/>
    <w:rsid w:val="001A4E17"/>
    <w:pPr>
      <w:ind w:left="720"/>
      <w:contextualSpacing/>
    </w:pPr>
  </w:style>
  <w:style w:type="table" w:styleId="Tablaconcuadrcula">
    <w:name w:val="Table Grid"/>
    <w:basedOn w:val="Tablanormal"/>
    <w:uiPriority w:val="59"/>
    <w:rsid w:val="004D5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01081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10811"/>
    <w:rPr>
      <w:sz w:val="20"/>
      <w:szCs w:val="20"/>
    </w:rPr>
  </w:style>
  <w:style w:type="character" w:styleId="Refdenotaalpie">
    <w:name w:val="footnote reference"/>
    <w:aliases w:val="sobrescrito,Ref. de nota al pi,Ref,de nota al pie,referencia nota al pie,Fußnotenzeichen DISS,FC,(NECG) Footnote Reference,o,fr,Style 3,Appel note de bas de p,Style 12,Style 124,Ftnt ref 2,Texto de nota al pie,titulo 2,ftref,16 Point"/>
    <w:basedOn w:val="Fuentedeprrafopredeter"/>
    <w:uiPriority w:val="99"/>
    <w:unhideWhenUsed/>
    <w:qFormat/>
    <w:rsid w:val="00010811"/>
    <w:rPr>
      <w:vertAlign w:val="superscript"/>
    </w:rPr>
  </w:style>
  <w:style w:type="paragraph" w:styleId="Textodeglobo">
    <w:name w:val="Balloon Text"/>
    <w:basedOn w:val="Normal"/>
    <w:link w:val="TextodegloboCar"/>
    <w:uiPriority w:val="99"/>
    <w:semiHidden/>
    <w:unhideWhenUsed/>
    <w:rsid w:val="00B761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616D"/>
    <w:rPr>
      <w:rFonts w:ascii="Tahoma" w:hAnsi="Tahoma" w:cs="Tahoma"/>
      <w:sz w:val="16"/>
      <w:szCs w:val="16"/>
    </w:rPr>
  </w:style>
  <w:style w:type="paragraph" w:customStyle="1" w:styleId="BasicParagraph">
    <w:name w:val="[Basic Paragraph]"/>
    <w:basedOn w:val="Normal"/>
    <w:uiPriority w:val="99"/>
    <w:rsid w:val="00B7616D"/>
    <w:pPr>
      <w:autoSpaceDE w:val="0"/>
      <w:autoSpaceDN w:val="0"/>
      <w:adjustRightInd w:val="0"/>
      <w:spacing w:after="0" w:line="288" w:lineRule="auto"/>
      <w:textAlignment w:val="center"/>
    </w:pPr>
    <w:rPr>
      <w:rFonts w:ascii="Swis721 Cn BT" w:hAnsi="Swis721 Cn BT"/>
      <w:color w:val="000000"/>
      <w:sz w:val="24"/>
      <w:szCs w:val="24"/>
      <w:lang w:val="es-ES_tradnl"/>
    </w:rPr>
  </w:style>
  <w:style w:type="character" w:customStyle="1" w:styleId="negritatablas">
    <w:name w:val="negrita tablas"/>
    <w:uiPriority w:val="99"/>
    <w:rsid w:val="00B7616D"/>
    <w:rPr>
      <w:rFonts w:ascii="Swis721 Cn BT" w:hAnsi="Swis721 Cn BT" w:cs="Swis721 Cn BT"/>
      <w:b/>
      <w:bCs/>
      <w:sz w:val="16"/>
      <w:szCs w:val="16"/>
    </w:rPr>
  </w:style>
  <w:style w:type="character" w:customStyle="1" w:styleId="cuerpodetextotablas">
    <w:name w:val="cuerpo de texto tablas"/>
    <w:uiPriority w:val="99"/>
    <w:rsid w:val="00B7616D"/>
    <w:rPr>
      <w:rFonts w:ascii="Swis721 LtCn BT" w:hAnsi="Swis721 LtCn BT" w:cs="Swis721 LtCn BT"/>
      <w:sz w:val="16"/>
      <w:szCs w:val="16"/>
    </w:rPr>
  </w:style>
  <w:style w:type="paragraph" w:customStyle="1" w:styleId="NoParagraphStyle">
    <w:name w:val="[No Paragraph Style]"/>
    <w:rsid w:val="00B7616D"/>
    <w:pPr>
      <w:autoSpaceDE w:val="0"/>
      <w:autoSpaceDN w:val="0"/>
      <w:adjustRightInd w:val="0"/>
      <w:spacing w:after="0" w:line="288" w:lineRule="auto"/>
      <w:textAlignment w:val="center"/>
    </w:pPr>
    <w:rPr>
      <w:rFonts w:ascii="Swis721 LtCn BT" w:hAnsi="Swis721 LtCn BT"/>
      <w:color w:val="000000"/>
      <w:sz w:val="24"/>
      <w:szCs w:val="24"/>
      <w:lang w:val="es-ES_tradnl"/>
    </w:rPr>
  </w:style>
  <w:style w:type="paragraph" w:styleId="Encabezado">
    <w:name w:val="header"/>
    <w:basedOn w:val="Normal"/>
    <w:link w:val="EncabezadoCar"/>
    <w:uiPriority w:val="99"/>
    <w:unhideWhenUsed/>
    <w:rsid w:val="00337D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7D1C"/>
  </w:style>
  <w:style w:type="paragraph" w:styleId="Piedepgina">
    <w:name w:val="footer"/>
    <w:basedOn w:val="Normal"/>
    <w:link w:val="PiedepginaCar"/>
    <w:uiPriority w:val="99"/>
    <w:unhideWhenUsed/>
    <w:rsid w:val="00337D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7D1C"/>
  </w:style>
  <w:style w:type="character" w:customStyle="1" w:styleId="subtitulo1">
    <w:name w:val="subtitulo 1"/>
    <w:uiPriority w:val="99"/>
    <w:rsid w:val="003F54AD"/>
    <w:rPr>
      <w:rFonts w:ascii="RotisSemiSans" w:hAnsi="RotisSemiSans" w:cs="RotisSemiSans"/>
      <w:sz w:val="40"/>
      <w:szCs w:val="40"/>
    </w:rPr>
  </w:style>
  <w:style w:type="character" w:customStyle="1" w:styleId="negritanombre">
    <w:name w:val="negrita nombre"/>
    <w:uiPriority w:val="99"/>
    <w:rsid w:val="003F54AD"/>
    <w:rPr>
      <w:rFonts w:ascii="Myriad Pro Light" w:hAnsi="Myriad Pro Light" w:cs="Myriad Pro Light"/>
      <w:color w:val="001932"/>
      <w:sz w:val="19"/>
      <w:szCs w:val="19"/>
    </w:rPr>
  </w:style>
  <w:style w:type="character" w:customStyle="1" w:styleId="cuerpodetexto">
    <w:name w:val="cuerpo de texto"/>
    <w:uiPriority w:val="99"/>
    <w:rsid w:val="003F54AD"/>
    <w:rPr>
      <w:rFonts w:ascii="Frutiger LT Std 45 Light" w:hAnsi="Frutiger LT Std 45 Light" w:cs="Frutiger LT Std 45 Light"/>
      <w:color w:val="001919"/>
      <w:sz w:val="20"/>
      <w:szCs w:val="20"/>
    </w:rPr>
  </w:style>
  <w:style w:type="character" w:customStyle="1" w:styleId="titulodecapitulo">
    <w:name w:val="titulo de capitulo"/>
    <w:uiPriority w:val="99"/>
    <w:rsid w:val="00AE0DB2"/>
    <w:rPr>
      <w:rFonts w:ascii="Frutiger LT Std 57 Cn" w:hAnsi="Frutiger LT Std 57 Cn" w:cs="Frutiger LT Std 57 Cn"/>
      <w:color w:val="3F5865"/>
      <w:sz w:val="60"/>
      <w:szCs w:val="60"/>
    </w:rPr>
  </w:style>
  <w:style w:type="character" w:customStyle="1" w:styleId="negrita">
    <w:name w:val="negrita"/>
    <w:uiPriority w:val="99"/>
    <w:rsid w:val="00AE0DB2"/>
    <w:rPr>
      <w:rFonts w:ascii="Frutiger LT Std 45 Light" w:hAnsi="Frutiger LT Std 45 Light" w:cs="Frutiger LT Std 45 Light"/>
      <w:b/>
      <w:bCs/>
      <w:color w:val="293941"/>
      <w:sz w:val="20"/>
      <w:szCs w:val="20"/>
    </w:rPr>
  </w:style>
  <w:style w:type="character" w:customStyle="1" w:styleId="titulodecuadroygrafico">
    <w:name w:val="titulo de cuadro y grafico"/>
    <w:uiPriority w:val="99"/>
    <w:rsid w:val="00AE0DB2"/>
    <w:rPr>
      <w:rFonts w:ascii="Frutiger LT Std 47 Light Cn" w:hAnsi="Frutiger LT Std 47 Light Cn" w:cs="Frutiger LT Std 47 Light Cn"/>
      <w:b/>
      <w:bCs/>
      <w:color w:val="293941"/>
      <w:sz w:val="22"/>
      <w:szCs w:val="22"/>
    </w:rPr>
  </w:style>
  <w:style w:type="character" w:customStyle="1" w:styleId="subtitulo2">
    <w:name w:val="subtitulo 2"/>
    <w:uiPriority w:val="99"/>
    <w:rsid w:val="00AE0DB2"/>
    <w:rPr>
      <w:rFonts w:ascii="RotisSemiSans" w:hAnsi="RotisSemiSans" w:cs="RotisSemiSans"/>
      <w:sz w:val="28"/>
      <w:szCs w:val="28"/>
    </w:rPr>
  </w:style>
  <w:style w:type="character" w:customStyle="1" w:styleId="cursiva">
    <w:name w:val="cursiva"/>
    <w:uiPriority w:val="99"/>
    <w:rsid w:val="005E582A"/>
    <w:rPr>
      <w:rFonts w:ascii="Frutiger LT Std 45 Light" w:hAnsi="Frutiger LT Std 45 Light" w:cs="Frutiger LT Std 45 Light"/>
      <w:i/>
      <w:iCs/>
      <w:color w:val="293941"/>
      <w:sz w:val="20"/>
      <w:szCs w:val="20"/>
    </w:rPr>
  </w:style>
  <w:style w:type="character" w:customStyle="1" w:styleId="piedepgina0">
    <w:name w:val="pie de página"/>
    <w:uiPriority w:val="99"/>
    <w:rsid w:val="00DF1C5D"/>
    <w:rPr>
      <w:rFonts w:ascii="Frutiger LT Std 45 Light" w:hAnsi="Frutiger LT Std 45 Light" w:cs="Frutiger LT Std 45 Light"/>
      <w:color w:val="293941"/>
      <w:sz w:val="14"/>
      <w:szCs w:val="14"/>
    </w:rPr>
  </w:style>
  <w:style w:type="character" w:customStyle="1" w:styleId="PIEDEPAGINA">
    <w:name w:val="PIE DE PAGINA"/>
    <w:uiPriority w:val="99"/>
    <w:rsid w:val="00D336B5"/>
    <w:rPr>
      <w:rFonts w:ascii="Frutiger LT Std 47 Light Cn" w:hAnsi="Frutiger LT Std 47 Light Cn" w:cs="Frutiger LT Std 47 Light Cn"/>
      <w:color w:val="293941"/>
      <w:sz w:val="13"/>
      <w:szCs w:val="13"/>
    </w:rPr>
  </w:style>
  <w:style w:type="character" w:customStyle="1" w:styleId="normalcursiva">
    <w:name w:val="normal cursiva"/>
    <w:uiPriority w:val="99"/>
    <w:rsid w:val="005651A3"/>
    <w:rPr>
      <w:rFonts w:ascii="Frutiger LT Std 55 Roman" w:hAnsi="Frutiger LT Std 55 Roman" w:cs="Frutiger LT Std 55 Roman"/>
      <w:i/>
      <w:iCs/>
      <w:color w:val="293941"/>
      <w:sz w:val="20"/>
      <w:szCs w:val="20"/>
    </w:rPr>
  </w:style>
  <w:style w:type="character" w:styleId="Hipervnculo">
    <w:name w:val="Hyperlink"/>
    <w:basedOn w:val="Fuentedeprrafopredeter"/>
    <w:uiPriority w:val="99"/>
    <w:unhideWhenUsed/>
    <w:rsid w:val="0002693C"/>
    <w:rPr>
      <w:color w:val="0000FF" w:themeColor="hyperlink"/>
      <w:u w:val="single"/>
    </w:rPr>
  </w:style>
  <w:style w:type="paragraph" w:customStyle="1" w:styleId="Prrafobsico">
    <w:name w:val="[Párrafo básico]"/>
    <w:basedOn w:val="Normal"/>
    <w:uiPriority w:val="99"/>
    <w:rsid w:val="0096546A"/>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character" w:styleId="Refdecomentario">
    <w:name w:val="annotation reference"/>
    <w:basedOn w:val="Fuentedeprrafopredeter"/>
    <w:uiPriority w:val="99"/>
    <w:semiHidden/>
    <w:unhideWhenUsed/>
    <w:rsid w:val="00C5394B"/>
    <w:rPr>
      <w:sz w:val="16"/>
      <w:szCs w:val="16"/>
    </w:rPr>
  </w:style>
  <w:style w:type="paragraph" w:styleId="Textocomentario">
    <w:name w:val="annotation text"/>
    <w:basedOn w:val="Normal"/>
    <w:link w:val="TextocomentarioCar"/>
    <w:uiPriority w:val="99"/>
    <w:unhideWhenUsed/>
    <w:rsid w:val="00C5394B"/>
    <w:pPr>
      <w:spacing w:line="240" w:lineRule="auto"/>
    </w:pPr>
    <w:rPr>
      <w:sz w:val="20"/>
      <w:szCs w:val="20"/>
    </w:rPr>
  </w:style>
  <w:style w:type="character" w:customStyle="1" w:styleId="TextocomentarioCar">
    <w:name w:val="Texto comentario Car"/>
    <w:basedOn w:val="Fuentedeprrafopredeter"/>
    <w:link w:val="Textocomentario"/>
    <w:uiPriority w:val="99"/>
    <w:rsid w:val="00C5394B"/>
    <w:rPr>
      <w:sz w:val="20"/>
      <w:szCs w:val="20"/>
    </w:rPr>
  </w:style>
  <w:style w:type="paragraph" w:styleId="Asuntodelcomentario">
    <w:name w:val="annotation subject"/>
    <w:basedOn w:val="Textocomentario"/>
    <w:next w:val="Textocomentario"/>
    <w:link w:val="AsuntodelcomentarioCar"/>
    <w:uiPriority w:val="99"/>
    <w:semiHidden/>
    <w:unhideWhenUsed/>
    <w:rsid w:val="00C5394B"/>
    <w:rPr>
      <w:b/>
      <w:bCs/>
    </w:rPr>
  </w:style>
  <w:style w:type="character" w:customStyle="1" w:styleId="AsuntodelcomentarioCar">
    <w:name w:val="Asunto del comentario Car"/>
    <w:basedOn w:val="TextocomentarioCar"/>
    <w:link w:val="Asuntodelcomentario"/>
    <w:uiPriority w:val="99"/>
    <w:semiHidden/>
    <w:rsid w:val="00C5394B"/>
    <w:rPr>
      <w:b/>
      <w:bCs/>
      <w:sz w:val="20"/>
      <w:szCs w:val="20"/>
    </w:rPr>
  </w:style>
  <w:style w:type="paragraph" w:styleId="Sinespaciado">
    <w:name w:val="No Spacing"/>
    <w:uiPriority w:val="1"/>
    <w:qFormat/>
    <w:rsid w:val="00F80AC6"/>
    <w:pPr>
      <w:spacing w:after="0" w:line="240" w:lineRule="auto"/>
    </w:pPr>
  </w:style>
  <w:style w:type="paragraph" w:styleId="Bibliografa">
    <w:name w:val="Bibliography"/>
    <w:basedOn w:val="Normal"/>
    <w:next w:val="Normal"/>
    <w:uiPriority w:val="37"/>
    <w:unhideWhenUsed/>
    <w:rsid w:val="00FF7A11"/>
  </w:style>
  <w:style w:type="paragraph" w:styleId="Revisin">
    <w:name w:val="Revision"/>
    <w:hidden/>
    <w:uiPriority w:val="99"/>
    <w:semiHidden/>
    <w:rsid w:val="003A2969"/>
    <w:pPr>
      <w:spacing w:after="0" w:line="240" w:lineRule="auto"/>
    </w:pPr>
  </w:style>
  <w:style w:type="paragraph" w:styleId="NormalWeb">
    <w:name w:val="Normal (Web)"/>
    <w:basedOn w:val="Normal"/>
    <w:uiPriority w:val="99"/>
    <w:semiHidden/>
    <w:unhideWhenUsed/>
    <w:rsid w:val="00F4674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independiente">
    <w:name w:val="Body Text"/>
    <w:basedOn w:val="Normal"/>
    <w:link w:val="TextoindependienteCar"/>
    <w:unhideWhenUsed/>
    <w:rsid w:val="00474E6A"/>
    <w:pPr>
      <w:spacing w:after="0" w:line="240" w:lineRule="auto"/>
      <w:jc w:val="both"/>
    </w:pPr>
    <w:rPr>
      <w:rFonts w:ascii="Garamond" w:eastAsia="Times New Roman" w:hAnsi="Garamond" w:cs="Times New Roman"/>
      <w:sz w:val="24"/>
      <w:szCs w:val="20"/>
      <w:lang w:val="es-ES_tradnl" w:eastAsia="es-ES"/>
    </w:rPr>
  </w:style>
  <w:style w:type="character" w:customStyle="1" w:styleId="TextoindependienteCar">
    <w:name w:val="Texto independiente Car"/>
    <w:basedOn w:val="Fuentedeprrafopredeter"/>
    <w:link w:val="Textoindependiente"/>
    <w:rsid w:val="00474E6A"/>
    <w:rPr>
      <w:rFonts w:ascii="Garamond" w:eastAsia="Times New Roman" w:hAnsi="Garamond" w:cs="Times New Roman"/>
      <w:sz w:val="24"/>
      <w:szCs w:val="20"/>
      <w:lang w:val="es-ES_tradnl" w:eastAsia="es-ES"/>
    </w:rPr>
  </w:style>
  <w:style w:type="paragraph" w:styleId="Textoindependiente2">
    <w:name w:val="Body Text 2"/>
    <w:basedOn w:val="Normal"/>
    <w:link w:val="Textoindependiente2Car"/>
    <w:semiHidden/>
    <w:unhideWhenUsed/>
    <w:rsid w:val="00474E6A"/>
    <w:pPr>
      <w:widowControl w:val="0"/>
      <w:snapToGrid w:val="0"/>
      <w:spacing w:after="0" w:line="240" w:lineRule="auto"/>
      <w:jc w:val="center"/>
    </w:pPr>
    <w:rPr>
      <w:rFonts w:ascii="Times New Roman" w:eastAsia="Times New Roman" w:hAnsi="Times New Roman" w:cs="Times New Roman"/>
      <w:b/>
      <w:i/>
      <w:sz w:val="40"/>
      <w:szCs w:val="20"/>
      <w:lang w:val="en-US" w:eastAsia="es-ES"/>
    </w:rPr>
  </w:style>
  <w:style w:type="character" w:customStyle="1" w:styleId="Textoindependiente2Car">
    <w:name w:val="Texto independiente 2 Car"/>
    <w:basedOn w:val="Fuentedeprrafopredeter"/>
    <w:link w:val="Textoindependiente2"/>
    <w:semiHidden/>
    <w:rsid w:val="00474E6A"/>
    <w:rPr>
      <w:rFonts w:ascii="Times New Roman" w:eastAsia="Times New Roman" w:hAnsi="Times New Roman" w:cs="Times New Roman"/>
      <w:b/>
      <w:i/>
      <w:sz w:val="40"/>
      <w:szCs w:val="20"/>
      <w:lang w:val="en-US" w:eastAsia="es-ES"/>
    </w:rPr>
  </w:style>
  <w:style w:type="table" w:styleId="Cuadrculamedia2-nfasis1">
    <w:name w:val="Medium Grid 2 Accent 1"/>
    <w:basedOn w:val="Tablanormal"/>
    <w:uiPriority w:val="68"/>
    <w:rsid w:val="008E79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Ttulo1Car">
    <w:name w:val="Título 1 Car"/>
    <w:basedOn w:val="Fuentedeprrafopredeter"/>
    <w:link w:val="Ttulo1"/>
    <w:uiPriority w:val="9"/>
    <w:rsid w:val="005B7305"/>
    <w:rPr>
      <w:rFonts w:asciiTheme="majorHAnsi" w:eastAsiaTheme="majorEastAsia" w:hAnsiTheme="majorHAnsi" w:cstheme="majorBidi"/>
      <w:bCs/>
      <w:color w:val="365F91" w:themeColor="accent1" w:themeShade="BF"/>
      <w:sz w:val="52"/>
      <w:szCs w:val="28"/>
    </w:rPr>
  </w:style>
  <w:style w:type="character" w:customStyle="1" w:styleId="Ttulo2Car">
    <w:name w:val="Título 2 Car"/>
    <w:basedOn w:val="Fuentedeprrafopredeter"/>
    <w:link w:val="Ttulo2"/>
    <w:uiPriority w:val="9"/>
    <w:rsid w:val="007A64A0"/>
    <w:rPr>
      <w:rFonts w:ascii="Arial Narrow" w:eastAsiaTheme="majorEastAsia" w:hAnsi="Arial Narrow" w:cstheme="majorBidi"/>
      <w:b/>
      <w:bCs/>
      <w:sz w:val="28"/>
      <w:szCs w:val="26"/>
    </w:rPr>
  </w:style>
  <w:style w:type="character" w:customStyle="1" w:styleId="Ttulo3Car">
    <w:name w:val="Título 3 Car"/>
    <w:basedOn w:val="Fuentedeprrafopredeter"/>
    <w:link w:val="Ttulo3"/>
    <w:uiPriority w:val="9"/>
    <w:rsid w:val="00677E13"/>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677E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77E13"/>
    <w:rPr>
      <w:rFonts w:asciiTheme="majorHAnsi" w:eastAsiaTheme="majorEastAsia" w:hAnsiTheme="majorHAnsi" w:cstheme="majorBidi"/>
      <w:color w:val="17365D" w:themeColor="text2" w:themeShade="BF"/>
      <w:spacing w:val="5"/>
      <w:kern w:val="28"/>
      <w:sz w:val="52"/>
      <w:szCs w:val="52"/>
    </w:rPr>
  </w:style>
  <w:style w:type="character" w:customStyle="1" w:styleId="Ttulo4Car">
    <w:name w:val="Título 4 Car"/>
    <w:basedOn w:val="Fuentedeprrafopredeter"/>
    <w:link w:val="Ttulo4"/>
    <w:uiPriority w:val="9"/>
    <w:rsid w:val="00677E1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677E13"/>
    <w:rPr>
      <w:rFonts w:asciiTheme="majorHAnsi" w:eastAsiaTheme="majorEastAsia" w:hAnsiTheme="majorHAnsi" w:cstheme="majorBidi"/>
      <w:color w:val="243F60" w:themeColor="accent1" w:themeShade="7F"/>
    </w:rPr>
  </w:style>
  <w:style w:type="paragraph" w:styleId="TtulodeTDC">
    <w:name w:val="TOC Heading"/>
    <w:basedOn w:val="Ttulo1"/>
    <w:next w:val="Normal"/>
    <w:uiPriority w:val="39"/>
    <w:unhideWhenUsed/>
    <w:qFormat/>
    <w:rsid w:val="00677E13"/>
    <w:pPr>
      <w:outlineLvl w:val="9"/>
    </w:pPr>
    <w:rPr>
      <w:lang w:eastAsia="es-PE"/>
    </w:rPr>
  </w:style>
  <w:style w:type="paragraph" w:customStyle="1" w:styleId="Ttulo10">
    <w:name w:val="Título1"/>
    <w:basedOn w:val="Ttulo"/>
    <w:link w:val="Ttulo1Car0"/>
    <w:rsid w:val="005B7305"/>
  </w:style>
  <w:style w:type="paragraph" w:styleId="TDC1">
    <w:name w:val="toc 1"/>
    <w:basedOn w:val="Normal"/>
    <w:next w:val="Normal"/>
    <w:autoRedefine/>
    <w:uiPriority w:val="39"/>
    <w:unhideWhenUsed/>
    <w:rsid w:val="00452FA0"/>
    <w:pPr>
      <w:tabs>
        <w:tab w:val="left" w:pos="8080"/>
        <w:tab w:val="right" w:leader="dot" w:pos="8495"/>
      </w:tabs>
      <w:spacing w:after="100"/>
      <w:ind w:left="426"/>
    </w:pPr>
    <w:rPr>
      <w:noProof/>
      <w:lang w:val="es-ES_tradnl"/>
    </w:rPr>
  </w:style>
  <w:style w:type="character" w:customStyle="1" w:styleId="Ttulo1Car0">
    <w:name w:val="Título1 Car"/>
    <w:basedOn w:val="TtuloCar"/>
    <w:link w:val="Ttulo10"/>
    <w:rsid w:val="005B7305"/>
    <w:rPr>
      <w:rFonts w:asciiTheme="majorHAnsi" w:eastAsiaTheme="majorEastAsia" w:hAnsiTheme="majorHAnsi" w:cstheme="majorBidi"/>
      <w:color w:val="17365D" w:themeColor="text2" w:themeShade="BF"/>
      <w:spacing w:val="5"/>
      <w:kern w:val="28"/>
      <w:sz w:val="52"/>
      <w:szCs w:val="52"/>
    </w:rPr>
  </w:style>
  <w:style w:type="paragraph" w:styleId="TDC2">
    <w:name w:val="toc 2"/>
    <w:basedOn w:val="Normal"/>
    <w:next w:val="Normal"/>
    <w:autoRedefine/>
    <w:uiPriority w:val="39"/>
    <w:unhideWhenUsed/>
    <w:rsid w:val="00452FA0"/>
    <w:pPr>
      <w:numPr>
        <w:numId w:val="91"/>
      </w:numPr>
      <w:tabs>
        <w:tab w:val="left" w:pos="8080"/>
        <w:tab w:val="right" w:leader="dot" w:pos="8495"/>
      </w:tabs>
      <w:spacing w:after="10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290">
      <w:bodyDiv w:val="1"/>
      <w:marLeft w:val="0"/>
      <w:marRight w:val="0"/>
      <w:marTop w:val="0"/>
      <w:marBottom w:val="0"/>
      <w:divBdr>
        <w:top w:val="none" w:sz="0" w:space="0" w:color="auto"/>
        <w:left w:val="none" w:sz="0" w:space="0" w:color="auto"/>
        <w:bottom w:val="none" w:sz="0" w:space="0" w:color="auto"/>
        <w:right w:val="none" w:sz="0" w:space="0" w:color="auto"/>
      </w:divBdr>
      <w:divsChild>
        <w:div w:id="67464233">
          <w:marLeft w:val="0"/>
          <w:marRight w:val="0"/>
          <w:marTop w:val="0"/>
          <w:marBottom w:val="0"/>
          <w:divBdr>
            <w:top w:val="none" w:sz="0" w:space="0" w:color="auto"/>
            <w:left w:val="none" w:sz="0" w:space="0" w:color="auto"/>
            <w:bottom w:val="none" w:sz="0" w:space="0" w:color="auto"/>
            <w:right w:val="none" w:sz="0" w:space="0" w:color="auto"/>
          </w:divBdr>
          <w:divsChild>
            <w:div w:id="729886336">
              <w:marLeft w:val="0"/>
              <w:marRight w:val="0"/>
              <w:marTop w:val="0"/>
              <w:marBottom w:val="0"/>
              <w:divBdr>
                <w:top w:val="none" w:sz="0" w:space="0" w:color="auto"/>
                <w:left w:val="none" w:sz="0" w:space="0" w:color="auto"/>
                <w:bottom w:val="none" w:sz="0" w:space="0" w:color="auto"/>
                <w:right w:val="none" w:sz="0" w:space="0" w:color="auto"/>
              </w:divBdr>
              <w:divsChild>
                <w:div w:id="674110330">
                  <w:marLeft w:val="0"/>
                  <w:marRight w:val="0"/>
                  <w:marTop w:val="0"/>
                  <w:marBottom w:val="0"/>
                  <w:divBdr>
                    <w:top w:val="none" w:sz="0" w:space="0" w:color="auto"/>
                    <w:left w:val="none" w:sz="0" w:space="0" w:color="auto"/>
                    <w:bottom w:val="none" w:sz="0" w:space="0" w:color="auto"/>
                    <w:right w:val="none" w:sz="0" w:space="0" w:color="auto"/>
                  </w:divBdr>
                  <w:divsChild>
                    <w:div w:id="900094153">
                      <w:marLeft w:val="0"/>
                      <w:marRight w:val="0"/>
                      <w:marTop w:val="0"/>
                      <w:marBottom w:val="0"/>
                      <w:divBdr>
                        <w:top w:val="none" w:sz="0" w:space="0" w:color="auto"/>
                        <w:left w:val="none" w:sz="0" w:space="0" w:color="auto"/>
                        <w:bottom w:val="none" w:sz="0" w:space="0" w:color="auto"/>
                        <w:right w:val="none" w:sz="0" w:space="0" w:color="auto"/>
                      </w:divBdr>
                      <w:divsChild>
                        <w:div w:id="983125486">
                          <w:marLeft w:val="0"/>
                          <w:marRight w:val="0"/>
                          <w:marTop w:val="0"/>
                          <w:marBottom w:val="0"/>
                          <w:divBdr>
                            <w:top w:val="none" w:sz="0" w:space="0" w:color="auto"/>
                            <w:left w:val="none" w:sz="0" w:space="0" w:color="auto"/>
                            <w:bottom w:val="none" w:sz="0" w:space="0" w:color="auto"/>
                            <w:right w:val="none" w:sz="0" w:space="0" w:color="auto"/>
                          </w:divBdr>
                          <w:divsChild>
                            <w:div w:id="1354528708">
                              <w:marLeft w:val="0"/>
                              <w:marRight w:val="0"/>
                              <w:marTop w:val="0"/>
                              <w:marBottom w:val="0"/>
                              <w:divBdr>
                                <w:top w:val="none" w:sz="0" w:space="0" w:color="auto"/>
                                <w:left w:val="none" w:sz="0" w:space="0" w:color="auto"/>
                                <w:bottom w:val="none" w:sz="0" w:space="0" w:color="auto"/>
                                <w:right w:val="none" w:sz="0" w:space="0" w:color="auto"/>
                              </w:divBdr>
                              <w:divsChild>
                                <w:div w:id="446660422">
                                  <w:marLeft w:val="0"/>
                                  <w:marRight w:val="0"/>
                                  <w:marTop w:val="0"/>
                                  <w:marBottom w:val="0"/>
                                  <w:divBdr>
                                    <w:top w:val="none" w:sz="0" w:space="0" w:color="auto"/>
                                    <w:left w:val="none" w:sz="0" w:space="0" w:color="auto"/>
                                    <w:bottom w:val="none" w:sz="0" w:space="0" w:color="auto"/>
                                    <w:right w:val="none" w:sz="0" w:space="0" w:color="auto"/>
                                  </w:divBdr>
                                  <w:divsChild>
                                    <w:div w:id="1390302194">
                                      <w:marLeft w:val="0"/>
                                      <w:marRight w:val="0"/>
                                      <w:marTop w:val="0"/>
                                      <w:marBottom w:val="0"/>
                                      <w:divBdr>
                                        <w:top w:val="none" w:sz="0" w:space="0" w:color="auto"/>
                                        <w:left w:val="none" w:sz="0" w:space="0" w:color="auto"/>
                                        <w:bottom w:val="none" w:sz="0" w:space="0" w:color="auto"/>
                                        <w:right w:val="none" w:sz="0" w:space="0" w:color="auto"/>
                                      </w:divBdr>
                                      <w:divsChild>
                                        <w:div w:id="765223902">
                                          <w:marLeft w:val="0"/>
                                          <w:marRight w:val="0"/>
                                          <w:marTop w:val="0"/>
                                          <w:marBottom w:val="0"/>
                                          <w:divBdr>
                                            <w:top w:val="none" w:sz="0" w:space="0" w:color="auto"/>
                                            <w:left w:val="none" w:sz="0" w:space="0" w:color="auto"/>
                                            <w:bottom w:val="none" w:sz="0" w:space="0" w:color="auto"/>
                                            <w:right w:val="none" w:sz="0" w:space="0" w:color="auto"/>
                                          </w:divBdr>
                                          <w:divsChild>
                                            <w:div w:id="1292128573">
                                              <w:marLeft w:val="0"/>
                                              <w:marRight w:val="0"/>
                                              <w:marTop w:val="0"/>
                                              <w:marBottom w:val="0"/>
                                              <w:divBdr>
                                                <w:top w:val="none" w:sz="0" w:space="0" w:color="auto"/>
                                                <w:left w:val="none" w:sz="0" w:space="0" w:color="auto"/>
                                                <w:bottom w:val="none" w:sz="0" w:space="0" w:color="auto"/>
                                                <w:right w:val="none" w:sz="0" w:space="0" w:color="auto"/>
                                              </w:divBdr>
                                              <w:divsChild>
                                                <w:div w:id="640385005">
                                                  <w:marLeft w:val="0"/>
                                                  <w:marRight w:val="0"/>
                                                  <w:marTop w:val="0"/>
                                                  <w:marBottom w:val="0"/>
                                                  <w:divBdr>
                                                    <w:top w:val="none" w:sz="0" w:space="0" w:color="auto"/>
                                                    <w:left w:val="none" w:sz="0" w:space="0" w:color="auto"/>
                                                    <w:bottom w:val="none" w:sz="0" w:space="0" w:color="auto"/>
                                                    <w:right w:val="none" w:sz="0" w:space="0" w:color="auto"/>
                                                  </w:divBdr>
                                                  <w:divsChild>
                                                    <w:div w:id="1044914319">
                                                      <w:marLeft w:val="0"/>
                                                      <w:marRight w:val="0"/>
                                                      <w:marTop w:val="0"/>
                                                      <w:marBottom w:val="0"/>
                                                      <w:divBdr>
                                                        <w:top w:val="none" w:sz="0" w:space="0" w:color="auto"/>
                                                        <w:left w:val="none" w:sz="0" w:space="0" w:color="auto"/>
                                                        <w:bottom w:val="none" w:sz="0" w:space="0" w:color="auto"/>
                                                        <w:right w:val="none" w:sz="0" w:space="0" w:color="auto"/>
                                                      </w:divBdr>
                                                      <w:divsChild>
                                                        <w:div w:id="1272863582">
                                                          <w:marLeft w:val="0"/>
                                                          <w:marRight w:val="0"/>
                                                          <w:marTop w:val="0"/>
                                                          <w:marBottom w:val="0"/>
                                                          <w:divBdr>
                                                            <w:top w:val="none" w:sz="0" w:space="0" w:color="auto"/>
                                                            <w:left w:val="none" w:sz="0" w:space="0" w:color="auto"/>
                                                            <w:bottom w:val="none" w:sz="0" w:space="0" w:color="auto"/>
                                                            <w:right w:val="none" w:sz="0" w:space="0" w:color="auto"/>
                                                          </w:divBdr>
                                                          <w:divsChild>
                                                            <w:div w:id="5131922">
                                                              <w:marLeft w:val="0"/>
                                                              <w:marRight w:val="150"/>
                                                              <w:marTop w:val="0"/>
                                                              <w:marBottom w:val="150"/>
                                                              <w:divBdr>
                                                                <w:top w:val="none" w:sz="0" w:space="0" w:color="auto"/>
                                                                <w:left w:val="none" w:sz="0" w:space="0" w:color="auto"/>
                                                                <w:bottom w:val="none" w:sz="0" w:space="0" w:color="auto"/>
                                                                <w:right w:val="none" w:sz="0" w:space="0" w:color="auto"/>
                                                              </w:divBdr>
                                                              <w:divsChild>
                                                                <w:div w:id="2061320093">
                                                                  <w:marLeft w:val="0"/>
                                                                  <w:marRight w:val="0"/>
                                                                  <w:marTop w:val="0"/>
                                                                  <w:marBottom w:val="0"/>
                                                                  <w:divBdr>
                                                                    <w:top w:val="none" w:sz="0" w:space="0" w:color="auto"/>
                                                                    <w:left w:val="none" w:sz="0" w:space="0" w:color="auto"/>
                                                                    <w:bottom w:val="none" w:sz="0" w:space="0" w:color="auto"/>
                                                                    <w:right w:val="none" w:sz="0" w:space="0" w:color="auto"/>
                                                                  </w:divBdr>
                                                                  <w:divsChild>
                                                                    <w:div w:id="1059397140">
                                                                      <w:marLeft w:val="0"/>
                                                                      <w:marRight w:val="0"/>
                                                                      <w:marTop w:val="0"/>
                                                                      <w:marBottom w:val="0"/>
                                                                      <w:divBdr>
                                                                        <w:top w:val="none" w:sz="0" w:space="0" w:color="auto"/>
                                                                        <w:left w:val="none" w:sz="0" w:space="0" w:color="auto"/>
                                                                        <w:bottom w:val="none" w:sz="0" w:space="0" w:color="auto"/>
                                                                        <w:right w:val="none" w:sz="0" w:space="0" w:color="auto"/>
                                                                      </w:divBdr>
                                                                      <w:divsChild>
                                                                        <w:div w:id="1124038879">
                                                                          <w:marLeft w:val="0"/>
                                                                          <w:marRight w:val="0"/>
                                                                          <w:marTop w:val="0"/>
                                                                          <w:marBottom w:val="0"/>
                                                                          <w:divBdr>
                                                                            <w:top w:val="none" w:sz="0" w:space="0" w:color="auto"/>
                                                                            <w:left w:val="none" w:sz="0" w:space="0" w:color="auto"/>
                                                                            <w:bottom w:val="none" w:sz="0" w:space="0" w:color="auto"/>
                                                                            <w:right w:val="none" w:sz="0" w:space="0" w:color="auto"/>
                                                                          </w:divBdr>
                                                                          <w:divsChild>
                                                                            <w:div w:id="931015715">
                                                                              <w:marLeft w:val="0"/>
                                                                              <w:marRight w:val="0"/>
                                                                              <w:marTop w:val="0"/>
                                                                              <w:marBottom w:val="0"/>
                                                                              <w:divBdr>
                                                                                <w:top w:val="none" w:sz="0" w:space="0" w:color="auto"/>
                                                                                <w:left w:val="none" w:sz="0" w:space="0" w:color="auto"/>
                                                                                <w:bottom w:val="none" w:sz="0" w:space="0" w:color="auto"/>
                                                                                <w:right w:val="none" w:sz="0" w:space="0" w:color="auto"/>
                                                                              </w:divBdr>
                                                                              <w:divsChild>
                                                                                <w:div w:id="615334624">
                                                                                  <w:marLeft w:val="0"/>
                                                                                  <w:marRight w:val="0"/>
                                                                                  <w:marTop w:val="0"/>
                                                                                  <w:marBottom w:val="0"/>
                                                                                  <w:divBdr>
                                                                                    <w:top w:val="none" w:sz="0" w:space="0" w:color="auto"/>
                                                                                    <w:left w:val="none" w:sz="0" w:space="0" w:color="auto"/>
                                                                                    <w:bottom w:val="none" w:sz="0" w:space="0" w:color="auto"/>
                                                                                    <w:right w:val="none" w:sz="0" w:space="0" w:color="auto"/>
                                                                                  </w:divBdr>
                                                                                  <w:divsChild>
                                                                                    <w:div w:id="1509295215">
                                                                                      <w:marLeft w:val="0"/>
                                                                                      <w:marRight w:val="0"/>
                                                                                      <w:marTop w:val="0"/>
                                                                                      <w:marBottom w:val="0"/>
                                                                                      <w:divBdr>
                                                                                        <w:top w:val="none" w:sz="0" w:space="0" w:color="auto"/>
                                                                                        <w:left w:val="none" w:sz="0" w:space="0" w:color="auto"/>
                                                                                        <w:bottom w:val="none" w:sz="0" w:space="0" w:color="auto"/>
                                                                                        <w:right w:val="none" w:sz="0" w:space="0" w:color="auto"/>
                                                                                      </w:divBdr>
                                                                                    </w:div>
                                                                                    <w:div w:id="16593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49427">
      <w:bodyDiv w:val="1"/>
      <w:marLeft w:val="0"/>
      <w:marRight w:val="0"/>
      <w:marTop w:val="0"/>
      <w:marBottom w:val="0"/>
      <w:divBdr>
        <w:top w:val="none" w:sz="0" w:space="0" w:color="auto"/>
        <w:left w:val="none" w:sz="0" w:space="0" w:color="auto"/>
        <w:bottom w:val="none" w:sz="0" w:space="0" w:color="auto"/>
        <w:right w:val="none" w:sz="0" w:space="0" w:color="auto"/>
      </w:divBdr>
    </w:div>
    <w:div w:id="142620573">
      <w:bodyDiv w:val="1"/>
      <w:marLeft w:val="0"/>
      <w:marRight w:val="0"/>
      <w:marTop w:val="0"/>
      <w:marBottom w:val="0"/>
      <w:divBdr>
        <w:top w:val="none" w:sz="0" w:space="0" w:color="auto"/>
        <w:left w:val="none" w:sz="0" w:space="0" w:color="auto"/>
        <w:bottom w:val="none" w:sz="0" w:space="0" w:color="auto"/>
        <w:right w:val="none" w:sz="0" w:space="0" w:color="auto"/>
      </w:divBdr>
    </w:div>
    <w:div w:id="273295782">
      <w:bodyDiv w:val="1"/>
      <w:marLeft w:val="0"/>
      <w:marRight w:val="0"/>
      <w:marTop w:val="0"/>
      <w:marBottom w:val="0"/>
      <w:divBdr>
        <w:top w:val="none" w:sz="0" w:space="0" w:color="auto"/>
        <w:left w:val="none" w:sz="0" w:space="0" w:color="auto"/>
        <w:bottom w:val="none" w:sz="0" w:space="0" w:color="auto"/>
        <w:right w:val="none" w:sz="0" w:space="0" w:color="auto"/>
      </w:divBdr>
    </w:div>
    <w:div w:id="332028582">
      <w:bodyDiv w:val="1"/>
      <w:marLeft w:val="0"/>
      <w:marRight w:val="0"/>
      <w:marTop w:val="0"/>
      <w:marBottom w:val="0"/>
      <w:divBdr>
        <w:top w:val="none" w:sz="0" w:space="0" w:color="auto"/>
        <w:left w:val="none" w:sz="0" w:space="0" w:color="auto"/>
        <w:bottom w:val="none" w:sz="0" w:space="0" w:color="auto"/>
        <w:right w:val="none" w:sz="0" w:space="0" w:color="auto"/>
      </w:divBdr>
    </w:div>
    <w:div w:id="337464793">
      <w:bodyDiv w:val="1"/>
      <w:marLeft w:val="0"/>
      <w:marRight w:val="0"/>
      <w:marTop w:val="0"/>
      <w:marBottom w:val="0"/>
      <w:divBdr>
        <w:top w:val="none" w:sz="0" w:space="0" w:color="auto"/>
        <w:left w:val="none" w:sz="0" w:space="0" w:color="auto"/>
        <w:bottom w:val="none" w:sz="0" w:space="0" w:color="auto"/>
        <w:right w:val="none" w:sz="0" w:space="0" w:color="auto"/>
      </w:divBdr>
    </w:div>
    <w:div w:id="495531603">
      <w:bodyDiv w:val="1"/>
      <w:marLeft w:val="0"/>
      <w:marRight w:val="0"/>
      <w:marTop w:val="0"/>
      <w:marBottom w:val="0"/>
      <w:divBdr>
        <w:top w:val="none" w:sz="0" w:space="0" w:color="auto"/>
        <w:left w:val="none" w:sz="0" w:space="0" w:color="auto"/>
        <w:bottom w:val="none" w:sz="0" w:space="0" w:color="auto"/>
        <w:right w:val="none" w:sz="0" w:space="0" w:color="auto"/>
      </w:divBdr>
    </w:div>
    <w:div w:id="517155450">
      <w:bodyDiv w:val="1"/>
      <w:marLeft w:val="0"/>
      <w:marRight w:val="0"/>
      <w:marTop w:val="0"/>
      <w:marBottom w:val="0"/>
      <w:divBdr>
        <w:top w:val="none" w:sz="0" w:space="0" w:color="auto"/>
        <w:left w:val="none" w:sz="0" w:space="0" w:color="auto"/>
        <w:bottom w:val="none" w:sz="0" w:space="0" w:color="auto"/>
        <w:right w:val="none" w:sz="0" w:space="0" w:color="auto"/>
      </w:divBdr>
    </w:div>
    <w:div w:id="531380176">
      <w:bodyDiv w:val="1"/>
      <w:marLeft w:val="0"/>
      <w:marRight w:val="0"/>
      <w:marTop w:val="0"/>
      <w:marBottom w:val="0"/>
      <w:divBdr>
        <w:top w:val="none" w:sz="0" w:space="0" w:color="auto"/>
        <w:left w:val="none" w:sz="0" w:space="0" w:color="auto"/>
        <w:bottom w:val="none" w:sz="0" w:space="0" w:color="auto"/>
        <w:right w:val="none" w:sz="0" w:space="0" w:color="auto"/>
      </w:divBdr>
      <w:divsChild>
        <w:div w:id="848058398">
          <w:marLeft w:val="0"/>
          <w:marRight w:val="0"/>
          <w:marTop w:val="0"/>
          <w:marBottom w:val="0"/>
          <w:divBdr>
            <w:top w:val="none" w:sz="0" w:space="0" w:color="auto"/>
            <w:left w:val="none" w:sz="0" w:space="0" w:color="auto"/>
            <w:bottom w:val="none" w:sz="0" w:space="0" w:color="auto"/>
            <w:right w:val="none" w:sz="0" w:space="0" w:color="auto"/>
          </w:divBdr>
          <w:divsChild>
            <w:div w:id="314603800">
              <w:marLeft w:val="0"/>
              <w:marRight w:val="0"/>
              <w:marTop w:val="0"/>
              <w:marBottom w:val="0"/>
              <w:divBdr>
                <w:top w:val="none" w:sz="0" w:space="0" w:color="auto"/>
                <w:left w:val="none" w:sz="0" w:space="0" w:color="auto"/>
                <w:bottom w:val="none" w:sz="0" w:space="0" w:color="auto"/>
                <w:right w:val="none" w:sz="0" w:space="0" w:color="auto"/>
              </w:divBdr>
              <w:divsChild>
                <w:div w:id="1811826847">
                  <w:marLeft w:val="0"/>
                  <w:marRight w:val="0"/>
                  <w:marTop w:val="0"/>
                  <w:marBottom w:val="0"/>
                  <w:divBdr>
                    <w:top w:val="none" w:sz="0" w:space="0" w:color="auto"/>
                    <w:left w:val="none" w:sz="0" w:space="0" w:color="auto"/>
                    <w:bottom w:val="none" w:sz="0" w:space="0" w:color="auto"/>
                    <w:right w:val="none" w:sz="0" w:space="0" w:color="auto"/>
                  </w:divBdr>
                  <w:divsChild>
                    <w:div w:id="8361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97211">
      <w:bodyDiv w:val="1"/>
      <w:marLeft w:val="0"/>
      <w:marRight w:val="0"/>
      <w:marTop w:val="0"/>
      <w:marBottom w:val="0"/>
      <w:divBdr>
        <w:top w:val="none" w:sz="0" w:space="0" w:color="auto"/>
        <w:left w:val="none" w:sz="0" w:space="0" w:color="auto"/>
        <w:bottom w:val="none" w:sz="0" w:space="0" w:color="auto"/>
        <w:right w:val="none" w:sz="0" w:space="0" w:color="auto"/>
      </w:divBdr>
    </w:div>
    <w:div w:id="674891124">
      <w:bodyDiv w:val="1"/>
      <w:marLeft w:val="0"/>
      <w:marRight w:val="0"/>
      <w:marTop w:val="0"/>
      <w:marBottom w:val="0"/>
      <w:divBdr>
        <w:top w:val="none" w:sz="0" w:space="0" w:color="auto"/>
        <w:left w:val="none" w:sz="0" w:space="0" w:color="auto"/>
        <w:bottom w:val="none" w:sz="0" w:space="0" w:color="auto"/>
        <w:right w:val="none" w:sz="0" w:space="0" w:color="auto"/>
      </w:divBdr>
    </w:div>
    <w:div w:id="701590059">
      <w:bodyDiv w:val="1"/>
      <w:marLeft w:val="0"/>
      <w:marRight w:val="0"/>
      <w:marTop w:val="0"/>
      <w:marBottom w:val="0"/>
      <w:divBdr>
        <w:top w:val="none" w:sz="0" w:space="0" w:color="auto"/>
        <w:left w:val="none" w:sz="0" w:space="0" w:color="auto"/>
        <w:bottom w:val="none" w:sz="0" w:space="0" w:color="auto"/>
        <w:right w:val="none" w:sz="0" w:space="0" w:color="auto"/>
      </w:divBdr>
    </w:div>
    <w:div w:id="728696019">
      <w:bodyDiv w:val="1"/>
      <w:marLeft w:val="0"/>
      <w:marRight w:val="0"/>
      <w:marTop w:val="0"/>
      <w:marBottom w:val="0"/>
      <w:divBdr>
        <w:top w:val="none" w:sz="0" w:space="0" w:color="auto"/>
        <w:left w:val="none" w:sz="0" w:space="0" w:color="auto"/>
        <w:bottom w:val="none" w:sz="0" w:space="0" w:color="auto"/>
        <w:right w:val="none" w:sz="0" w:space="0" w:color="auto"/>
      </w:divBdr>
    </w:div>
    <w:div w:id="756907997">
      <w:bodyDiv w:val="1"/>
      <w:marLeft w:val="0"/>
      <w:marRight w:val="0"/>
      <w:marTop w:val="0"/>
      <w:marBottom w:val="0"/>
      <w:divBdr>
        <w:top w:val="none" w:sz="0" w:space="0" w:color="auto"/>
        <w:left w:val="none" w:sz="0" w:space="0" w:color="auto"/>
        <w:bottom w:val="none" w:sz="0" w:space="0" w:color="auto"/>
        <w:right w:val="none" w:sz="0" w:space="0" w:color="auto"/>
      </w:divBdr>
    </w:div>
    <w:div w:id="821391756">
      <w:bodyDiv w:val="1"/>
      <w:marLeft w:val="0"/>
      <w:marRight w:val="0"/>
      <w:marTop w:val="0"/>
      <w:marBottom w:val="0"/>
      <w:divBdr>
        <w:top w:val="none" w:sz="0" w:space="0" w:color="auto"/>
        <w:left w:val="none" w:sz="0" w:space="0" w:color="auto"/>
        <w:bottom w:val="none" w:sz="0" w:space="0" w:color="auto"/>
        <w:right w:val="none" w:sz="0" w:space="0" w:color="auto"/>
      </w:divBdr>
    </w:div>
    <w:div w:id="932278671">
      <w:bodyDiv w:val="1"/>
      <w:marLeft w:val="0"/>
      <w:marRight w:val="0"/>
      <w:marTop w:val="0"/>
      <w:marBottom w:val="0"/>
      <w:divBdr>
        <w:top w:val="none" w:sz="0" w:space="0" w:color="auto"/>
        <w:left w:val="none" w:sz="0" w:space="0" w:color="auto"/>
        <w:bottom w:val="none" w:sz="0" w:space="0" w:color="auto"/>
        <w:right w:val="none" w:sz="0" w:space="0" w:color="auto"/>
      </w:divBdr>
    </w:div>
    <w:div w:id="1143347888">
      <w:bodyDiv w:val="1"/>
      <w:marLeft w:val="0"/>
      <w:marRight w:val="0"/>
      <w:marTop w:val="0"/>
      <w:marBottom w:val="0"/>
      <w:divBdr>
        <w:top w:val="none" w:sz="0" w:space="0" w:color="auto"/>
        <w:left w:val="none" w:sz="0" w:space="0" w:color="auto"/>
        <w:bottom w:val="none" w:sz="0" w:space="0" w:color="auto"/>
        <w:right w:val="none" w:sz="0" w:space="0" w:color="auto"/>
      </w:divBdr>
    </w:div>
    <w:div w:id="1146897532">
      <w:bodyDiv w:val="1"/>
      <w:marLeft w:val="0"/>
      <w:marRight w:val="0"/>
      <w:marTop w:val="0"/>
      <w:marBottom w:val="0"/>
      <w:divBdr>
        <w:top w:val="none" w:sz="0" w:space="0" w:color="auto"/>
        <w:left w:val="none" w:sz="0" w:space="0" w:color="auto"/>
        <w:bottom w:val="none" w:sz="0" w:space="0" w:color="auto"/>
        <w:right w:val="none" w:sz="0" w:space="0" w:color="auto"/>
      </w:divBdr>
    </w:div>
    <w:div w:id="1169174890">
      <w:bodyDiv w:val="1"/>
      <w:marLeft w:val="0"/>
      <w:marRight w:val="0"/>
      <w:marTop w:val="0"/>
      <w:marBottom w:val="0"/>
      <w:divBdr>
        <w:top w:val="none" w:sz="0" w:space="0" w:color="auto"/>
        <w:left w:val="none" w:sz="0" w:space="0" w:color="auto"/>
        <w:bottom w:val="none" w:sz="0" w:space="0" w:color="auto"/>
        <w:right w:val="none" w:sz="0" w:space="0" w:color="auto"/>
      </w:divBdr>
      <w:divsChild>
        <w:div w:id="1644845297">
          <w:marLeft w:val="0"/>
          <w:marRight w:val="0"/>
          <w:marTop w:val="0"/>
          <w:marBottom w:val="0"/>
          <w:divBdr>
            <w:top w:val="none" w:sz="0" w:space="0" w:color="auto"/>
            <w:left w:val="none" w:sz="0" w:space="0" w:color="auto"/>
            <w:bottom w:val="none" w:sz="0" w:space="0" w:color="auto"/>
            <w:right w:val="none" w:sz="0" w:space="0" w:color="auto"/>
          </w:divBdr>
          <w:divsChild>
            <w:div w:id="1171749809">
              <w:marLeft w:val="0"/>
              <w:marRight w:val="0"/>
              <w:marTop w:val="0"/>
              <w:marBottom w:val="0"/>
              <w:divBdr>
                <w:top w:val="none" w:sz="0" w:space="0" w:color="auto"/>
                <w:left w:val="none" w:sz="0" w:space="0" w:color="auto"/>
                <w:bottom w:val="none" w:sz="0" w:space="0" w:color="auto"/>
                <w:right w:val="none" w:sz="0" w:space="0" w:color="auto"/>
              </w:divBdr>
              <w:divsChild>
                <w:div w:id="959268050">
                  <w:marLeft w:val="0"/>
                  <w:marRight w:val="0"/>
                  <w:marTop w:val="0"/>
                  <w:marBottom w:val="0"/>
                  <w:divBdr>
                    <w:top w:val="none" w:sz="0" w:space="0" w:color="auto"/>
                    <w:left w:val="none" w:sz="0" w:space="0" w:color="auto"/>
                    <w:bottom w:val="none" w:sz="0" w:space="0" w:color="auto"/>
                    <w:right w:val="none" w:sz="0" w:space="0" w:color="auto"/>
                  </w:divBdr>
                  <w:divsChild>
                    <w:div w:id="1125390743">
                      <w:marLeft w:val="0"/>
                      <w:marRight w:val="0"/>
                      <w:marTop w:val="0"/>
                      <w:marBottom w:val="0"/>
                      <w:divBdr>
                        <w:top w:val="none" w:sz="0" w:space="0" w:color="auto"/>
                        <w:left w:val="none" w:sz="0" w:space="0" w:color="auto"/>
                        <w:bottom w:val="none" w:sz="0" w:space="0" w:color="auto"/>
                        <w:right w:val="none" w:sz="0" w:space="0" w:color="auto"/>
                      </w:divBdr>
                      <w:divsChild>
                        <w:div w:id="1268974574">
                          <w:marLeft w:val="0"/>
                          <w:marRight w:val="0"/>
                          <w:marTop w:val="0"/>
                          <w:marBottom w:val="0"/>
                          <w:divBdr>
                            <w:top w:val="none" w:sz="0" w:space="0" w:color="auto"/>
                            <w:left w:val="none" w:sz="0" w:space="0" w:color="auto"/>
                            <w:bottom w:val="none" w:sz="0" w:space="0" w:color="auto"/>
                            <w:right w:val="none" w:sz="0" w:space="0" w:color="auto"/>
                          </w:divBdr>
                          <w:divsChild>
                            <w:div w:id="1140460206">
                              <w:marLeft w:val="0"/>
                              <w:marRight w:val="0"/>
                              <w:marTop w:val="0"/>
                              <w:marBottom w:val="0"/>
                              <w:divBdr>
                                <w:top w:val="none" w:sz="0" w:space="0" w:color="auto"/>
                                <w:left w:val="none" w:sz="0" w:space="0" w:color="auto"/>
                                <w:bottom w:val="none" w:sz="0" w:space="0" w:color="auto"/>
                                <w:right w:val="none" w:sz="0" w:space="0" w:color="auto"/>
                              </w:divBdr>
                              <w:divsChild>
                                <w:div w:id="95905200">
                                  <w:marLeft w:val="0"/>
                                  <w:marRight w:val="0"/>
                                  <w:marTop w:val="0"/>
                                  <w:marBottom w:val="0"/>
                                  <w:divBdr>
                                    <w:top w:val="none" w:sz="0" w:space="0" w:color="auto"/>
                                    <w:left w:val="none" w:sz="0" w:space="0" w:color="auto"/>
                                    <w:bottom w:val="none" w:sz="0" w:space="0" w:color="auto"/>
                                    <w:right w:val="none" w:sz="0" w:space="0" w:color="auto"/>
                                  </w:divBdr>
                                  <w:divsChild>
                                    <w:div w:id="1147085560">
                                      <w:marLeft w:val="0"/>
                                      <w:marRight w:val="0"/>
                                      <w:marTop w:val="0"/>
                                      <w:marBottom w:val="0"/>
                                      <w:divBdr>
                                        <w:top w:val="none" w:sz="0" w:space="0" w:color="auto"/>
                                        <w:left w:val="none" w:sz="0" w:space="0" w:color="auto"/>
                                        <w:bottom w:val="none" w:sz="0" w:space="0" w:color="auto"/>
                                        <w:right w:val="none" w:sz="0" w:space="0" w:color="auto"/>
                                      </w:divBdr>
                                      <w:divsChild>
                                        <w:div w:id="755590159">
                                          <w:marLeft w:val="0"/>
                                          <w:marRight w:val="0"/>
                                          <w:marTop w:val="0"/>
                                          <w:marBottom w:val="0"/>
                                          <w:divBdr>
                                            <w:top w:val="none" w:sz="0" w:space="0" w:color="auto"/>
                                            <w:left w:val="none" w:sz="0" w:space="0" w:color="auto"/>
                                            <w:bottom w:val="none" w:sz="0" w:space="0" w:color="auto"/>
                                            <w:right w:val="none" w:sz="0" w:space="0" w:color="auto"/>
                                          </w:divBdr>
                                          <w:divsChild>
                                            <w:div w:id="1450389398">
                                              <w:marLeft w:val="0"/>
                                              <w:marRight w:val="0"/>
                                              <w:marTop w:val="0"/>
                                              <w:marBottom w:val="0"/>
                                              <w:divBdr>
                                                <w:top w:val="none" w:sz="0" w:space="0" w:color="auto"/>
                                                <w:left w:val="none" w:sz="0" w:space="0" w:color="auto"/>
                                                <w:bottom w:val="none" w:sz="0" w:space="0" w:color="auto"/>
                                                <w:right w:val="none" w:sz="0" w:space="0" w:color="auto"/>
                                              </w:divBdr>
                                              <w:divsChild>
                                                <w:div w:id="1483884481">
                                                  <w:marLeft w:val="0"/>
                                                  <w:marRight w:val="0"/>
                                                  <w:marTop w:val="0"/>
                                                  <w:marBottom w:val="0"/>
                                                  <w:divBdr>
                                                    <w:top w:val="none" w:sz="0" w:space="0" w:color="auto"/>
                                                    <w:left w:val="none" w:sz="0" w:space="0" w:color="auto"/>
                                                    <w:bottom w:val="none" w:sz="0" w:space="0" w:color="auto"/>
                                                    <w:right w:val="none" w:sz="0" w:space="0" w:color="auto"/>
                                                  </w:divBdr>
                                                  <w:divsChild>
                                                    <w:div w:id="1261838694">
                                                      <w:marLeft w:val="0"/>
                                                      <w:marRight w:val="0"/>
                                                      <w:marTop w:val="0"/>
                                                      <w:marBottom w:val="0"/>
                                                      <w:divBdr>
                                                        <w:top w:val="none" w:sz="0" w:space="0" w:color="auto"/>
                                                        <w:left w:val="none" w:sz="0" w:space="0" w:color="auto"/>
                                                        <w:bottom w:val="none" w:sz="0" w:space="0" w:color="auto"/>
                                                        <w:right w:val="none" w:sz="0" w:space="0" w:color="auto"/>
                                                      </w:divBdr>
                                                      <w:divsChild>
                                                        <w:div w:id="939877909">
                                                          <w:marLeft w:val="0"/>
                                                          <w:marRight w:val="0"/>
                                                          <w:marTop w:val="0"/>
                                                          <w:marBottom w:val="0"/>
                                                          <w:divBdr>
                                                            <w:top w:val="none" w:sz="0" w:space="0" w:color="auto"/>
                                                            <w:left w:val="none" w:sz="0" w:space="0" w:color="auto"/>
                                                            <w:bottom w:val="none" w:sz="0" w:space="0" w:color="auto"/>
                                                            <w:right w:val="none" w:sz="0" w:space="0" w:color="auto"/>
                                                          </w:divBdr>
                                                          <w:divsChild>
                                                            <w:div w:id="105346074">
                                                              <w:marLeft w:val="0"/>
                                                              <w:marRight w:val="150"/>
                                                              <w:marTop w:val="0"/>
                                                              <w:marBottom w:val="150"/>
                                                              <w:divBdr>
                                                                <w:top w:val="none" w:sz="0" w:space="0" w:color="auto"/>
                                                                <w:left w:val="none" w:sz="0" w:space="0" w:color="auto"/>
                                                                <w:bottom w:val="none" w:sz="0" w:space="0" w:color="auto"/>
                                                                <w:right w:val="none" w:sz="0" w:space="0" w:color="auto"/>
                                                              </w:divBdr>
                                                              <w:divsChild>
                                                                <w:div w:id="169024604">
                                                                  <w:marLeft w:val="0"/>
                                                                  <w:marRight w:val="0"/>
                                                                  <w:marTop w:val="0"/>
                                                                  <w:marBottom w:val="0"/>
                                                                  <w:divBdr>
                                                                    <w:top w:val="none" w:sz="0" w:space="0" w:color="auto"/>
                                                                    <w:left w:val="none" w:sz="0" w:space="0" w:color="auto"/>
                                                                    <w:bottom w:val="none" w:sz="0" w:space="0" w:color="auto"/>
                                                                    <w:right w:val="none" w:sz="0" w:space="0" w:color="auto"/>
                                                                  </w:divBdr>
                                                                  <w:divsChild>
                                                                    <w:div w:id="82993482">
                                                                      <w:marLeft w:val="0"/>
                                                                      <w:marRight w:val="0"/>
                                                                      <w:marTop w:val="0"/>
                                                                      <w:marBottom w:val="0"/>
                                                                      <w:divBdr>
                                                                        <w:top w:val="none" w:sz="0" w:space="0" w:color="auto"/>
                                                                        <w:left w:val="none" w:sz="0" w:space="0" w:color="auto"/>
                                                                        <w:bottom w:val="none" w:sz="0" w:space="0" w:color="auto"/>
                                                                        <w:right w:val="none" w:sz="0" w:space="0" w:color="auto"/>
                                                                      </w:divBdr>
                                                                      <w:divsChild>
                                                                        <w:div w:id="1731003596">
                                                                          <w:marLeft w:val="0"/>
                                                                          <w:marRight w:val="0"/>
                                                                          <w:marTop w:val="0"/>
                                                                          <w:marBottom w:val="0"/>
                                                                          <w:divBdr>
                                                                            <w:top w:val="none" w:sz="0" w:space="0" w:color="auto"/>
                                                                            <w:left w:val="none" w:sz="0" w:space="0" w:color="auto"/>
                                                                            <w:bottom w:val="none" w:sz="0" w:space="0" w:color="auto"/>
                                                                            <w:right w:val="none" w:sz="0" w:space="0" w:color="auto"/>
                                                                          </w:divBdr>
                                                                          <w:divsChild>
                                                                            <w:div w:id="966164345">
                                                                              <w:marLeft w:val="0"/>
                                                                              <w:marRight w:val="0"/>
                                                                              <w:marTop w:val="0"/>
                                                                              <w:marBottom w:val="0"/>
                                                                              <w:divBdr>
                                                                                <w:top w:val="none" w:sz="0" w:space="0" w:color="auto"/>
                                                                                <w:left w:val="none" w:sz="0" w:space="0" w:color="auto"/>
                                                                                <w:bottom w:val="none" w:sz="0" w:space="0" w:color="auto"/>
                                                                                <w:right w:val="none" w:sz="0" w:space="0" w:color="auto"/>
                                                                              </w:divBdr>
                                                                              <w:divsChild>
                                                                                <w:div w:id="2061905384">
                                                                                  <w:marLeft w:val="0"/>
                                                                                  <w:marRight w:val="0"/>
                                                                                  <w:marTop w:val="0"/>
                                                                                  <w:marBottom w:val="0"/>
                                                                                  <w:divBdr>
                                                                                    <w:top w:val="none" w:sz="0" w:space="0" w:color="auto"/>
                                                                                    <w:left w:val="none" w:sz="0" w:space="0" w:color="auto"/>
                                                                                    <w:bottom w:val="none" w:sz="0" w:space="0" w:color="auto"/>
                                                                                    <w:right w:val="none" w:sz="0" w:space="0" w:color="auto"/>
                                                                                  </w:divBdr>
                                                                                  <w:divsChild>
                                                                                    <w:div w:id="2104565805">
                                                                                      <w:marLeft w:val="0"/>
                                                                                      <w:marRight w:val="0"/>
                                                                                      <w:marTop w:val="0"/>
                                                                                      <w:marBottom w:val="0"/>
                                                                                      <w:divBdr>
                                                                                        <w:top w:val="none" w:sz="0" w:space="0" w:color="auto"/>
                                                                                        <w:left w:val="none" w:sz="0" w:space="0" w:color="auto"/>
                                                                                        <w:bottom w:val="none" w:sz="0" w:space="0" w:color="auto"/>
                                                                                        <w:right w:val="none" w:sz="0" w:space="0" w:color="auto"/>
                                                                                      </w:divBdr>
                                                                                      <w:divsChild>
                                                                                        <w:div w:id="1396470919">
                                                                                          <w:marLeft w:val="0"/>
                                                                                          <w:marRight w:val="0"/>
                                                                                          <w:marTop w:val="0"/>
                                                                                          <w:marBottom w:val="0"/>
                                                                                          <w:divBdr>
                                                                                            <w:top w:val="none" w:sz="0" w:space="0" w:color="auto"/>
                                                                                            <w:left w:val="none" w:sz="0" w:space="0" w:color="auto"/>
                                                                                            <w:bottom w:val="none" w:sz="0" w:space="0" w:color="auto"/>
                                                                                            <w:right w:val="none" w:sz="0" w:space="0" w:color="auto"/>
                                                                                          </w:divBdr>
                                                                                        </w:div>
                                                                                        <w:div w:id="20928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761069">
      <w:bodyDiv w:val="1"/>
      <w:marLeft w:val="0"/>
      <w:marRight w:val="0"/>
      <w:marTop w:val="0"/>
      <w:marBottom w:val="0"/>
      <w:divBdr>
        <w:top w:val="none" w:sz="0" w:space="0" w:color="auto"/>
        <w:left w:val="none" w:sz="0" w:space="0" w:color="auto"/>
        <w:bottom w:val="none" w:sz="0" w:space="0" w:color="auto"/>
        <w:right w:val="none" w:sz="0" w:space="0" w:color="auto"/>
      </w:divBdr>
    </w:div>
    <w:div w:id="1215314343">
      <w:bodyDiv w:val="1"/>
      <w:marLeft w:val="0"/>
      <w:marRight w:val="0"/>
      <w:marTop w:val="0"/>
      <w:marBottom w:val="0"/>
      <w:divBdr>
        <w:top w:val="none" w:sz="0" w:space="0" w:color="auto"/>
        <w:left w:val="none" w:sz="0" w:space="0" w:color="auto"/>
        <w:bottom w:val="none" w:sz="0" w:space="0" w:color="auto"/>
        <w:right w:val="none" w:sz="0" w:space="0" w:color="auto"/>
      </w:divBdr>
    </w:div>
    <w:div w:id="1308822857">
      <w:bodyDiv w:val="1"/>
      <w:marLeft w:val="0"/>
      <w:marRight w:val="0"/>
      <w:marTop w:val="0"/>
      <w:marBottom w:val="0"/>
      <w:divBdr>
        <w:top w:val="none" w:sz="0" w:space="0" w:color="auto"/>
        <w:left w:val="none" w:sz="0" w:space="0" w:color="auto"/>
        <w:bottom w:val="none" w:sz="0" w:space="0" w:color="auto"/>
        <w:right w:val="none" w:sz="0" w:space="0" w:color="auto"/>
      </w:divBdr>
    </w:div>
    <w:div w:id="1390152931">
      <w:bodyDiv w:val="1"/>
      <w:marLeft w:val="0"/>
      <w:marRight w:val="0"/>
      <w:marTop w:val="0"/>
      <w:marBottom w:val="0"/>
      <w:divBdr>
        <w:top w:val="none" w:sz="0" w:space="0" w:color="auto"/>
        <w:left w:val="none" w:sz="0" w:space="0" w:color="auto"/>
        <w:bottom w:val="none" w:sz="0" w:space="0" w:color="auto"/>
        <w:right w:val="none" w:sz="0" w:space="0" w:color="auto"/>
      </w:divBdr>
    </w:div>
    <w:div w:id="1399743616">
      <w:bodyDiv w:val="1"/>
      <w:marLeft w:val="0"/>
      <w:marRight w:val="0"/>
      <w:marTop w:val="0"/>
      <w:marBottom w:val="0"/>
      <w:divBdr>
        <w:top w:val="none" w:sz="0" w:space="0" w:color="auto"/>
        <w:left w:val="none" w:sz="0" w:space="0" w:color="auto"/>
        <w:bottom w:val="none" w:sz="0" w:space="0" w:color="auto"/>
        <w:right w:val="none" w:sz="0" w:space="0" w:color="auto"/>
      </w:divBdr>
    </w:div>
    <w:div w:id="1407260356">
      <w:bodyDiv w:val="1"/>
      <w:marLeft w:val="0"/>
      <w:marRight w:val="0"/>
      <w:marTop w:val="0"/>
      <w:marBottom w:val="0"/>
      <w:divBdr>
        <w:top w:val="none" w:sz="0" w:space="0" w:color="auto"/>
        <w:left w:val="none" w:sz="0" w:space="0" w:color="auto"/>
        <w:bottom w:val="none" w:sz="0" w:space="0" w:color="auto"/>
        <w:right w:val="none" w:sz="0" w:space="0" w:color="auto"/>
      </w:divBdr>
    </w:div>
    <w:div w:id="1483233455">
      <w:bodyDiv w:val="1"/>
      <w:marLeft w:val="0"/>
      <w:marRight w:val="0"/>
      <w:marTop w:val="0"/>
      <w:marBottom w:val="0"/>
      <w:divBdr>
        <w:top w:val="none" w:sz="0" w:space="0" w:color="auto"/>
        <w:left w:val="none" w:sz="0" w:space="0" w:color="auto"/>
        <w:bottom w:val="none" w:sz="0" w:space="0" w:color="auto"/>
        <w:right w:val="none" w:sz="0" w:space="0" w:color="auto"/>
      </w:divBdr>
    </w:div>
    <w:div w:id="1541357532">
      <w:bodyDiv w:val="1"/>
      <w:marLeft w:val="0"/>
      <w:marRight w:val="0"/>
      <w:marTop w:val="0"/>
      <w:marBottom w:val="0"/>
      <w:divBdr>
        <w:top w:val="none" w:sz="0" w:space="0" w:color="auto"/>
        <w:left w:val="none" w:sz="0" w:space="0" w:color="auto"/>
        <w:bottom w:val="none" w:sz="0" w:space="0" w:color="auto"/>
        <w:right w:val="none" w:sz="0" w:space="0" w:color="auto"/>
      </w:divBdr>
    </w:div>
    <w:div w:id="1607075405">
      <w:bodyDiv w:val="1"/>
      <w:marLeft w:val="0"/>
      <w:marRight w:val="0"/>
      <w:marTop w:val="0"/>
      <w:marBottom w:val="0"/>
      <w:divBdr>
        <w:top w:val="none" w:sz="0" w:space="0" w:color="auto"/>
        <w:left w:val="none" w:sz="0" w:space="0" w:color="auto"/>
        <w:bottom w:val="none" w:sz="0" w:space="0" w:color="auto"/>
        <w:right w:val="none" w:sz="0" w:space="0" w:color="auto"/>
      </w:divBdr>
    </w:div>
    <w:div w:id="1607691383">
      <w:bodyDiv w:val="1"/>
      <w:marLeft w:val="0"/>
      <w:marRight w:val="0"/>
      <w:marTop w:val="0"/>
      <w:marBottom w:val="0"/>
      <w:divBdr>
        <w:top w:val="none" w:sz="0" w:space="0" w:color="auto"/>
        <w:left w:val="none" w:sz="0" w:space="0" w:color="auto"/>
        <w:bottom w:val="none" w:sz="0" w:space="0" w:color="auto"/>
        <w:right w:val="none" w:sz="0" w:space="0" w:color="auto"/>
      </w:divBdr>
    </w:div>
    <w:div w:id="1637374055">
      <w:bodyDiv w:val="1"/>
      <w:marLeft w:val="0"/>
      <w:marRight w:val="0"/>
      <w:marTop w:val="0"/>
      <w:marBottom w:val="0"/>
      <w:divBdr>
        <w:top w:val="none" w:sz="0" w:space="0" w:color="auto"/>
        <w:left w:val="none" w:sz="0" w:space="0" w:color="auto"/>
        <w:bottom w:val="none" w:sz="0" w:space="0" w:color="auto"/>
        <w:right w:val="none" w:sz="0" w:space="0" w:color="auto"/>
      </w:divBdr>
    </w:div>
    <w:div w:id="1656453920">
      <w:bodyDiv w:val="1"/>
      <w:marLeft w:val="0"/>
      <w:marRight w:val="0"/>
      <w:marTop w:val="0"/>
      <w:marBottom w:val="0"/>
      <w:divBdr>
        <w:top w:val="none" w:sz="0" w:space="0" w:color="auto"/>
        <w:left w:val="none" w:sz="0" w:space="0" w:color="auto"/>
        <w:bottom w:val="none" w:sz="0" w:space="0" w:color="auto"/>
        <w:right w:val="none" w:sz="0" w:space="0" w:color="auto"/>
      </w:divBdr>
    </w:div>
    <w:div w:id="1678576022">
      <w:bodyDiv w:val="1"/>
      <w:marLeft w:val="0"/>
      <w:marRight w:val="0"/>
      <w:marTop w:val="0"/>
      <w:marBottom w:val="0"/>
      <w:divBdr>
        <w:top w:val="none" w:sz="0" w:space="0" w:color="auto"/>
        <w:left w:val="none" w:sz="0" w:space="0" w:color="auto"/>
        <w:bottom w:val="none" w:sz="0" w:space="0" w:color="auto"/>
        <w:right w:val="none" w:sz="0" w:space="0" w:color="auto"/>
      </w:divBdr>
    </w:div>
    <w:div w:id="1734620361">
      <w:bodyDiv w:val="1"/>
      <w:marLeft w:val="0"/>
      <w:marRight w:val="0"/>
      <w:marTop w:val="0"/>
      <w:marBottom w:val="0"/>
      <w:divBdr>
        <w:top w:val="none" w:sz="0" w:space="0" w:color="auto"/>
        <w:left w:val="none" w:sz="0" w:space="0" w:color="auto"/>
        <w:bottom w:val="none" w:sz="0" w:space="0" w:color="auto"/>
        <w:right w:val="none" w:sz="0" w:space="0" w:color="auto"/>
      </w:divBdr>
    </w:div>
    <w:div w:id="1770277567">
      <w:bodyDiv w:val="1"/>
      <w:marLeft w:val="0"/>
      <w:marRight w:val="0"/>
      <w:marTop w:val="0"/>
      <w:marBottom w:val="0"/>
      <w:divBdr>
        <w:top w:val="none" w:sz="0" w:space="0" w:color="auto"/>
        <w:left w:val="none" w:sz="0" w:space="0" w:color="auto"/>
        <w:bottom w:val="none" w:sz="0" w:space="0" w:color="auto"/>
        <w:right w:val="none" w:sz="0" w:space="0" w:color="auto"/>
      </w:divBdr>
    </w:div>
    <w:div w:id="1773165782">
      <w:bodyDiv w:val="1"/>
      <w:marLeft w:val="0"/>
      <w:marRight w:val="0"/>
      <w:marTop w:val="0"/>
      <w:marBottom w:val="0"/>
      <w:divBdr>
        <w:top w:val="none" w:sz="0" w:space="0" w:color="auto"/>
        <w:left w:val="none" w:sz="0" w:space="0" w:color="auto"/>
        <w:bottom w:val="none" w:sz="0" w:space="0" w:color="auto"/>
        <w:right w:val="none" w:sz="0" w:space="0" w:color="auto"/>
      </w:divBdr>
    </w:div>
    <w:div w:id="1814829332">
      <w:bodyDiv w:val="1"/>
      <w:marLeft w:val="0"/>
      <w:marRight w:val="0"/>
      <w:marTop w:val="0"/>
      <w:marBottom w:val="0"/>
      <w:divBdr>
        <w:top w:val="none" w:sz="0" w:space="0" w:color="auto"/>
        <w:left w:val="none" w:sz="0" w:space="0" w:color="auto"/>
        <w:bottom w:val="none" w:sz="0" w:space="0" w:color="auto"/>
        <w:right w:val="none" w:sz="0" w:space="0" w:color="auto"/>
      </w:divBdr>
    </w:div>
    <w:div w:id="1851870229">
      <w:bodyDiv w:val="1"/>
      <w:marLeft w:val="0"/>
      <w:marRight w:val="0"/>
      <w:marTop w:val="0"/>
      <w:marBottom w:val="0"/>
      <w:divBdr>
        <w:top w:val="none" w:sz="0" w:space="0" w:color="auto"/>
        <w:left w:val="none" w:sz="0" w:space="0" w:color="auto"/>
        <w:bottom w:val="none" w:sz="0" w:space="0" w:color="auto"/>
        <w:right w:val="none" w:sz="0" w:space="0" w:color="auto"/>
      </w:divBdr>
    </w:div>
    <w:div w:id="1864708264">
      <w:bodyDiv w:val="1"/>
      <w:marLeft w:val="0"/>
      <w:marRight w:val="0"/>
      <w:marTop w:val="0"/>
      <w:marBottom w:val="0"/>
      <w:divBdr>
        <w:top w:val="none" w:sz="0" w:space="0" w:color="auto"/>
        <w:left w:val="none" w:sz="0" w:space="0" w:color="auto"/>
        <w:bottom w:val="none" w:sz="0" w:space="0" w:color="auto"/>
        <w:right w:val="none" w:sz="0" w:space="0" w:color="auto"/>
      </w:divBdr>
      <w:divsChild>
        <w:div w:id="620653335">
          <w:marLeft w:val="0"/>
          <w:marRight w:val="0"/>
          <w:marTop w:val="0"/>
          <w:marBottom w:val="0"/>
          <w:divBdr>
            <w:top w:val="none" w:sz="0" w:space="0" w:color="auto"/>
            <w:left w:val="none" w:sz="0" w:space="0" w:color="auto"/>
            <w:bottom w:val="none" w:sz="0" w:space="0" w:color="auto"/>
            <w:right w:val="none" w:sz="0" w:space="0" w:color="auto"/>
          </w:divBdr>
          <w:divsChild>
            <w:div w:id="177084428">
              <w:marLeft w:val="0"/>
              <w:marRight w:val="0"/>
              <w:marTop w:val="0"/>
              <w:marBottom w:val="0"/>
              <w:divBdr>
                <w:top w:val="none" w:sz="0" w:space="0" w:color="auto"/>
                <w:left w:val="none" w:sz="0" w:space="0" w:color="auto"/>
                <w:bottom w:val="none" w:sz="0" w:space="0" w:color="auto"/>
                <w:right w:val="none" w:sz="0" w:space="0" w:color="auto"/>
              </w:divBdr>
              <w:divsChild>
                <w:div w:id="577784264">
                  <w:marLeft w:val="0"/>
                  <w:marRight w:val="0"/>
                  <w:marTop w:val="0"/>
                  <w:marBottom w:val="0"/>
                  <w:divBdr>
                    <w:top w:val="none" w:sz="0" w:space="0" w:color="auto"/>
                    <w:left w:val="none" w:sz="0" w:space="0" w:color="auto"/>
                    <w:bottom w:val="none" w:sz="0" w:space="0" w:color="auto"/>
                    <w:right w:val="none" w:sz="0" w:space="0" w:color="auto"/>
                  </w:divBdr>
                  <w:divsChild>
                    <w:div w:id="1424836504">
                      <w:marLeft w:val="0"/>
                      <w:marRight w:val="0"/>
                      <w:marTop w:val="0"/>
                      <w:marBottom w:val="0"/>
                      <w:divBdr>
                        <w:top w:val="none" w:sz="0" w:space="0" w:color="auto"/>
                        <w:left w:val="none" w:sz="0" w:space="0" w:color="auto"/>
                        <w:bottom w:val="none" w:sz="0" w:space="0" w:color="auto"/>
                        <w:right w:val="none" w:sz="0" w:space="0" w:color="auto"/>
                      </w:divBdr>
                      <w:divsChild>
                        <w:div w:id="1413697080">
                          <w:marLeft w:val="0"/>
                          <w:marRight w:val="0"/>
                          <w:marTop w:val="0"/>
                          <w:marBottom w:val="0"/>
                          <w:divBdr>
                            <w:top w:val="none" w:sz="0" w:space="0" w:color="auto"/>
                            <w:left w:val="none" w:sz="0" w:space="0" w:color="auto"/>
                            <w:bottom w:val="none" w:sz="0" w:space="0" w:color="auto"/>
                            <w:right w:val="none" w:sz="0" w:space="0" w:color="auto"/>
                          </w:divBdr>
                          <w:divsChild>
                            <w:div w:id="1635064402">
                              <w:marLeft w:val="0"/>
                              <w:marRight w:val="0"/>
                              <w:marTop w:val="0"/>
                              <w:marBottom w:val="0"/>
                              <w:divBdr>
                                <w:top w:val="none" w:sz="0" w:space="0" w:color="auto"/>
                                <w:left w:val="none" w:sz="0" w:space="0" w:color="auto"/>
                                <w:bottom w:val="none" w:sz="0" w:space="0" w:color="auto"/>
                                <w:right w:val="none" w:sz="0" w:space="0" w:color="auto"/>
                              </w:divBdr>
                              <w:divsChild>
                                <w:div w:id="1512984380">
                                  <w:marLeft w:val="0"/>
                                  <w:marRight w:val="0"/>
                                  <w:marTop w:val="0"/>
                                  <w:marBottom w:val="0"/>
                                  <w:divBdr>
                                    <w:top w:val="none" w:sz="0" w:space="0" w:color="auto"/>
                                    <w:left w:val="none" w:sz="0" w:space="0" w:color="auto"/>
                                    <w:bottom w:val="none" w:sz="0" w:space="0" w:color="auto"/>
                                    <w:right w:val="none" w:sz="0" w:space="0" w:color="auto"/>
                                  </w:divBdr>
                                  <w:divsChild>
                                    <w:div w:id="335379450">
                                      <w:marLeft w:val="0"/>
                                      <w:marRight w:val="0"/>
                                      <w:marTop w:val="0"/>
                                      <w:marBottom w:val="0"/>
                                      <w:divBdr>
                                        <w:top w:val="none" w:sz="0" w:space="0" w:color="auto"/>
                                        <w:left w:val="none" w:sz="0" w:space="0" w:color="auto"/>
                                        <w:bottom w:val="none" w:sz="0" w:space="0" w:color="auto"/>
                                        <w:right w:val="none" w:sz="0" w:space="0" w:color="auto"/>
                                      </w:divBdr>
                                      <w:divsChild>
                                        <w:div w:id="73555354">
                                          <w:marLeft w:val="0"/>
                                          <w:marRight w:val="0"/>
                                          <w:marTop w:val="0"/>
                                          <w:marBottom w:val="0"/>
                                          <w:divBdr>
                                            <w:top w:val="none" w:sz="0" w:space="0" w:color="auto"/>
                                            <w:left w:val="none" w:sz="0" w:space="0" w:color="auto"/>
                                            <w:bottom w:val="none" w:sz="0" w:space="0" w:color="auto"/>
                                            <w:right w:val="none" w:sz="0" w:space="0" w:color="auto"/>
                                          </w:divBdr>
                                          <w:divsChild>
                                            <w:div w:id="2127382189">
                                              <w:marLeft w:val="0"/>
                                              <w:marRight w:val="0"/>
                                              <w:marTop w:val="0"/>
                                              <w:marBottom w:val="0"/>
                                              <w:divBdr>
                                                <w:top w:val="none" w:sz="0" w:space="0" w:color="auto"/>
                                                <w:left w:val="none" w:sz="0" w:space="0" w:color="auto"/>
                                                <w:bottom w:val="none" w:sz="0" w:space="0" w:color="auto"/>
                                                <w:right w:val="none" w:sz="0" w:space="0" w:color="auto"/>
                                              </w:divBdr>
                                              <w:divsChild>
                                                <w:div w:id="2139642352">
                                                  <w:marLeft w:val="0"/>
                                                  <w:marRight w:val="0"/>
                                                  <w:marTop w:val="0"/>
                                                  <w:marBottom w:val="0"/>
                                                  <w:divBdr>
                                                    <w:top w:val="none" w:sz="0" w:space="0" w:color="auto"/>
                                                    <w:left w:val="none" w:sz="0" w:space="0" w:color="auto"/>
                                                    <w:bottom w:val="none" w:sz="0" w:space="0" w:color="auto"/>
                                                    <w:right w:val="none" w:sz="0" w:space="0" w:color="auto"/>
                                                  </w:divBdr>
                                                  <w:divsChild>
                                                    <w:div w:id="861087793">
                                                      <w:marLeft w:val="0"/>
                                                      <w:marRight w:val="0"/>
                                                      <w:marTop w:val="0"/>
                                                      <w:marBottom w:val="0"/>
                                                      <w:divBdr>
                                                        <w:top w:val="none" w:sz="0" w:space="0" w:color="auto"/>
                                                        <w:left w:val="none" w:sz="0" w:space="0" w:color="auto"/>
                                                        <w:bottom w:val="none" w:sz="0" w:space="0" w:color="auto"/>
                                                        <w:right w:val="none" w:sz="0" w:space="0" w:color="auto"/>
                                                      </w:divBdr>
                                                      <w:divsChild>
                                                        <w:div w:id="1771848069">
                                                          <w:marLeft w:val="0"/>
                                                          <w:marRight w:val="0"/>
                                                          <w:marTop w:val="0"/>
                                                          <w:marBottom w:val="0"/>
                                                          <w:divBdr>
                                                            <w:top w:val="none" w:sz="0" w:space="0" w:color="auto"/>
                                                            <w:left w:val="none" w:sz="0" w:space="0" w:color="auto"/>
                                                            <w:bottom w:val="none" w:sz="0" w:space="0" w:color="auto"/>
                                                            <w:right w:val="none" w:sz="0" w:space="0" w:color="auto"/>
                                                          </w:divBdr>
                                                          <w:divsChild>
                                                            <w:div w:id="1119953618">
                                                              <w:marLeft w:val="0"/>
                                                              <w:marRight w:val="150"/>
                                                              <w:marTop w:val="0"/>
                                                              <w:marBottom w:val="150"/>
                                                              <w:divBdr>
                                                                <w:top w:val="none" w:sz="0" w:space="0" w:color="auto"/>
                                                                <w:left w:val="none" w:sz="0" w:space="0" w:color="auto"/>
                                                                <w:bottom w:val="none" w:sz="0" w:space="0" w:color="auto"/>
                                                                <w:right w:val="none" w:sz="0" w:space="0" w:color="auto"/>
                                                              </w:divBdr>
                                                              <w:divsChild>
                                                                <w:div w:id="465779681">
                                                                  <w:marLeft w:val="0"/>
                                                                  <w:marRight w:val="0"/>
                                                                  <w:marTop w:val="0"/>
                                                                  <w:marBottom w:val="0"/>
                                                                  <w:divBdr>
                                                                    <w:top w:val="none" w:sz="0" w:space="0" w:color="auto"/>
                                                                    <w:left w:val="none" w:sz="0" w:space="0" w:color="auto"/>
                                                                    <w:bottom w:val="none" w:sz="0" w:space="0" w:color="auto"/>
                                                                    <w:right w:val="none" w:sz="0" w:space="0" w:color="auto"/>
                                                                  </w:divBdr>
                                                                  <w:divsChild>
                                                                    <w:div w:id="536818912">
                                                                      <w:marLeft w:val="0"/>
                                                                      <w:marRight w:val="0"/>
                                                                      <w:marTop w:val="0"/>
                                                                      <w:marBottom w:val="0"/>
                                                                      <w:divBdr>
                                                                        <w:top w:val="none" w:sz="0" w:space="0" w:color="auto"/>
                                                                        <w:left w:val="none" w:sz="0" w:space="0" w:color="auto"/>
                                                                        <w:bottom w:val="none" w:sz="0" w:space="0" w:color="auto"/>
                                                                        <w:right w:val="none" w:sz="0" w:space="0" w:color="auto"/>
                                                                      </w:divBdr>
                                                                      <w:divsChild>
                                                                        <w:div w:id="265817046">
                                                                          <w:marLeft w:val="0"/>
                                                                          <w:marRight w:val="0"/>
                                                                          <w:marTop w:val="0"/>
                                                                          <w:marBottom w:val="0"/>
                                                                          <w:divBdr>
                                                                            <w:top w:val="none" w:sz="0" w:space="0" w:color="auto"/>
                                                                            <w:left w:val="none" w:sz="0" w:space="0" w:color="auto"/>
                                                                            <w:bottom w:val="none" w:sz="0" w:space="0" w:color="auto"/>
                                                                            <w:right w:val="none" w:sz="0" w:space="0" w:color="auto"/>
                                                                          </w:divBdr>
                                                                          <w:divsChild>
                                                                            <w:div w:id="166794145">
                                                                              <w:marLeft w:val="0"/>
                                                                              <w:marRight w:val="0"/>
                                                                              <w:marTop w:val="0"/>
                                                                              <w:marBottom w:val="0"/>
                                                                              <w:divBdr>
                                                                                <w:top w:val="none" w:sz="0" w:space="0" w:color="auto"/>
                                                                                <w:left w:val="none" w:sz="0" w:space="0" w:color="auto"/>
                                                                                <w:bottom w:val="none" w:sz="0" w:space="0" w:color="auto"/>
                                                                                <w:right w:val="none" w:sz="0" w:space="0" w:color="auto"/>
                                                                              </w:divBdr>
                                                                              <w:divsChild>
                                                                                <w:div w:id="1114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772375">
      <w:bodyDiv w:val="1"/>
      <w:marLeft w:val="0"/>
      <w:marRight w:val="0"/>
      <w:marTop w:val="0"/>
      <w:marBottom w:val="0"/>
      <w:divBdr>
        <w:top w:val="none" w:sz="0" w:space="0" w:color="auto"/>
        <w:left w:val="none" w:sz="0" w:space="0" w:color="auto"/>
        <w:bottom w:val="none" w:sz="0" w:space="0" w:color="auto"/>
        <w:right w:val="none" w:sz="0" w:space="0" w:color="auto"/>
      </w:divBdr>
    </w:div>
    <w:div w:id="1966808119">
      <w:bodyDiv w:val="1"/>
      <w:marLeft w:val="0"/>
      <w:marRight w:val="0"/>
      <w:marTop w:val="0"/>
      <w:marBottom w:val="0"/>
      <w:divBdr>
        <w:top w:val="none" w:sz="0" w:space="0" w:color="auto"/>
        <w:left w:val="none" w:sz="0" w:space="0" w:color="auto"/>
        <w:bottom w:val="none" w:sz="0" w:space="0" w:color="auto"/>
        <w:right w:val="none" w:sz="0" w:space="0" w:color="auto"/>
      </w:divBdr>
    </w:div>
    <w:div w:id="1983121255">
      <w:bodyDiv w:val="1"/>
      <w:marLeft w:val="0"/>
      <w:marRight w:val="0"/>
      <w:marTop w:val="0"/>
      <w:marBottom w:val="0"/>
      <w:divBdr>
        <w:top w:val="none" w:sz="0" w:space="0" w:color="auto"/>
        <w:left w:val="none" w:sz="0" w:space="0" w:color="auto"/>
        <w:bottom w:val="none" w:sz="0" w:space="0" w:color="auto"/>
        <w:right w:val="none" w:sz="0" w:space="0" w:color="auto"/>
      </w:divBdr>
    </w:div>
    <w:div w:id="2000768328">
      <w:bodyDiv w:val="1"/>
      <w:marLeft w:val="0"/>
      <w:marRight w:val="0"/>
      <w:marTop w:val="0"/>
      <w:marBottom w:val="0"/>
      <w:divBdr>
        <w:top w:val="none" w:sz="0" w:space="0" w:color="auto"/>
        <w:left w:val="none" w:sz="0" w:space="0" w:color="auto"/>
        <w:bottom w:val="none" w:sz="0" w:space="0" w:color="auto"/>
        <w:right w:val="none" w:sz="0" w:space="0" w:color="auto"/>
      </w:divBdr>
    </w:div>
    <w:div w:id="2070768382">
      <w:bodyDiv w:val="1"/>
      <w:marLeft w:val="0"/>
      <w:marRight w:val="0"/>
      <w:marTop w:val="0"/>
      <w:marBottom w:val="0"/>
      <w:divBdr>
        <w:top w:val="none" w:sz="0" w:space="0" w:color="auto"/>
        <w:left w:val="none" w:sz="0" w:space="0" w:color="auto"/>
        <w:bottom w:val="none" w:sz="0" w:space="0" w:color="auto"/>
        <w:right w:val="none" w:sz="0" w:space="0" w:color="auto"/>
      </w:divBdr>
    </w:div>
    <w:div w:id="2095932016">
      <w:bodyDiv w:val="1"/>
      <w:marLeft w:val="0"/>
      <w:marRight w:val="0"/>
      <w:marTop w:val="0"/>
      <w:marBottom w:val="0"/>
      <w:divBdr>
        <w:top w:val="none" w:sz="0" w:space="0" w:color="auto"/>
        <w:left w:val="none" w:sz="0" w:space="0" w:color="auto"/>
        <w:bottom w:val="none" w:sz="0" w:space="0" w:color="auto"/>
        <w:right w:val="none" w:sz="0" w:space="0" w:color="auto"/>
      </w:divBdr>
    </w:div>
    <w:div w:id="212245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3.emf"/><Relationship Id="rId42" Type="http://schemas.openxmlformats.org/officeDocument/2006/relationships/image" Target="media/image27.png"/><Relationship Id="rId63" Type="http://schemas.openxmlformats.org/officeDocument/2006/relationships/image" Target="media/image48.emf"/><Relationship Id="rId84" Type="http://schemas.openxmlformats.org/officeDocument/2006/relationships/image" Target="media/image69.png"/><Relationship Id="rId138" Type="http://schemas.openxmlformats.org/officeDocument/2006/relationships/image" Target="media/image121.emf"/><Relationship Id="rId159" Type="http://schemas.openxmlformats.org/officeDocument/2006/relationships/image" Target="media/image142.gif"/><Relationship Id="rId170" Type="http://schemas.openxmlformats.org/officeDocument/2006/relationships/hyperlink" Target="http://www.unfpa.or.cr/genero/violencia-basada-en-genero" TargetMode="External"/><Relationship Id="rId191" Type="http://schemas.openxmlformats.org/officeDocument/2006/relationships/hyperlink" Target="http://datos.bancomundial.org/" TargetMode="External"/><Relationship Id="rId107" Type="http://schemas.openxmlformats.org/officeDocument/2006/relationships/image" Target="media/image90.png"/><Relationship Id="rId11" Type="http://schemas.openxmlformats.org/officeDocument/2006/relationships/image" Target="media/image3.emf"/><Relationship Id="rId32" Type="http://schemas.openxmlformats.org/officeDocument/2006/relationships/header" Target="header1.xml"/><Relationship Id="rId53" Type="http://schemas.openxmlformats.org/officeDocument/2006/relationships/image" Target="media/image38.emf"/><Relationship Id="rId74" Type="http://schemas.openxmlformats.org/officeDocument/2006/relationships/image" Target="media/image59.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settings" Target="settings.xml"/><Relationship Id="rId95" Type="http://schemas.openxmlformats.org/officeDocument/2006/relationships/image" Target="media/image78.png"/><Relationship Id="rId160" Type="http://schemas.openxmlformats.org/officeDocument/2006/relationships/image" Target="media/image143.gif"/><Relationship Id="rId181" Type="http://schemas.openxmlformats.org/officeDocument/2006/relationships/hyperlink" Target="http://www.rolandberger.com/gallery/trend-compendium/tc2030/content/assets/" TargetMode="External"/><Relationship Id="rId22" Type="http://schemas.openxmlformats.org/officeDocument/2006/relationships/image" Target="media/image14.emf"/><Relationship Id="rId43" Type="http://schemas.openxmlformats.org/officeDocument/2006/relationships/image" Target="media/image28.png"/><Relationship Id="rId64" Type="http://schemas.openxmlformats.org/officeDocument/2006/relationships/image" Target="media/image49.emf"/><Relationship Id="rId118" Type="http://schemas.openxmlformats.org/officeDocument/2006/relationships/image" Target="media/image101.png"/><Relationship Id="rId139" Type="http://schemas.openxmlformats.org/officeDocument/2006/relationships/image" Target="media/image122.png"/><Relationship Id="rId85" Type="http://schemas.openxmlformats.org/officeDocument/2006/relationships/image" Target="media/image70.emf"/><Relationship Id="rId150" Type="http://schemas.openxmlformats.org/officeDocument/2006/relationships/image" Target="media/image133.gif"/><Relationship Id="rId171" Type="http://schemas.openxmlformats.org/officeDocument/2006/relationships/hyperlink" Target="http://www.iidh.ed.cr/glosario.htm" TargetMode="External"/><Relationship Id="rId192" Type="http://schemas.openxmlformats.org/officeDocument/2006/relationships/hyperlink" Target="http://datos.bancomundial.org/tema/" TargetMode="External"/><Relationship Id="rId12" Type="http://schemas.openxmlformats.org/officeDocument/2006/relationships/image" Target="media/image4.png"/><Relationship Id="rId33" Type="http://schemas.openxmlformats.org/officeDocument/2006/relationships/footer" Target="footer1.xml"/><Relationship Id="rId108" Type="http://schemas.openxmlformats.org/officeDocument/2006/relationships/image" Target="media/image91.png"/><Relationship Id="rId129" Type="http://schemas.openxmlformats.org/officeDocument/2006/relationships/image" Target="media/image112.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79.png"/><Relationship Id="rId140" Type="http://schemas.openxmlformats.org/officeDocument/2006/relationships/image" Target="media/image123.emf"/><Relationship Id="rId161" Type="http://schemas.openxmlformats.org/officeDocument/2006/relationships/image" Target="media/image144.png"/><Relationship Id="rId182" Type="http://schemas.openxmlformats.org/officeDocument/2006/relationships/hyperlink" Target="http://idbdocs.iadb.org/wsdocs/getDocument" TargetMode="External"/><Relationship Id="rId6" Type="http://schemas.openxmlformats.org/officeDocument/2006/relationships/webSettings" Target="webSettings.xml"/><Relationship Id="rId23" Type="http://schemas.openxmlformats.org/officeDocument/2006/relationships/image" Target="media/image15.emf"/><Relationship Id="rId119" Type="http://schemas.openxmlformats.org/officeDocument/2006/relationships/image" Target="media/image102.png"/><Relationship Id="rId44" Type="http://schemas.openxmlformats.org/officeDocument/2006/relationships/image" Target="media/image29.emf"/><Relationship Id="rId65" Type="http://schemas.openxmlformats.org/officeDocument/2006/relationships/image" Target="media/image50.png"/><Relationship Id="rId86" Type="http://schemas.openxmlformats.org/officeDocument/2006/relationships/image" Target="media/image71.emf"/><Relationship Id="rId130" Type="http://schemas.openxmlformats.org/officeDocument/2006/relationships/image" Target="media/image113.png"/><Relationship Id="rId151" Type="http://schemas.openxmlformats.org/officeDocument/2006/relationships/image" Target="media/image134.gif"/><Relationship Id="rId172" Type="http://schemas.openxmlformats.org/officeDocument/2006/relationships/hyperlink" Target="http://www.oecd.org/globalrelations/Latin_" TargetMode="External"/><Relationship Id="rId193" Type="http://schemas.openxmlformats.org/officeDocument/2006/relationships/hyperlink" Target="http://datos.bancomundial.org/tema/" TargetMode="External"/><Relationship Id="rId207" Type="http://schemas.microsoft.com/office/2011/relationships/commentsExtended" Target="commentsExtended.xml"/><Relationship Id="rId13" Type="http://schemas.openxmlformats.org/officeDocument/2006/relationships/image" Target="media/image5.emf"/><Relationship Id="rId109" Type="http://schemas.openxmlformats.org/officeDocument/2006/relationships/image" Target="media/image92.png"/><Relationship Id="rId34" Type="http://schemas.openxmlformats.org/officeDocument/2006/relationships/diagramData" Target="diagrams/data1.xml"/><Relationship Id="rId55" Type="http://schemas.openxmlformats.org/officeDocument/2006/relationships/image" Target="media/image40.emf"/><Relationship Id="rId76" Type="http://schemas.openxmlformats.org/officeDocument/2006/relationships/image" Target="media/image61.png"/><Relationship Id="rId97" Type="http://schemas.openxmlformats.org/officeDocument/2006/relationships/image" Target="media/image80.png"/><Relationship Id="rId120" Type="http://schemas.openxmlformats.org/officeDocument/2006/relationships/image" Target="media/image103.emf"/><Relationship Id="rId141" Type="http://schemas.openxmlformats.org/officeDocument/2006/relationships/image" Target="media/image124.emf"/><Relationship Id="rId7" Type="http://schemas.openxmlformats.org/officeDocument/2006/relationships/footnotes" Target="footnotes.xml"/><Relationship Id="rId162" Type="http://schemas.openxmlformats.org/officeDocument/2006/relationships/image" Target="media/image145.png"/><Relationship Id="rId183" Type="http://schemas.openxmlformats.org/officeDocument/2006/relationships/hyperlink" Target="http://www.rand.org/content/" TargetMode="Externa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25.emf"/><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hyperlink" Target="http://www2.osinerg.gob.pe/" TargetMode="External"/><Relationship Id="rId61" Type="http://schemas.openxmlformats.org/officeDocument/2006/relationships/image" Target="media/image46.emf"/><Relationship Id="rId82" Type="http://schemas.openxmlformats.org/officeDocument/2006/relationships/image" Target="media/image67.png"/><Relationship Id="rId152" Type="http://schemas.openxmlformats.org/officeDocument/2006/relationships/image" Target="media/image135.gif"/><Relationship Id="rId173" Type="http://schemas.openxmlformats.org/officeDocument/2006/relationships/hyperlink" Target="ftp://ftp.fao.org/TC/TCA/ESP/PESA/conceptosSAN.pdf" TargetMode="External"/><Relationship Id="rId194" Type="http://schemas.openxmlformats.org/officeDocument/2006/relationships/hyperlink" Target="http://datos.bancomundial.org/tema/" TargetMode="External"/><Relationship Id="rId199" Type="http://schemas.openxmlformats.org/officeDocument/2006/relationships/hyperlink" Target="http://www.mef.gob.pe/index.php?option=com_" TargetMode="External"/><Relationship Id="rId19" Type="http://schemas.openxmlformats.org/officeDocument/2006/relationships/image" Target="media/image11.emf"/><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diagramLayout" Target="diagrams/layout1.xml"/><Relationship Id="rId56" Type="http://schemas.openxmlformats.org/officeDocument/2006/relationships/image" Target="media/image41.emf"/><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emf"/><Relationship Id="rId126" Type="http://schemas.openxmlformats.org/officeDocument/2006/relationships/image" Target="media/image109.emf"/><Relationship Id="rId147" Type="http://schemas.openxmlformats.org/officeDocument/2006/relationships/image" Target="media/image130.emf"/><Relationship Id="rId168" Type="http://schemas.openxmlformats.org/officeDocument/2006/relationships/hyperlink" Target="http://siteresources" TargetMode="External"/><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emf"/><Relationship Id="rId142" Type="http://schemas.openxmlformats.org/officeDocument/2006/relationships/image" Target="media/image125.emf"/><Relationship Id="rId163" Type="http://schemas.openxmlformats.org/officeDocument/2006/relationships/image" Target="media/image146.png"/><Relationship Id="rId184" Type="http://schemas.openxmlformats.org/officeDocument/2006/relationships/hyperlink" Target="http://www.apoyoconsultoria.com/PAR_Documento/Propuestas%20de%20" TargetMode="External"/><Relationship Id="rId189" Type="http://schemas.openxmlformats.org/officeDocument/2006/relationships/hyperlink" Target="http://estadisticas.bcrp.gob.pe/index.asp?sFrecuencia=A" TargetMode="Externa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1.png"/><Relationship Id="rId67" Type="http://schemas.openxmlformats.org/officeDocument/2006/relationships/image" Target="media/image52.emf"/><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gif"/><Relationship Id="rId20" Type="http://schemas.openxmlformats.org/officeDocument/2006/relationships/image" Target="media/image12.emf"/><Relationship Id="rId41" Type="http://schemas.openxmlformats.org/officeDocument/2006/relationships/image" Target="media/image26.png"/><Relationship Id="rId62" Type="http://schemas.openxmlformats.org/officeDocument/2006/relationships/image" Target="media/image47.emf"/><Relationship Id="rId83" Type="http://schemas.openxmlformats.org/officeDocument/2006/relationships/image" Target="media/image68.png"/><Relationship Id="rId88" Type="http://schemas.openxmlformats.org/officeDocument/2006/relationships/oleObject" Target="embeddings/oleObject1.bin"/><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hyperlink" Target="http://www.mtc.gob" TargetMode="External"/><Relationship Id="rId179" Type="http://schemas.openxmlformats.org/officeDocument/2006/relationships/hyperlink" Target="http://www.proinversion.gob.pe/0/0/modulos/JER/PlantillaStandardsinHijos" TargetMode="External"/><Relationship Id="rId195" Type="http://schemas.openxmlformats.org/officeDocument/2006/relationships/hyperlink" Target="http://www.eclac.cl/celade/" TargetMode="External"/><Relationship Id="rId190" Type="http://schemas.openxmlformats.org/officeDocument/2006/relationships/hyperlink" Target="http://www.bcrp.gob.pe/docs/Publicaciones/Reporte-Inflacion/2012/setiembre/reporte-deinflacion-" TargetMode="External"/><Relationship Id="rId15" Type="http://schemas.openxmlformats.org/officeDocument/2006/relationships/image" Target="media/image7.emf"/><Relationship Id="rId36" Type="http://schemas.openxmlformats.org/officeDocument/2006/relationships/diagramQuickStyle" Target="diagrams/quickStyle1.xml"/><Relationship Id="rId57" Type="http://schemas.openxmlformats.org/officeDocument/2006/relationships/image" Target="media/image42.emf"/><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emf"/><Relationship Id="rId143" Type="http://schemas.openxmlformats.org/officeDocument/2006/relationships/image" Target="media/image126.emf"/><Relationship Id="rId148" Type="http://schemas.openxmlformats.org/officeDocument/2006/relationships/image" Target="media/image131.png"/><Relationship Id="rId164" Type="http://schemas.openxmlformats.org/officeDocument/2006/relationships/image" Target="media/image147.gif"/><Relationship Id="rId169" Type="http://schemas.openxmlformats.org/officeDocument/2006/relationships/hyperlink" Target="http://www.siss.cl/appsiss/c_public/cta_pub2012.pdf" TargetMode="External"/><Relationship Id="rId185" Type="http://schemas.openxmlformats.org/officeDocument/2006/relationships/hyperlink" Target="http://www.bcrp.gob.pe/"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intranet.sunass.gob.pe:81/indicadores/index.php/" TargetMode="External"/><Relationship Id="rId26" Type="http://schemas.openxmlformats.org/officeDocument/2006/relationships/image" Target="media/image18.emf"/><Relationship Id="rId47" Type="http://schemas.openxmlformats.org/officeDocument/2006/relationships/image" Target="media/image32.emf"/><Relationship Id="rId68" Type="http://schemas.openxmlformats.org/officeDocument/2006/relationships/image" Target="media/image53.png"/><Relationship Id="rId89" Type="http://schemas.openxmlformats.org/officeDocument/2006/relationships/chart" Target="charts/chart1.xml"/><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gif"/><Relationship Id="rId175" Type="http://schemas.openxmlformats.org/officeDocument/2006/relationships/hyperlink" Target="http://www.minsa.gob.pe/" TargetMode="External"/><Relationship Id="rId196" Type="http://schemas.openxmlformats.org/officeDocument/2006/relationships/hyperlink" Target="http://www" TargetMode="External"/><Relationship Id="rId200" Type="http://schemas.openxmlformats.org/officeDocument/2006/relationships/hyperlink" Target="http://elcomercio.pe/economia/1598131/noticia-quetipo-" TargetMode="External"/><Relationship Id="rId16" Type="http://schemas.openxmlformats.org/officeDocument/2006/relationships/image" Target="media/image8.emf"/><Relationship Id="rId37" Type="http://schemas.openxmlformats.org/officeDocument/2006/relationships/diagramColors" Target="diagrams/colors1.xml"/><Relationship Id="rId58" Type="http://schemas.openxmlformats.org/officeDocument/2006/relationships/image" Target="media/image43.gif"/><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hyperlink" Target="http://nber.org/papers/w9495" TargetMode="External"/><Relationship Id="rId27" Type="http://schemas.openxmlformats.org/officeDocument/2006/relationships/image" Target="media/image19.emf"/><Relationship Id="rId48" Type="http://schemas.openxmlformats.org/officeDocument/2006/relationships/image" Target="media/image33.emf"/><Relationship Id="rId69" Type="http://schemas.openxmlformats.org/officeDocument/2006/relationships/image" Target="media/image54.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5.png"/><Relationship Id="rId155" Type="http://schemas.openxmlformats.org/officeDocument/2006/relationships/image" Target="media/image138.png"/><Relationship Id="rId176" Type="http://schemas.openxmlformats.org/officeDocument/2006/relationships/hyperlink" Target="http://cambioclimatico.minam.gob.pe/adaptacion-al-cc/avances-en-el-peru-enadaptacion/" TargetMode="External"/><Relationship Id="rId197" Type="http://schemas.openxmlformats.org/officeDocument/2006/relationships/hyperlink" Target="http://www" TargetMode="External"/><Relationship Id="rId201" Type="http://schemas.openxmlformats.org/officeDocument/2006/relationships/fontTable" Target="fontTable.xml"/><Relationship Id="rId17" Type="http://schemas.openxmlformats.org/officeDocument/2006/relationships/image" Target="media/image9.emf"/><Relationship Id="rId38" Type="http://schemas.microsoft.com/office/2007/relationships/diagramDrawing" Target="diagrams/drawing1.xml"/><Relationship Id="rId59" Type="http://schemas.openxmlformats.org/officeDocument/2006/relationships/image" Target="media/image44.gif"/><Relationship Id="rId103" Type="http://schemas.openxmlformats.org/officeDocument/2006/relationships/image" Target="media/image86.png"/><Relationship Id="rId124" Type="http://schemas.openxmlformats.org/officeDocument/2006/relationships/image" Target="media/image107.png"/><Relationship Id="rId70" Type="http://schemas.openxmlformats.org/officeDocument/2006/relationships/image" Target="media/image55.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hyperlink" Target="http://www.bcrp.gob.pe/estadisticas/cuadrosanuales-" TargetMode="External"/><Relationship Id="rId1" Type="http://schemas.openxmlformats.org/officeDocument/2006/relationships/customXml" Target="../customXml/item1.xml"/><Relationship Id="rId28" Type="http://schemas.openxmlformats.org/officeDocument/2006/relationships/image" Target="media/image20.emf"/><Relationship Id="rId49" Type="http://schemas.openxmlformats.org/officeDocument/2006/relationships/image" Target="media/image34.emf"/><Relationship Id="rId114" Type="http://schemas.openxmlformats.org/officeDocument/2006/relationships/image" Target="media/image97.png"/><Relationship Id="rId60" Type="http://schemas.openxmlformats.org/officeDocument/2006/relationships/image" Target="media/image45.emf"/><Relationship Id="rId81" Type="http://schemas.openxmlformats.org/officeDocument/2006/relationships/image" Target="media/image66.png"/><Relationship Id="rId135" Type="http://schemas.openxmlformats.org/officeDocument/2006/relationships/image" Target="media/image118.png"/><Relationship Id="rId156" Type="http://schemas.openxmlformats.org/officeDocument/2006/relationships/image" Target="media/image139.gif"/><Relationship Id="rId177" Type="http://schemas.openxmlformats.org/officeDocument/2006/relationships/hyperlink" Target="http://www.minem.gob.pe/descripcion.php?idSector=6&amp;idTitular=3903" TargetMode="External"/><Relationship Id="rId198" Type="http://schemas.openxmlformats.org/officeDocument/2006/relationships/hyperlink" Target="http://www.oecd.org/centrodemexico/estadisticas/" TargetMode="External"/><Relationship Id="rId202" Type="http://schemas.openxmlformats.org/officeDocument/2006/relationships/theme" Target="theme/theme1.xml"/><Relationship Id="rId18" Type="http://schemas.openxmlformats.org/officeDocument/2006/relationships/image" Target="media/image10.emf"/><Relationship Id="rId39" Type="http://schemas.openxmlformats.org/officeDocument/2006/relationships/image" Target="media/image24.png"/><Relationship Id="rId50" Type="http://schemas.openxmlformats.org/officeDocument/2006/relationships/image" Target="media/image35.emf"/><Relationship Id="rId104" Type="http://schemas.openxmlformats.org/officeDocument/2006/relationships/image" Target="media/image87.emf"/><Relationship Id="rId125" Type="http://schemas.openxmlformats.org/officeDocument/2006/relationships/image" Target="media/image108.png"/><Relationship Id="rId146" Type="http://schemas.openxmlformats.org/officeDocument/2006/relationships/image" Target="media/image129.emf"/><Relationship Id="rId167" Type="http://schemas.openxmlformats.org/officeDocument/2006/relationships/hyperlink" Target="http://www.challengefuture.org/static/upload/uploads/Global_mega_trends.pdf" TargetMode="External"/><Relationship Id="rId188" Type="http://schemas.openxmlformats.org/officeDocument/2006/relationships/hyperlink" Target="http://www.bcrp.gob.pe/estadisticas/cuadrosanuales-%20historicos.html" TargetMode="External"/><Relationship Id="rId71" Type="http://schemas.openxmlformats.org/officeDocument/2006/relationships/image" Target="media/image56.png"/><Relationship Id="rId92" Type="http://schemas.openxmlformats.org/officeDocument/2006/relationships/image" Target="media/image75.png"/></Relationships>
</file>

<file path=word/charts/_rels/chart1.xml.rels><?xml version="1.0" encoding="UTF-8" standalone="yes"?>
<Relationships xmlns="http://schemas.openxmlformats.org/package/2006/relationships"><Relationship Id="rId2" Type="http://schemas.openxmlformats.org/officeDocument/2006/relationships/oleObject" Target="file:///E:\PEDN%20ejes%20(1)\Eje%202\Indicadores%20Eje%202%2021031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a:pPr>
            <a:r>
              <a:rPr lang="es-PE" sz="1200"/>
              <a:t>Evolución de la Puntuación media en la prueba PISA</a:t>
            </a:r>
            <a:r>
              <a:rPr lang="es-PE" sz="1200" baseline="0"/>
              <a:t> </a:t>
            </a:r>
            <a:r>
              <a:rPr lang="es-PE" sz="1200"/>
              <a:t>entre países</a:t>
            </a:r>
          </a:p>
        </c:rich>
      </c:tx>
      <c:overlay val="0"/>
    </c:title>
    <c:autoTitleDeleted val="0"/>
    <c:plotArea>
      <c:layout/>
      <c:barChart>
        <c:barDir val="col"/>
        <c:grouping val="clustered"/>
        <c:varyColors val="0"/>
        <c:ser>
          <c:idx val="3"/>
          <c:order val="0"/>
          <c:tx>
            <c:strRef>
              <c:f>'3'!$AD$173</c:f>
              <c:strCache>
                <c:ptCount val="1"/>
                <c:pt idx="0">
                  <c:v>Perú</c:v>
                </c:pt>
              </c:strCache>
            </c:strRef>
          </c:tx>
          <c:spPr>
            <a:solidFill>
              <a:srgbClr val="C0504D"/>
            </a:solidFill>
            <a:ln w="38100">
              <a:solidFill>
                <a:srgbClr val="C0504D"/>
              </a:solidFill>
            </a:ln>
          </c:spPr>
          <c:invertIfNegative val="0"/>
          <c:cat>
            <c:numRef>
              <c:f>'\[021015 - Eje 1.xlsx]desig gen'!$AE$230:$AN$230</c:f>
              <c:numCache>
                <c:formatCode>General</c:formatCode>
                <c:ptCount val="10"/>
                <c:pt idx="0">
                  <c:v>2000</c:v>
                </c:pt>
                <c:pt idx="1">
                  <c:v>2005</c:v>
                </c:pt>
                <c:pt idx="2">
                  <c:v>2006</c:v>
                </c:pt>
                <c:pt idx="3">
                  <c:v>2007</c:v>
                </c:pt>
                <c:pt idx="4">
                  <c:v>2008</c:v>
                </c:pt>
                <c:pt idx="5">
                  <c:v>2009</c:v>
                </c:pt>
                <c:pt idx="6">
                  <c:v>2010</c:v>
                </c:pt>
                <c:pt idx="7">
                  <c:v>2011</c:v>
                </c:pt>
                <c:pt idx="8">
                  <c:v>2012</c:v>
                </c:pt>
                <c:pt idx="9">
                  <c:v>2013</c:v>
                </c:pt>
              </c:numCache>
            </c:numRef>
          </c:cat>
          <c:val>
            <c:numRef>
              <c:f>'3'!$AE$173:$AG$173</c:f>
              <c:numCache>
                <c:formatCode>0.00</c:formatCode>
                <c:ptCount val="3"/>
                <c:pt idx="1">
                  <c:v>368.05160128734701</c:v>
                </c:pt>
                <c:pt idx="2">
                  <c:v>375.12240632131198</c:v>
                </c:pt>
              </c:numCache>
            </c:numRef>
          </c:val>
        </c:ser>
        <c:dLbls>
          <c:showLegendKey val="0"/>
          <c:showVal val="0"/>
          <c:showCatName val="0"/>
          <c:showSerName val="0"/>
          <c:showPercent val="0"/>
          <c:showBubbleSize val="0"/>
        </c:dLbls>
        <c:gapWidth val="150"/>
        <c:axId val="420727808"/>
        <c:axId val="141649600"/>
      </c:barChart>
      <c:lineChart>
        <c:grouping val="standard"/>
        <c:varyColors val="0"/>
        <c:ser>
          <c:idx val="0"/>
          <c:order val="1"/>
          <c:tx>
            <c:strRef>
              <c:f>'3'!$AD$174</c:f>
              <c:strCache>
                <c:ptCount val="1"/>
                <c:pt idx="0">
                  <c:v>Chile</c:v>
                </c:pt>
              </c:strCache>
            </c:strRef>
          </c:tx>
          <c:spPr>
            <a:ln>
              <a:solidFill>
                <a:srgbClr val="0070C0"/>
              </a:solidFill>
            </a:ln>
          </c:spPr>
          <c:marker>
            <c:symbol val="diamond"/>
            <c:size val="5"/>
            <c:spPr>
              <a:solidFill>
                <a:srgbClr val="0070C0"/>
              </a:solidFill>
              <a:ln>
                <a:solidFill>
                  <a:schemeClr val="tx1"/>
                </a:solidFill>
              </a:ln>
            </c:spPr>
          </c:marker>
          <c:cat>
            <c:numRef>
              <c:f>'3'!$AE$172:$AG$172</c:f>
              <c:numCache>
                <c:formatCode>General</c:formatCode>
                <c:ptCount val="3"/>
                <c:pt idx="0">
                  <c:v>2006</c:v>
                </c:pt>
                <c:pt idx="1">
                  <c:v>2009</c:v>
                </c:pt>
                <c:pt idx="2">
                  <c:v>2012</c:v>
                </c:pt>
              </c:numCache>
            </c:numRef>
          </c:cat>
          <c:val>
            <c:numRef>
              <c:f>'3'!$AE$174:$AG$174</c:f>
              <c:numCache>
                <c:formatCode>0.00</c:formatCode>
                <c:ptCount val="3"/>
                <c:pt idx="1">
                  <c:v>439.29914657038483</c:v>
                </c:pt>
                <c:pt idx="2">
                  <c:v>436.3214794819408</c:v>
                </c:pt>
              </c:numCache>
            </c:numRef>
          </c:val>
          <c:smooth val="0"/>
        </c:ser>
        <c:ser>
          <c:idx val="1"/>
          <c:order val="2"/>
          <c:tx>
            <c:strRef>
              <c:f>'3'!$AD$175</c:f>
              <c:strCache>
                <c:ptCount val="1"/>
                <c:pt idx="0">
                  <c:v>Colombia</c:v>
                </c:pt>
              </c:strCache>
            </c:strRef>
          </c:tx>
          <c:spPr>
            <a:ln>
              <a:solidFill>
                <a:srgbClr val="7030A0"/>
              </a:solidFill>
            </a:ln>
          </c:spPr>
          <c:marker>
            <c:symbol val="circle"/>
            <c:size val="6"/>
            <c:spPr>
              <a:solidFill>
                <a:srgbClr val="7030A0"/>
              </a:solidFill>
              <a:ln>
                <a:solidFill>
                  <a:schemeClr val="tx1"/>
                </a:solidFill>
              </a:ln>
            </c:spPr>
          </c:marker>
          <c:cat>
            <c:numRef>
              <c:f>'3'!$AE$172:$AG$172</c:f>
              <c:numCache>
                <c:formatCode>General</c:formatCode>
                <c:ptCount val="3"/>
                <c:pt idx="0">
                  <c:v>2006</c:v>
                </c:pt>
                <c:pt idx="1">
                  <c:v>2009</c:v>
                </c:pt>
                <c:pt idx="2">
                  <c:v>2012</c:v>
                </c:pt>
              </c:numCache>
            </c:numRef>
          </c:cat>
          <c:val>
            <c:numRef>
              <c:f>'3'!$AE$175:$AG$175</c:f>
              <c:numCache>
                <c:formatCode>0.00</c:formatCode>
                <c:ptCount val="3"/>
                <c:pt idx="0">
                  <c:v>381.10827447752075</c:v>
                </c:pt>
                <c:pt idx="1">
                  <c:v>398.59327643867965</c:v>
                </c:pt>
                <c:pt idx="2">
                  <c:v>392.85658893027522</c:v>
                </c:pt>
              </c:numCache>
            </c:numRef>
          </c:val>
          <c:smooth val="0"/>
        </c:ser>
        <c:ser>
          <c:idx val="2"/>
          <c:order val="3"/>
          <c:tx>
            <c:strRef>
              <c:f>'3'!$AD$176</c:f>
              <c:strCache>
                <c:ptCount val="1"/>
                <c:pt idx="0">
                  <c:v>Corea del Sur</c:v>
                </c:pt>
              </c:strCache>
            </c:strRef>
          </c:tx>
          <c:spPr>
            <a:ln>
              <a:solidFill>
                <a:srgbClr val="00B050"/>
              </a:solidFill>
            </a:ln>
          </c:spPr>
          <c:marker>
            <c:symbol val="square"/>
            <c:size val="5"/>
            <c:spPr>
              <a:solidFill>
                <a:srgbClr val="00B050"/>
              </a:solidFill>
              <a:ln>
                <a:solidFill>
                  <a:schemeClr val="tx1"/>
                </a:solidFill>
              </a:ln>
            </c:spPr>
          </c:marker>
          <c:cat>
            <c:numRef>
              <c:f>'3'!$AE$172:$AG$172</c:f>
              <c:numCache>
                <c:formatCode>General</c:formatCode>
                <c:ptCount val="3"/>
                <c:pt idx="0">
                  <c:v>2006</c:v>
                </c:pt>
                <c:pt idx="1">
                  <c:v>2009</c:v>
                </c:pt>
                <c:pt idx="2">
                  <c:v>2012</c:v>
                </c:pt>
              </c:numCache>
            </c:numRef>
          </c:cat>
          <c:val>
            <c:numRef>
              <c:f>'3'!$AE$176:$AG$176</c:f>
              <c:numCache>
                <c:formatCode>0.00</c:formatCode>
                <c:ptCount val="3"/>
                <c:pt idx="0">
                  <c:v>541.87617660344961</c:v>
                </c:pt>
                <c:pt idx="1">
                  <c:v>541.16074926219835</c:v>
                </c:pt>
                <c:pt idx="2">
                  <c:v>542.44825701170987</c:v>
                </c:pt>
              </c:numCache>
            </c:numRef>
          </c:val>
          <c:smooth val="0"/>
        </c:ser>
        <c:dLbls>
          <c:showLegendKey val="0"/>
          <c:showVal val="0"/>
          <c:showCatName val="0"/>
          <c:showSerName val="0"/>
          <c:showPercent val="0"/>
          <c:showBubbleSize val="0"/>
        </c:dLbls>
        <c:marker val="1"/>
        <c:smooth val="0"/>
        <c:axId val="420727808"/>
        <c:axId val="141649600"/>
      </c:lineChart>
      <c:catAx>
        <c:axId val="420727808"/>
        <c:scaling>
          <c:orientation val="minMax"/>
        </c:scaling>
        <c:delete val="0"/>
        <c:axPos val="b"/>
        <c:numFmt formatCode="General" sourceLinked="1"/>
        <c:majorTickMark val="out"/>
        <c:minorTickMark val="none"/>
        <c:tickLblPos val="nextTo"/>
        <c:txPr>
          <a:bodyPr/>
          <a:lstStyle/>
          <a:p>
            <a:pPr>
              <a:defRPr sz="1100"/>
            </a:pPr>
            <a:endParaRPr lang="es-PE"/>
          </a:p>
        </c:txPr>
        <c:crossAx val="141649600"/>
        <c:crosses val="autoZero"/>
        <c:auto val="1"/>
        <c:lblAlgn val="ctr"/>
        <c:lblOffset val="100"/>
        <c:noMultiLvlLbl val="0"/>
      </c:catAx>
      <c:valAx>
        <c:axId val="141649600"/>
        <c:scaling>
          <c:orientation val="minMax"/>
          <c:min val="300"/>
        </c:scaling>
        <c:delete val="0"/>
        <c:axPos val="l"/>
        <c:majorGridlines>
          <c:spPr>
            <a:ln>
              <a:solidFill>
                <a:schemeClr val="bg1">
                  <a:lumMod val="65000"/>
                </a:schemeClr>
              </a:solidFill>
              <a:prstDash val="dash"/>
            </a:ln>
          </c:spPr>
        </c:majorGridlines>
        <c:title>
          <c:tx>
            <c:rich>
              <a:bodyPr rot="-5400000" vert="horz"/>
              <a:lstStyle/>
              <a:p>
                <a:pPr>
                  <a:defRPr sz="1200"/>
                </a:pPr>
                <a:r>
                  <a:rPr lang="es-PE" sz="1200"/>
                  <a:t>Puntuación</a:t>
                </a:r>
              </a:p>
            </c:rich>
          </c:tx>
          <c:overlay val="0"/>
        </c:title>
        <c:numFmt formatCode="0.00" sourceLinked="1"/>
        <c:majorTickMark val="out"/>
        <c:minorTickMark val="none"/>
        <c:tickLblPos val="nextTo"/>
        <c:txPr>
          <a:bodyPr/>
          <a:lstStyle/>
          <a:p>
            <a:pPr>
              <a:defRPr sz="1100"/>
            </a:pPr>
            <a:endParaRPr lang="es-PE"/>
          </a:p>
        </c:txPr>
        <c:crossAx val="420727808"/>
        <c:crosses val="autoZero"/>
        <c:crossBetween val="between"/>
      </c:valAx>
    </c:plotArea>
    <c:legend>
      <c:legendPos val="b"/>
      <c:overlay val="0"/>
      <c:txPr>
        <a:bodyPr/>
        <a:lstStyle/>
        <a:p>
          <a:pPr>
            <a:defRPr sz="1200"/>
          </a:pPr>
          <a:endParaRPr lang="es-PE"/>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519848-B8E8-469D-B6E7-B1973D8B2D7E}"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s-PE"/>
        </a:p>
      </dgm:t>
    </dgm:pt>
    <dgm:pt modelId="{4C98CB00-B957-4F9A-A408-AE8D98CBE09C}">
      <dgm:prSet phldrT="[Texto]" custT="1"/>
      <dgm:spPr/>
      <dgm:t>
        <a:bodyPr/>
        <a:lstStyle/>
        <a:p>
          <a:r>
            <a:rPr lang="es-MX" sz="1200"/>
            <a:t>Incrementar el número de visitas por turismo</a:t>
          </a:r>
          <a:endParaRPr lang="es-PE" sz="1200"/>
        </a:p>
      </dgm:t>
    </dgm:pt>
    <dgm:pt modelId="{FC13484B-3211-4709-A811-20B89026DD7B}" type="parTrans" cxnId="{E2E1B08F-0AA9-4285-987D-32658D1D7690}">
      <dgm:prSet/>
      <dgm:spPr/>
      <dgm:t>
        <a:bodyPr/>
        <a:lstStyle/>
        <a:p>
          <a:endParaRPr lang="es-PE" sz="1100"/>
        </a:p>
      </dgm:t>
    </dgm:pt>
    <dgm:pt modelId="{1CB40C20-DB02-49BE-9BE1-618C257A3353}" type="sibTrans" cxnId="{E2E1B08F-0AA9-4285-987D-32658D1D7690}">
      <dgm:prSet/>
      <dgm:spPr/>
      <dgm:t>
        <a:bodyPr/>
        <a:lstStyle/>
        <a:p>
          <a:endParaRPr lang="es-PE" sz="1100"/>
        </a:p>
      </dgm:t>
    </dgm:pt>
    <dgm:pt modelId="{9A4B5604-A2FA-496E-BDDE-2C0D58B17290}">
      <dgm:prSet phldrT="[Texto]" custT="1"/>
      <dgm:spPr/>
      <dgm:t>
        <a:bodyPr/>
        <a:lstStyle/>
        <a:p>
          <a:r>
            <a:rPr lang="es-MX" sz="1200"/>
            <a:t>Incrementar el ingreso por turismo</a:t>
          </a:r>
          <a:endParaRPr lang="es-PE" sz="1200"/>
        </a:p>
      </dgm:t>
    </dgm:pt>
    <dgm:pt modelId="{D45DACF5-0915-4EAB-ACDC-553EA653F66E}" type="parTrans" cxnId="{07FF166E-CE85-40F3-B9CC-AA0B912B00C8}">
      <dgm:prSet/>
      <dgm:spPr/>
      <dgm:t>
        <a:bodyPr/>
        <a:lstStyle/>
        <a:p>
          <a:endParaRPr lang="es-PE" sz="1100"/>
        </a:p>
      </dgm:t>
    </dgm:pt>
    <dgm:pt modelId="{1C784C2D-2C72-4F2C-879E-104681886F22}" type="sibTrans" cxnId="{07FF166E-CE85-40F3-B9CC-AA0B912B00C8}">
      <dgm:prSet/>
      <dgm:spPr/>
      <dgm:t>
        <a:bodyPr/>
        <a:lstStyle/>
        <a:p>
          <a:endParaRPr lang="es-PE" sz="1100"/>
        </a:p>
      </dgm:t>
    </dgm:pt>
    <dgm:pt modelId="{1BD07FEA-0C60-4EDB-AAA5-2E3516588A3C}">
      <dgm:prSet phldrT="[Texto]" custT="1"/>
      <dgm:spPr/>
      <dgm:t>
        <a:bodyPr/>
        <a:lstStyle/>
        <a:p>
          <a:r>
            <a:rPr lang="es-MX" sz="1200"/>
            <a:t>Conseguir un aumento sostenido del empleo generado por el sector turismo en el Perú</a:t>
          </a:r>
          <a:endParaRPr lang="es-PE" sz="1200"/>
        </a:p>
      </dgm:t>
    </dgm:pt>
    <dgm:pt modelId="{D0C61A7A-2700-48B2-ADAC-BFA4909289F6}" type="parTrans" cxnId="{644F3091-89ED-4B06-BFF9-C494830CF62D}">
      <dgm:prSet/>
      <dgm:spPr/>
      <dgm:t>
        <a:bodyPr/>
        <a:lstStyle/>
        <a:p>
          <a:endParaRPr lang="es-PE" sz="1100"/>
        </a:p>
      </dgm:t>
    </dgm:pt>
    <dgm:pt modelId="{4F6DA3FA-5EF5-4275-B570-9A1402091A9B}" type="sibTrans" cxnId="{644F3091-89ED-4B06-BFF9-C494830CF62D}">
      <dgm:prSet/>
      <dgm:spPr/>
      <dgm:t>
        <a:bodyPr/>
        <a:lstStyle/>
        <a:p>
          <a:endParaRPr lang="es-PE" sz="1100"/>
        </a:p>
      </dgm:t>
    </dgm:pt>
    <dgm:pt modelId="{B3977156-3961-4736-B476-DE8FF4E123E8}">
      <dgm:prSet phldrT="[Texto]" custT="1"/>
      <dgm:spPr/>
      <dgm:t>
        <a:bodyPr/>
        <a:lstStyle/>
        <a:p>
          <a:r>
            <a:rPr lang="es-MX" sz="1200"/>
            <a:t>Lograr la descentralización y diversificación de la actividad turística</a:t>
          </a:r>
          <a:endParaRPr lang="es-PE" sz="1200"/>
        </a:p>
      </dgm:t>
    </dgm:pt>
    <dgm:pt modelId="{511DD191-4D91-46C4-913C-4D6990FD6ABC}" type="parTrans" cxnId="{30738278-8FEC-4756-8771-8B4E4F8B9F44}">
      <dgm:prSet/>
      <dgm:spPr/>
      <dgm:t>
        <a:bodyPr/>
        <a:lstStyle/>
        <a:p>
          <a:endParaRPr lang="es-PE" sz="1100"/>
        </a:p>
      </dgm:t>
    </dgm:pt>
    <dgm:pt modelId="{4B578E41-55F2-4EB9-9227-643AEB897161}" type="sibTrans" cxnId="{30738278-8FEC-4756-8771-8B4E4F8B9F44}">
      <dgm:prSet/>
      <dgm:spPr/>
      <dgm:t>
        <a:bodyPr/>
        <a:lstStyle/>
        <a:p>
          <a:endParaRPr lang="es-PE" sz="1100"/>
        </a:p>
      </dgm:t>
    </dgm:pt>
    <dgm:pt modelId="{6658898E-71CD-4207-B5BF-9264CB896E82}" type="pres">
      <dgm:prSet presAssocID="{70519848-B8E8-469D-B6E7-B1973D8B2D7E}" presName="diagram" presStyleCnt="0">
        <dgm:presLayoutVars>
          <dgm:dir/>
          <dgm:resizeHandles val="exact"/>
        </dgm:presLayoutVars>
      </dgm:prSet>
      <dgm:spPr/>
      <dgm:t>
        <a:bodyPr/>
        <a:lstStyle/>
        <a:p>
          <a:endParaRPr lang="es-PE"/>
        </a:p>
      </dgm:t>
    </dgm:pt>
    <dgm:pt modelId="{82712447-9110-49FD-9D44-2CCD7A0FC1FB}" type="pres">
      <dgm:prSet presAssocID="{4C98CB00-B957-4F9A-A408-AE8D98CBE09C}" presName="node" presStyleLbl="node1" presStyleIdx="0" presStyleCnt="4">
        <dgm:presLayoutVars>
          <dgm:bulletEnabled val="1"/>
        </dgm:presLayoutVars>
      </dgm:prSet>
      <dgm:spPr/>
      <dgm:t>
        <a:bodyPr/>
        <a:lstStyle/>
        <a:p>
          <a:endParaRPr lang="es-PE"/>
        </a:p>
      </dgm:t>
    </dgm:pt>
    <dgm:pt modelId="{4EFD3025-938F-4084-A8BC-DE71EDDA8010}" type="pres">
      <dgm:prSet presAssocID="{1CB40C20-DB02-49BE-9BE1-618C257A3353}" presName="sibTrans" presStyleCnt="0"/>
      <dgm:spPr/>
    </dgm:pt>
    <dgm:pt modelId="{DB3A21B6-A959-4676-9248-F33E9EB5B6DC}" type="pres">
      <dgm:prSet presAssocID="{9A4B5604-A2FA-496E-BDDE-2C0D58B17290}" presName="node" presStyleLbl="node1" presStyleIdx="1" presStyleCnt="4">
        <dgm:presLayoutVars>
          <dgm:bulletEnabled val="1"/>
        </dgm:presLayoutVars>
      </dgm:prSet>
      <dgm:spPr/>
      <dgm:t>
        <a:bodyPr/>
        <a:lstStyle/>
        <a:p>
          <a:endParaRPr lang="es-PE"/>
        </a:p>
      </dgm:t>
    </dgm:pt>
    <dgm:pt modelId="{917C9DEF-0564-4BCE-958B-078A03C7988E}" type="pres">
      <dgm:prSet presAssocID="{1C784C2D-2C72-4F2C-879E-104681886F22}" presName="sibTrans" presStyleCnt="0"/>
      <dgm:spPr/>
    </dgm:pt>
    <dgm:pt modelId="{4FE19506-789A-457A-AE7B-5763FCF39754}" type="pres">
      <dgm:prSet presAssocID="{1BD07FEA-0C60-4EDB-AAA5-2E3516588A3C}" presName="node" presStyleLbl="node1" presStyleIdx="2" presStyleCnt="4">
        <dgm:presLayoutVars>
          <dgm:bulletEnabled val="1"/>
        </dgm:presLayoutVars>
      </dgm:prSet>
      <dgm:spPr/>
      <dgm:t>
        <a:bodyPr/>
        <a:lstStyle/>
        <a:p>
          <a:endParaRPr lang="es-PE"/>
        </a:p>
      </dgm:t>
    </dgm:pt>
    <dgm:pt modelId="{EEEE1517-D303-4312-A4E7-F4715B5A9D2B}" type="pres">
      <dgm:prSet presAssocID="{4F6DA3FA-5EF5-4275-B570-9A1402091A9B}" presName="sibTrans" presStyleCnt="0"/>
      <dgm:spPr/>
    </dgm:pt>
    <dgm:pt modelId="{B88B0F5F-9D00-4B95-927D-4855B40724C1}" type="pres">
      <dgm:prSet presAssocID="{B3977156-3961-4736-B476-DE8FF4E123E8}" presName="node" presStyleLbl="node1" presStyleIdx="3" presStyleCnt="4">
        <dgm:presLayoutVars>
          <dgm:bulletEnabled val="1"/>
        </dgm:presLayoutVars>
      </dgm:prSet>
      <dgm:spPr/>
      <dgm:t>
        <a:bodyPr/>
        <a:lstStyle/>
        <a:p>
          <a:endParaRPr lang="es-PE"/>
        </a:p>
      </dgm:t>
    </dgm:pt>
  </dgm:ptLst>
  <dgm:cxnLst>
    <dgm:cxn modelId="{A467F33F-5E29-4A0A-8CDF-1225F6F89D62}" type="presOf" srcId="{1BD07FEA-0C60-4EDB-AAA5-2E3516588A3C}" destId="{4FE19506-789A-457A-AE7B-5763FCF39754}" srcOrd="0" destOrd="0" presId="urn:microsoft.com/office/officeart/2005/8/layout/default"/>
    <dgm:cxn modelId="{0551E154-64A7-468E-8CB8-5D7718F21028}" type="presOf" srcId="{9A4B5604-A2FA-496E-BDDE-2C0D58B17290}" destId="{DB3A21B6-A959-4676-9248-F33E9EB5B6DC}" srcOrd="0" destOrd="0" presId="urn:microsoft.com/office/officeart/2005/8/layout/default"/>
    <dgm:cxn modelId="{8E3E5361-F48A-4C1B-B900-E08BCB56763E}" type="presOf" srcId="{4C98CB00-B957-4F9A-A408-AE8D98CBE09C}" destId="{82712447-9110-49FD-9D44-2CCD7A0FC1FB}" srcOrd="0" destOrd="0" presId="urn:microsoft.com/office/officeart/2005/8/layout/default"/>
    <dgm:cxn modelId="{E2E1B08F-0AA9-4285-987D-32658D1D7690}" srcId="{70519848-B8E8-469D-B6E7-B1973D8B2D7E}" destId="{4C98CB00-B957-4F9A-A408-AE8D98CBE09C}" srcOrd="0" destOrd="0" parTransId="{FC13484B-3211-4709-A811-20B89026DD7B}" sibTransId="{1CB40C20-DB02-49BE-9BE1-618C257A3353}"/>
    <dgm:cxn modelId="{07FF166E-CE85-40F3-B9CC-AA0B912B00C8}" srcId="{70519848-B8E8-469D-B6E7-B1973D8B2D7E}" destId="{9A4B5604-A2FA-496E-BDDE-2C0D58B17290}" srcOrd="1" destOrd="0" parTransId="{D45DACF5-0915-4EAB-ACDC-553EA653F66E}" sibTransId="{1C784C2D-2C72-4F2C-879E-104681886F22}"/>
    <dgm:cxn modelId="{157F928E-CA46-4894-A454-C7050BD51726}" type="presOf" srcId="{70519848-B8E8-469D-B6E7-B1973D8B2D7E}" destId="{6658898E-71CD-4207-B5BF-9264CB896E82}" srcOrd="0" destOrd="0" presId="urn:microsoft.com/office/officeart/2005/8/layout/default"/>
    <dgm:cxn modelId="{F3FD23CD-089E-447E-BB82-8001DEB70E09}" type="presOf" srcId="{B3977156-3961-4736-B476-DE8FF4E123E8}" destId="{B88B0F5F-9D00-4B95-927D-4855B40724C1}" srcOrd="0" destOrd="0" presId="urn:microsoft.com/office/officeart/2005/8/layout/default"/>
    <dgm:cxn modelId="{644F3091-89ED-4B06-BFF9-C494830CF62D}" srcId="{70519848-B8E8-469D-B6E7-B1973D8B2D7E}" destId="{1BD07FEA-0C60-4EDB-AAA5-2E3516588A3C}" srcOrd="2" destOrd="0" parTransId="{D0C61A7A-2700-48B2-ADAC-BFA4909289F6}" sibTransId="{4F6DA3FA-5EF5-4275-B570-9A1402091A9B}"/>
    <dgm:cxn modelId="{30738278-8FEC-4756-8771-8B4E4F8B9F44}" srcId="{70519848-B8E8-469D-B6E7-B1973D8B2D7E}" destId="{B3977156-3961-4736-B476-DE8FF4E123E8}" srcOrd="3" destOrd="0" parTransId="{511DD191-4D91-46C4-913C-4D6990FD6ABC}" sibTransId="{4B578E41-55F2-4EB9-9227-643AEB897161}"/>
    <dgm:cxn modelId="{0228D84D-9D55-4DB6-B07C-0009F7B22865}" type="presParOf" srcId="{6658898E-71CD-4207-B5BF-9264CB896E82}" destId="{82712447-9110-49FD-9D44-2CCD7A0FC1FB}" srcOrd="0" destOrd="0" presId="urn:microsoft.com/office/officeart/2005/8/layout/default"/>
    <dgm:cxn modelId="{F8DAD37F-3D64-408D-BBC1-603B718ECD5E}" type="presParOf" srcId="{6658898E-71CD-4207-B5BF-9264CB896E82}" destId="{4EFD3025-938F-4084-A8BC-DE71EDDA8010}" srcOrd="1" destOrd="0" presId="urn:microsoft.com/office/officeart/2005/8/layout/default"/>
    <dgm:cxn modelId="{97E63CF9-E865-411A-8161-088535694790}" type="presParOf" srcId="{6658898E-71CD-4207-B5BF-9264CB896E82}" destId="{DB3A21B6-A959-4676-9248-F33E9EB5B6DC}" srcOrd="2" destOrd="0" presId="urn:microsoft.com/office/officeart/2005/8/layout/default"/>
    <dgm:cxn modelId="{1C9C2FFB-627A-445E-AB08-2B9FFD0C56F0}" type="presParOf" srcId="{6658898E-71CD-4207-B5BF-9264CB896E82}" destId="{917C9DEF-0564-4BCE-958B-078A03C7988E}" srcOrd="3" destOrd="0" presId="urn:microsoft.com/office/officeart/2005/8/layout/default"/>
    <dgm:cxn modelId="{C3BDA325-750F-48E7-A15E-60CB54131BC5}" type="presParOf" srcId="{6658898E-71CD-4207-B5BF-9264CB896E82}" destId="{4FE19506-789A-457A-AE7B-5763FCF39754}" srcOrd="4" destOrd="0" presId="urn:microsoft.com/office/officeart/2005/8/layout/default"/>
    <dgm:cxn modelId="{8B9111B2-6605-4FAB-B8DF-D9D325A664A8}" type="presParOf" srcId="{6658898E-71CD-4207-B5BF-9264CB896E82}" destId="{EEEE1517-D303-4312-A4E7-F4715B5A9D2B}" srcOrd="5" destOrd="0" presId="urn:microsoft.com/office/officeart/2005/8/layout/default"/>
    <dgm:cxn modelId="{4F67610A-24BF-457F-9261-7E0965FAEE58}" type="presParOf" srcId="{6658898E-71CD-4207-B5BF-9264CB896E82}" destId="{B88B0F5F-9D00-4B95-927D-4855B40724C1}" srcOrd="6"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712447-9110-49FD-9D44-2CCD7A0FC1FB}">
      <dsp:nvSpPr>
        <dsp:cNvPr id="0" name=""/>
        <dsp:cNvSpPr/>
      </dsp:nvSpPr>
      <dsp:spPr>
        <a:xfrm>
          <a:off x="416" y="83034"/>
          <a:ext cx="1623389" cy="97403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Incrementar el número de visitas por turismo</a:t>
          </a:r>
          <a:endParaRPr lang="es-PE" sz="1200" kern="1200"/>
        </a:p>
      </dsp:txBody>
      <dsp:txXfrm>
        <a:off x="416" y="83034"/>
        <a:ext cx="1623389" cy="974033"/>
      </dsp:txXfrm>
    </dsp:sp>
    <dsp:sp modelId="{DB3A21B6-A959-4676-9248-F33E9EB5B6DC}">
      <dsp:nvSpPr>
        <dsp:cNvPr id="0" name=""/>
        <dsp:cNvSpPr/>
      </dsp:nvSpPr>
      <dsp:spPr>
        <a:xfrm>
          <a:off x="1786144" y="83034"/>
          <a:ext cx="1623389" cy="974033"/>
        </a:xfrm>
        <a:prstGeom prst="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Incrementar el ingreso por turismo</a:t>
          </a:r>
          <a:endParaRPr lang="es-PE" sz="1200" kern="1200"/>
        </a:p>
      </dsp:txBody>
      <dsp:txXfrm>
        <a:off x="1786144" y="83034"/>
        <a:ext cx="1623389" cy="974033"/>
      </dsp:txXfrm>
    </dsp:sp>
    <dsp:sp modelId="{4FE19506-789A-457A-AE7B-5763FCF39754}">
      <dsp:nvSpPr>
        <dsp:cNvPr id="0" name=""/>
        <dsp:cNvSpPr/>
      </dsp:nvSpPr>
      <dsp:spPr>
        <a:xfrm>
          <a:off x="416" y="1219406"/>
          <a:ext cx="1623389" cy="974033"/>
        </a:xfrm>
        <a:prstGeom prst="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Conseguir un aumento sostenido del empleo generado por el sector turismo en el Perú</a:t>
          </a:r>
          <a:endParaRPr lang="es-PE" sz="1200" kern="1200"/>
        </a:p>
      </dsp:txBody>
      <dsp:txXfrm>
        <a:off x="416" y="1219406"/>
        <a:ext cx="1623389" cy="974033"/>
      </dsp:txXfrm>
    </dsp:sp>
    <dsp:sp modelId="{B88B0F5F-9D00-4B95-927D-4855B40724C1}">
      <dsp:nvSpPr>
        <dsp:cNvPr id="0" name=""/>
        <dsp:cNvSpPr/>
      </dsp:nvSpPr>
      <dsp:spPr>
        <a:xfrm>
          <a:off x="1786144" y="1219406"/>
          <a:ext cx="1623389" cy="974033"/>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Lograr la descentralización y diversificación de la actividad turística</a:t>
          </a:r>
          <a:endParaRPr lang="es-PE" sz="1200" kern="1200"/>
        </a:p>
      </dsp:txBody>
      <dsp:txXfrm>
        <a:off x="1786144" y="1219406"/>
        <a:ext cx="1623389" cy="97403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b:Tag>
    <b:SourceType>InternetSite</b:SourceType>
    <b:Guid>{6B7F460D-A195-4821-AAAE-0D5A717EA08E}</b:Guid>
    <b:Author>
      <b:Author>
        <b:Corporate>PROINVERSION</b:Corporate>
      </b:Author>
    </b:Author>
    <b:Title>PROINVERSION</b:Title>
    <b:URL>http://www.proinversion.gob.pe/RepositorioAPS/0/0/JER/ESTADISTICAS_IED/1_5_%20Flujos%20de%20IED%20BCRP_a%20dic%202014.xls</b:URL>
    <b:Year>2016</b:Year>
    <b:Month>marzo</b:Month>
    <b:Day>15</b:Day>
    <b:RefOrder>1</b:RefOrder>
  </b:Source>
  <b:Source>
    <b:Tag>Bit14</b:Tag>
    <b:SourceType>Book</b:SourceType>
    <b:Guid>{4FE206E0-6D15-4EA8-BB3D-7B34C7E2A75F}</b:Guid>
    <b:Title>Las tendencias mundiales y el futuro de América Latina</b:Title>
    <b:Year>2014</b:Year>
    <b:Author>
      <b:Author>
        <b:NameList>
          <b:Person>
            <b:Last>Bitar</b:Last>
          </b:Person>
        </b:NameList>
      </b:Author>
    </b:Author>
    <b:RefOrder>1</b:RefOrder>
  </b:Source>
  <b:Source>
    <b:Tag>CEP</b:Tag>
    <b:SourceType>Book</b:SourceType>
    <b:Guid>{898C5EE6-EDED-4E06-8DAA-54A0A50C1589}</b:Guid>
    <b:Author>
      <b:Author>
        <b:Corporate>CEPAL</b:Corporate>
      </b:Author>
    </b:Author>
    <b:Title>Estimaciones y proyecciones de población a largo plazo: 1950-2100</b:Title>
    <b:Year>2015</b:Year>
    <b:RefOrder>2</b:RefOrder>
  </b:Source>
</b:Sources>
</file>

<file path=customXml/itemProps1.xml><?xml version="1.0" encoding="utf-8"?>
<ds:datastoreItem xmlns:ds="http://schemas.openxmlformats.org/officeDocument/2006/customXml" ds:itemID="{E1DA054D-9627-4745-A365-9DF87368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65816</Words>
  <Characters>361989</Characters>
  <Application>Microsoft Office Word</Application>
  <DocSecurity>0</DocSecurity>
  <Lines>3016</Lines>
  <Paragraphs>853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426952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2016-06-07T00:27:00Z</dcterms:created>
  <dcterms:modified xsi:type="dcterms:W3CDTF">2016-06-07T00:27:00Z</dcterms:modified>
</cp:coreProperties>
</file>